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00200" cy="1600200"/>
                    </a:xfrm>
                    <a:prstGeom prst="rect"/>
                  </pic:spPr>
                </pic:pic>
              </a:graphicData>
            </a:graphic>
          </wp:inline>
        </w:drawing>
      </w:r>
    </w:p>
    <w:p>
      <w:pPr>
        <w:pStyle w:val="DOHeading1"/>
      </w:pPr>
      <w:r>
        <w:t>Angry Dolphin -- D&amp;O Underwriting Worksheet</w:t>
      </w:r>
    </w:p>
    <w:p>
      <w:pPr>
        <w:pStyle w:val="DOHeading2"/>
      </w:pPr>
      <w:r>
        <w:t>EXXON MOBIL CORP (XOM)</w:t>
      </w:r>
    </w:p>
    <w:p>
      <w:pPr>
        <w:pStyle w:val="DOBody"/>
      </w:pPr>
      <w:r>
        <w:rPr>
          <w:color w:val="666666"/>
          <w:sz w:val="20"/>
        </w:rPr>
        <w:t>Generated: April 02, 2026</w:t>
      </w:r>
    </w:p>
    <w:p>
      <w:r>
        <w:fldChar w:fldCharType="begin"/>
        <w:instrText xml:space="preserve"> TOC \o "1-3" \h \z \u </w:instrText>
        <w:fldChar w:fldCharType="separate"/>
      </w:r>
      <w:r>
        <w:rPr>
          <w:color w:val="999999"/>
          <w:sz w:val="18"/>
        </w:rPr>
        <w:t>[Table of Contents -- Update in Word]</w:t>
      </w:r>
      <w:r>
        <w:fldChar w:fldCharType="end"/>
      </w:r>
    </w:p>
    <w:p>
      <w:pPr>
        <w:spacing w:before="120" w:after="40"/>
        <w:pBdr>
          <w:bottom w:val="single" w:sz="6" w:space="1" w:color="FFD000"/>
        </w:pBdr>
      </w:pPr>
    </w:p>
    <w:p>
      <w:pPr>
        <w:pStyle w:val="DOBody"/>
        <w:spacing w:before="40" w:after="120"/>
      </w:pPr>
      <w:r>
        <w:rPr>
          <w:color w:val="333333"/>
          <w:sz w:val="20"/>
        </w:rPr>
        <w:t>**Underwriting Thesis for EXXON MOBIL CORP (XOM:US)**</w:t>
        <w:br/>
        <w:t>ExxonMobil’s D&amp;O risk profile is bifurcated, resulting in a "WRITE" tier with a 90.2 composite score but a mandatory 70.0 quality score ceiling due to an active securities class action (4:21-cv-00194, filed 2021). The inherent litigation risk is quantified at 4.68%, translating to a MODERATE claim band of 4.2%-6.0%. The primary deduction is a 5.0-point penalty for "Prior Litigation," stemming from 65 identified litigation signals. This historical legal overhang is partially mitigated by a clean SEC enforcement record and an audit opinion with no material weaknesses. Organizational stability is a key strength, with zero C-suite departures in 18 months and short interest below 5% of float, contributing only a 1.13-point deduction. The 0.94-point deduction for M&amp;A activity reflects the company’s ongoing strategic portfolio shifts. Underwriting action is "Normal terms, support with conditions," specifically requiring full disclosure of the 2021 SCA’s status and any related settlement accruals on the $669.6B market cap balance sheet. The final recommendation balances the severe but singular headwind of the active SCA against the foundational strengths of its financial health, evidenced by safe Altman Z-Scores, and its stable governance structure among 57,900 employees.</w:t>
      </w:r>
    </w:p>
    <w:p>
      <w:pPr>
        <w:pStyle w:val="DOHeading1"/>
      </w:pPr>
      <w:r>
        <w:t>Executive Summary</w:t>
      </w:r>
    </w:p>
    <w:p>
      <w:pPr>
        <w:pStyle w:val="DOHeading2"/>
      </w:pPr>
      <w:r>
        <w:t>Underwriting Thesis</w:t>
      </w:r>
    </w:p>
    <w:p>
      <w:pPr>
        <w:pStyle w:val="DOBody"/>
      </w:pPr>
      <w:r>
        <w:rPr>
          <w:color w:val="1A1446"/>
        </w:rPr>
        <w:t>EXXON MOBIL CORP is a $669.6B (Decile 1 of 10) mega-cap energy company that would normally present as a stronger underwriting account were it not for critical red flags: Active Securities Class Action. These findings impose a hard quality score ceiling of 70, placing the account in WRITE tier (70/100) regardless of other favorable factors. The balance sheet is strong (D/E 0.17, Z-Score 4.48), eliminating financial distress as a D&amp;O claim catalyst. The primary risk driver is Prior Litigation, driving elevated risk in this area. Signal-driven scoring: 65 signals, coverage=100%. At a 4-6% claim probability (4.7% adjusted rate, 1.6x the Energy sector baseline of 3.0%), this account requires Normal terms, support with conditions.</w:t>
      </w:r>
    </w:p>
    <w:p>
      <w:pPr>
        <w:pStyle w:val="DOHeading3"/>
      </w:pPr>
      <w:r>
        <w:t>Company Snapshot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Attribute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Company</w:t>
            </w:r>
          </w:p>
        </w:tc>
        <w:tc>
          <w:tcPr>
            <w:tcW w:type="dxa" w:w="3360"/>
          </w:tcPr>
          <w:p>
            <w:r>
              <w:rPr>
                <w:rFonts w:ascii="Calibri" w:hAnsi="Calibri"/>
                <w:color w:val="333333"/>
                <w:sz w:val="18"/>
              </w:rPr>
              <w:t>EXXON MOBIL CORP</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XOM</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NYSE</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Energy</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Industry</w:t>
            </w:r>
          </w:p>
        </w:tc>
        <w:tc>
          <w:tcPr>
            <w:tcW w:type="dxa" w:w="3360"/>
          </w:tcPr>
          <w:p>
            <w:r>
              <w:rPr>
                <w:rFonts w:ascii="Calibri" w:hAnsi="Calibri"/>
                <w:color w:val="333333"/>
                <w:sz w:val="18"/>
              </w:rPr>
              <w:t>Oil &amp; Gas Integrated</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Market Cap</w:t>
            </w:r>
          </w:p>
        </w:tc>
        <w:tc>
          <w:tcPr>
            <w:tcW w:type="dxa" w:w="3360"/>
            <w:shd w:fill="F2F4F8" w:val="clear"/>
          </w:tcPr>
          <w:p>
            <w:r>
              <w:rPr>
                <w:rFonts w:ascii="Calibri" w:hAnsi="Calibri"/>
                <w:color w:val="333333"/>
                <w:sz w:val="18"/>
              </w:rPr>
              <w:t>$669.6B  [Decile 1 (largest ~400 accounts)]  (Ranks at the 100th percentile among 8 peers)</w:t>
            </w:r>
          </w:p>
        </w:tc>
        <w:tc>
          <w:tcPr>
            <w:tcW w:type="dxa" w:w="3360"/>
            <w:shd w:fill="F2F4F8" w:val="clear"/>
          </w:tcPr>
          <w:p>
            <w:r>
              <w:rPr>
                <w:rFonts w:ascii="Calibri" w:hAnsi="Calibri"/>
                <w:color w:val="333333"/>
                <w:sz w:val="18"/>
              </w:rPr>
              <w:t>[yfinance, filed 2026-04-02, MEDIUM confidence]</w:t>
            </w:r>
          </w:p>
        </w:tc>
      </w:tr>
      <w:tr>
        <w:tc>
          <w:tcPr>
            <w:tcW w:type="dxa" w:w="3360"/>
          </w:tcPr>
          <w:p>
            <w:r>
              <w:rPr>
                <w:rFonts w:ascii="Calibri" w:hAnsi="Calibri"/>
                <w:color w:val="333333"/>
                <w:sz w:val="18"/>
              </w:rPr>
              <w:t>Revenue</w:t>
            </w:r>
          </w:p>
        </w:tc>
        <w:tc>
          <w:tcPr>
            <w:tcW w:type="dxa" w:w="3360"/>
          </w:tcPr>
          <w:p>
            <w:r>
              <w:rPr>
                <w:rFonts w:ascii="Calibri" w:hAnsi="Calibri"/>
                <w:color w:val="333333"/>
                <w:sz w:val="18"/>
              </w:rPr>
              <w:t>$332.2B</w:t>
            </w:r>
          </w:p>
        </w:tc>
        <w:tc>
          <w:tcPr>
            <w:tcW w:type="dxa" w:w="3360"/>
          </w:tcPr>
          <w:p>
            <w:r>
              <w:rPr>
                <w:rFonts w:ascii="Calibri" w:hAnsi="Calibri"/>
                <w:color w:val="333333"/>
                <w:sz w:val="18"/>
              </w:rPr>
              <w:t>[10-K 2025-12-31 CIK34088 accn:0000034088-26-000045, filed 2025-12-31, HIGH confidence]</w:t>
            </w:r>
          </w:p>
        </w:tc>
      </w:tr>
      <w:tr>
        <w:tc>
          <w:tcPr>
            <w:tcW w:type="dxa" w:w="3360"/>
            <w:shd w:fill="F2F4F8" w:val="clear"/>
          </w:tcPr>
          <w:p>
            <w:r>
              <w:rPr>
                <w:rFonts w:ascii="Calibri" w:hAnsi="Calibri"/>
                <w:color w:val="333333"/>
                <w:sz w:val="18"/>
              </w:rPr>
              <w:t>Employees</w:t>
            </w:r>
          </w:p>
        </w:tc>
        <w:tc>
          <w:tcPr>
            <w:tcW w:type="dxa" w:w="3360"/>
            <w:shd w:fill="F2F4F8" w:val="clear"/>
          </w:tcPr>
          <w:p>
            <w:r>
              <w:rPr>
                <w:rFonts w:ascii="Calibri" w:hAnsi="Calibri"/>
                <w:color w:val="333333"/>
                <w:sz w:val="18"/>
              </w:rPr>
              <w:t>57,900</w:t>
            </w:r>
          </w:p>
        </w:tc>
        <w:tc>
          <w:tcPr>
            <w:tcW w:type="dxa" w:w="3360"/>
            <w:shd w:fill="F2F4F8" w:val="clear"/>
          </w:tcPr>
          <w:p>
            <w:r>
              <w:rPr>
                <w:rFonts w:ascii="Calibri" w:hAnsi="Calibri"/>
                <w:color w:val="333333"/>
                <w:sz w:val="18"/>
              </w:rPr>
              <w:t>[yfinance, filed 2026-04-02, MEDIUM confidence]</w:t>
            </w:r>
          </w:p>
        </w:tc>
      </w:tr>
      <w:tr>
        <w:tc>
          <w:tcPr>
            <w:tcW w:type="dxa" w:w="3360"/>
          </w:tcPr>
          <w:p>
            <w:r>
              <w:rPr>
                <w:rFonts w:ascii="Calibri" w:hAnsi="Calibri"/>
                <w:color w:val="333333"/>
                <w:sz w:val="18"/>
              </w:rPr>
              <w:t>SIC</w:t>
            </w:r>
          </w:p>
        </w:tc>
        <w:tc>
          <w:tcPr>
            <w:tcW w:type="dxa" w:w="3360"/>
          </w:tcPr>
          <w:p>
            <w:r>
              <w:rPr>
                <w:rFonts w:ascii="Calibri" w:hAnsi="Calibri"/>
                <w:color w:val="333333"/>
                <w:sz w:val="18"/>
              </w:rPr>
              <w:t>2911 -- Petroleum Refining</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GICS</w:t>
            </w:r>
          </w:p>
        </w:tc>
        <w:tc>
          <w:tcPr>
            <w:tcW w:type="dxa" w:w="3360"/>
            <w:shd w:fill="F2F4F8" w:val="clear"/>
          </w:tcPr>
          <w:p>
            <w:r>
              <w:rPr>
                <w:rFonts w:ascii="Calibri" w:hAnsi="Calibri"/>
                <w:color w:val="333333"/>
                <w:sz w:val="18"/>
              </w:rPr>
              <w:t>10102030</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NAICS</w:t>
            </w:r>
          </w:p>
        </w:tc>
        <w:tc>
          <w:tcPr>
            <w:tcW w:type="dxa" w:w="3360"/>
          </w:tcPr>
          <w:p>
            <w:r>
              <w:rPr>
                <w:rFonts w:ascii="Calibri" w:hAnsi="Calibri"/>
                <w:color w:val="333333"/>
                <w:sz w:val="18"/>
              </w:rPr>
              <w:t>324110</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FPI Status</w:t>
            </w:r>
          </w:p>
        </w:tc>
        <w:tc>
          <w:tcPr>
            <w:tcW w:type="dxa" w:w="3360"/>
            <w:shd w:fill="F2F4F8" w:val="clear"/>
          </w:tcPr>
          <w:p>
            <w:r>
              <w:rPr>
                <w:rFonts w:ascii="Calibri" w:hAnsi="Calibri"/>
                <w:color w:val="333333"/>
                <w:sz w:val="18"/>
              </w:rPr>
              <w:t>No</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Fiscal Year End</w:t>
            </w:r>
          </w:p>
        </w:tc>
        <w:tc>
          <w:tcPr>
            <w:tcW w:type="dxa" w:w="3360"/>
          </w:tcPr>
          <w:p>
            <w:r>
              <w:rPr>
                <w:rFonts w:ascii="Calibri" w:hAnsi="Calibri"/>
                <w:color w:val="333333"/>
                <w:sz w:val="18"/>
              </w:rPr>
              <w:t>12-31</w:t>
            </w:r>
          </w:p>
        </w:tc>
        <w:tc>
          <w:tcPr>
            <w:tcW w:type="dxa" w:w="3360"/>
          </w:tcPr>
          <w:p>
            <w:r>
              <w:rPr>
                <w:rFonts w:ascii="Calibri" w:hAnsi="Calibri"/>
                <w:color w:val="333333"/>
                <w:sz w:val="18"/>
              </w:rPr>
            </w:r>
          </w:p>
        </w:tc>
      </w:tr>
    </w:tbl>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Tier</w:t>
            </w:r>
          </w:p>
        </w:tc>
        <w:tc>
          <w:tcPr>
            <w:tcW w:type="dxa" w:w="5040"/>
          </w:tcPr>
          <w:p>
            <w:r>
              <w:rPr>
                <w:rFonts w:ascii="Calibri" w:hAnsi="Calibri"/>
                <w:color w:val="333333"/>
                <w:sz w:val="18"/>
              </w:rPr>
              <w:t>WRITE</w:t>
            </w:r>
          </w:p>
        </w:tc>
      </w:tr>
      <w:tr>
        <w:tc>
          <w:tcPr>
            <w:tcW w:type="dxa" w:w="5040"/>
            <w:shd w:fill="F2F4F8" w:val="clear"/>
          </w:tcPr>
          <w:p>
            <w:r>
              <w:rPr>
                <w:rFonts w:ascii="Calibri" w:hAnsi="Calibri"/>
                <w:color w:val="333333"/>
                <w:sz w:val="18"/>
              </w:rPr>
              <w:t>Composite Score</w:t>
            </w:r>
          </w:p>
        </w:tc>
        <w:tc>
          <w:tcPr>
            <w:tcW w:type="dxa" w:w="5040"/>
            <w:shd w:fill="F2F4F8" w:val="clear"/>
          </w:tcPr>
          <w:p>
            <w:r>
              <w:rPr>
                <w:rFonts w:ascii="Calibri" w:hAnsi="Calibri"/>
                <w:color w:val="333333"/>
                <w:sz w:val="18"/>
              </w:rPr>
              <w:t>90.2/100</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70.0/100</w:t>
            </w:r>
          </w:p>
        </w:tc>
      </w:tr>
      <w:tr>
        <w:tc>
          <w:tcPr>
            <w:tcW w:type="dxa" w:w="5040"/>
            <w:shd w:fill="F2F4F8" w:val="clear"/>
          </w:tcPr>
          <w:p>
            <w:r>
              <w:rPr>
                <w:rFonts w:ascii="Calibri" w:hAnsi="Calibri"/>
                <w:color w:val="333333"/>
                <w:sz w:val="18"/>
              </w:rPr>
              <w:t>Factor Breakdown</w:t>
            </w:r>
          </w:p>
        </w:tc>
        <w:tc>
          <w:tcPr>
            <w:tcW w:type="dxa" w:w="5040"/>
            <w:shd w:fill="F2F4F8" w:val="clear"/>
          </w:tcPr>
          <w:p>
            <w:r>
              <w:rPr>
                <w:rFonts w:ascii="Calibri" w:hAnsi="Calibri"/>
                <w:color w:val="333333"/>
                <w:sz w:val="18"/>
              </w:rPr>
              <w:t>F1: 5.0, F2: 0.9, F3: 0.7, F4: 0.9, F5: 0.0, F6: 1.1, F7: 0.5, F8: 0.0, F9: 0.6, F10: 0.1</w:t>
            </w:r>
          </w:p>
        </w:tc>
      </w:tr>
      <w:tr>
        <w:tc>
          <w:tcPr>
            <w:tcW w:type="dxa" w:w="5040"/>
          </w:tcPr>
          <w:p>
            <w:r>
              <w:rPr>
                <w:rFonts w:ascii="Calibri" w:hAnsi="Calibri"/>
                <w:color w:val="333333"/>
                <w:sz w:val="18"/>
              </w:rPr>
              <w:t>Score Ceiling</w:t>
            </w:r>
          </w:p>
        </w:tc>
        <w:tc>
          <w:tcPr>
            <w:tcW w:type="dxa" w:w="5040"/>
          </w:tcPr>
          <w:p>
            <w:r>
              <w:rPr>
                <w:rFonts w:ascii="Calibri" w:hAnsi="Calibri"/>
                <w:color w:val="333333"/>
                <w:sz w:val="18"/>
              </w:rPr>
              <w:t>Capped at 70 by CRF-1 (Active Securities Class Action)</w:t>
            </w:r>
          </w:p>
        </w:tc>
      </w:tr>
      <w:tr>
        <w:tc>
          <w:tcPr>
            <w:tcW w:type="dxa" w:w="5040"/>
            <w:shd w:fill="F2F4F8" w:val="clear"/>
          </w:tcPr>
          <w:p>
            <w:r>
              <w:rPr>
                <w:rFonts w:ascii="Calibri" w:hAnsi="Calibri"/>
                <w:color w:val="333333"/>
                <w:sz w:val="18"/>
              </w:rPr>
              <w:t>Position</w:t>
            </w:r>
          </w:p>
        </w:tc>
        <w:tc>
          <w:tcPr>
            <w:tcW w:type="dxa" w:w="5040"/>
            <w:shd w:fill="F2F4F8" w:val="clear"/>
          </w:tcPr>
          <w:p>
            <w:r>
              <w:rPr>
                <w:rFonts w:ascii="Calibri" w:hAnsi="Calibri"/>
                <w:color w:val="333333"/>
                <w:sz w:val="18"/>
              </w:rPr>
              <w:t>90.2 falls in WRITE range (51-70)</w:t>
            </w:r>
          </w:p>
        </w:tc>
      </w:tr>
      <w:tr>
        <w:tc>
          <w:tcPr>
            <w:tcW w:type="dxa" w:w="5040"/>
          </w:tcPr>
          <w:p>
            <w:r>
              <w:rPr>
                <w:rFonts w:ascii="Calibri" w:hAnsi="Calibri"/>
                <w:color w:val="333333"/>
                <w:sz w:val="18"/>
              </w:rPr>
              <w:t>Appetite</w:t>
            </w:r>
          </w:p>
        </w:tc>
        <w:tc>
          <w:tcPr>
            <w:tcW w:type="dxa" w:w="5040"/>
          </w:tcPr>
          <w:p>
            <w:r>
              <w:rPr>
                <w:rFonts w:ascii="Calibri" w:hAnsi="Calibri"/>
                <w:color w:val="333333"/>
                <w:sz w:val="18"/>
              </w:rPr>
              <w:t>Normal terms, support with conditions</w:t>
            </w:r>
          </w:p>
        </w:tc>
      </w:tr>
    </w:tbl>
    <w:p>
      <w:pPr>
        <w:pStyle w:val="DOBody"/>
      </w:pPr>
      <w:r>
        <w:t>Classification: WRITE</w:t>
      </w:r>
      <w:r>
        <w:rPr>
          <w:b/>
          <w:color w:val="EAB308"/>
          <w:sz w:val="18"/>
        </w:rPr>
        <w:t xml:space="preserve"> [ELEVATED]</w:t>
      </w:r>
    </w:p>
    <w:p>
      <w:pPr>
        <w:pStyle w:val="DOHeading3"/>
      </w:pPr>
      <w:r>
        <w:t>Inherent Risk Baseline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  [Decile 1 (largest ~400 accounts)]</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Energy (Base rate: 3.0%)</w:t>
            </w:r>
          </w:p>
        </w:tc>
      </w:tr>
      <w:tr>
        <w:tc>
          <w:tcPr>
            <w:tcW w:type="dxa" w:w="5040"/>
          </w:tcPr>
          <w:p>
            <w:r>
              <w:rPr>
                <w:rFonts w:ascii="Calibri" w:hAnsi="Calibri"/>
                <w:color w:val="333333"/>
                <w:sz w:val="18"/>
              </w:rPr>
              <w:t>Size Adjustment</w:t>
            </w:r>
          </w:p>
        </w:tc>
        <w:tc>
          <w:tcPr>
            <w:tcW w:type="dxa" w:w="5040"/>
          </w:tcPr>
          <w:p>
            <w:r>
              <w:rPr>
                <w:rFonts w:ascii="Calibri" w:hAnsi="Calibri"/>
                <w:color w:val="333333"/>
                <w:sz w:val="18"/>
              </w:rPr>
              <w:t>1.56x (MEGA cap multiplier) -&gt; 4.7%</w:t>
            </w:r>
          </w:p>
        </w:tc>
      </w:tr>
      <w:tr>
        <w:tc>
          <w:tcPr>
            <w:tcW w:type="dxa" w:w="5040"/>
            <w:shd w:fill="F2F4F8" w:val="clear"/>
          </w:tcPr>
          <w:p>
            <w:r>
              <w:rPr>
                <w:rFonts w:ascii="Calibri" w:hAnsi="Calibri"/>
                <w:color w:val="333333"/>
                <w:sz w:val="18"/>
              </w:rPr>
              <w:t>Score Adjustment</w:t>
            </w:r>
          </w:p>
        </w:tc>
        <w:tc>
          <w:tcPr>
            <w:tcW w:type="dxa" w:w="5040"/>
            <w:shd w:fill="F2F4F8" w:val="clear"/>
          </w:tcPr>
          <w:p>
            <w:r>
              <w:rPr>
                <w:rFonts w:ascii="Calibri" w:hAnsi="Calibri"/>
                <w:color w:val="333333"/>
                <w:sz w:val="18"/>
              </w:rPr>
              <w:t>1.00x (quality score multiplier) -&gt; 4.7%</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Severity Percentile</w:t>
            </w:r>
          </w:p>
        </w:tc>
        <w:tc>
          <w:tcPr>
            <w:tcW w:type="dxa" w:w="5040"/>
            <w:shd w:fill="1A1446" w:val="clear"/>
          </w:tcPr>
          <w:p>
            <w:r>
              <w:rPr>
                <w:rFonts w:ascii="Calibri" w:hAnsi="Calibri"/>
                <w:b/>
                <w:color w:val="FFFFFF"/>
                <w:sz w:val="18"/>
              </w:rPr>
              <w:t>Settlement Estimate</w:t>
            </w:r>
          </w:p>
        </w:tc>
      </w:tr>
      <w:tr>
        <w:tc>
          <w:tcPr>
            <w:tcW w:type="dxa" w:w="5040"/>
          </w:tcPr>
          <w:p>
            <w:r>
              <w:rPr>
                <w:rFonts w:ascii="Calibri" w:hAnsi="Calibri"/>
                <w:color w:val="333333"/>
                <w:sz w:val="18"/>
              </w:rPr>
              <w:t>25th (favorable)</w:t>
            </w:r>
          </w:p>
        </w:tc>
        <w:tc>
          <w:tcPr>
            <w:tcW w:type="dxa" w:w="5040"/>
          </w:tcPr>
          <w:p>
            <w:r>
              <w:rPr>
                <w:rFonts w:ascii="Calibri" w:hAnsi="Calibri"/>
                <w:color w:val="333333"/>
                <w:sz w:val="18"/>
              </w:rPr>
              <w:t>$25.0M</w:t>
            </w:r>
          </w:p>
        </w:tc>
      </w:tr>
      <w:tr>
        <w:tc>
          <w:tcPr>
            <w:tcW w:type="dxa" w:w="5040"/>
            <w:shd w:fill="F2F4F8" w:val="clear"/>
          </w:tcPr>
          <w:p>
            <w:r>
              <w:rPr>
                <w:rFonts w:ascii="Calibri" w:hAnsi="Calibri"/>
                <w:color w:val="333333"/>
                <w:sz w:val="18"/>
              </w:rPr>
              <w:t>50th (median)</w:t>
            </w:r>
          </w:p>
        </w:tc>
        <w:tc>
          <w:tcPr>
            <w:tcW w:type="dxa" w:w="5040"/>
            <w:shd w:fill="F2F4F8" w:val="clear"/>
          </w:tcPr>
          <w:p>
            <w:r>
              <w:rPr>
                <w:rFonts w:ascii="Calibri" w:hAnsi="Calibri"/>
                <w:color w:val="333333"/>
                <w:sz w:val="18"/>
              </w:rPr>
              <w:t>$75.0M</w:t>
            </w:r>
          </w:p>
        </w:tc>
      </w:tr>
      <w:tr>
        <w:tc>
          <w:tcPr>
            <w:tcW w:type="dxa" w:w="5040"/>
          </w:tcPr>
          <w:p>
            <w:r>
              <w:rPr>
                <w:rFonts w:ascii="Calibri" w:hAnsi="Calibri"/>
                <w:color w:val="333333"/>
                <w:sz w:val="18"/>
              </w:rPr>
              <w:t>75th (adverse)</w:t>
            </w:r>
          </w:p>
        </w:tc>
        <w:tc>
          <w:tcPr>
            <w:tcW w:type="dxa" w:w="5040"/>
          </w:tcPr>
          <w:p>
            <w:r>
              <w:rPr>
                <w:rFonts w:ascii="Calibri" w:hAnsi="Calibri"/>
                <w:color w:val="333333"/>
                <w:sz w:val="18"/>
              </w:rPr>
              <w:t>$112.5M</w:t>
            </w:r>
          </w:p>
        </w:tc>
      </w:tr>
      <w:tr>
        <w:tc>
          <w:tcPr>
            <w:tcW w:type="dxa" w:w="5040"/>
            <w:shd w:fill="F2F4F8" w:val="clear"/>
          </w:tcPr>
          <w:p>
            <w:r>
              <w:rPr>
                <w:rFonts w:ascii="Calibri" w:hAnsi="Calibri"/>
                <w:color w:val="333333"/>
                <w:sz w:val="18"/>
              </w:rPr>
              <w:t>95th (catastrophic)</w:t>
            </w:r>
          </w:p>
        </w:tc>
        <w:tc>
          <w:tcPr>
            <w:tcW w:type="dxa" w:w="5040"/>
            <w:shd w:fill="F2F4F8" w:val="clear"/>
          </w:tcPr>
          <w:p>
            <w:r>
              <w:rPr>
                <w:rFonts w:ascii="Calibri" w:hAnsi="Calibri"/>
                <w:color w:val="333333"/>
                <w:sz w:val="18"/>
              </w:rPr>
              <w:t>$150.0M</w:t>
            </w:r>
          </w:p>
        </w:tc>
      </w:tr>
    </w:tbl>
    <w:p>
      <w:pPr>
        <w:pStyle w:val="DOBody"/>
      </w:pPr>
      <w:r>
        <w:t>At a 4.7% adjusted claim rate, the company faces 1.6x its sector baseline of 3.0% for Energy companies. This rate reflects the MEGA cap multiplier (1.56x) combined with the quality score multiplier (1.00x from WRITE tier classification).</w:t>
      </w:r>
    </w:p>
    <w:p>
      <w:pPr>
        <w:pStyle w:val="DOCaption"/>
      </w:pPr>
      <w:r>
        <w:t>Note: NEEDS CALIBRATION</w:t>
      </w:r>
    </w:p>
    <w:p>
      <w:pPr>
        <w:pStyle w:val="DOHeading3"/>
      </w:pPr>
      <w:r>
        <w:t>Underwriting Headwinds</w:t>
      </w:r>
    </w:p>
    <w:p>
      <w:pPr>
        <w:pStyle w:val="DOBody"/>
      </w:pPr>
      <w:r>
        <w:rPr>
          <w:b/>
        </w:rPr>
        <w:t>1. Critical Red Flag</w:t>
      </w:r>
      <w:r>
        <w:rPr>
          <w:b/>
          <w:color w:val="DC2626"/>
          <w:sz w:val="18"/>
        </w:rPr>
        <w:t xml:space="preserve"> [CRITICAL]</w:t>
      </w:r>
    </w:p>
    <w:p>
      <w:pPr>
        <w:pStyle w:val="DOBody"/>
      </w:pPr>
      <w:r>
        <w:t>Critical Red Flag: Active Securities Class Action — Active SCA: In re Exxon Mobil Corporation Securities Litigation (4:21-cv-00194) (2021). This triggers a Critical Red Flag, imposing a score ceiling of 70. (see Litigation)</w:t>
      </w:r>
    </w:p>
    <w:p>
      <w:pPr>
        <w:pStyle w:val="DOBody"/>
      </w:pPr>
      <w:r>
        <w:rPr>
          <w:b/>
        </w:rPr>
        <w:t>2. Structural Complexity &amp; Litigation History</w:t>
      </w:r>
      <w:r>
        <w:rPr>
          <w:b/>
          <w:color w:val="EA580C"/>
          <w:sz w:val="18"/>
        </w:rPr>
        <w:t xml:space="preserve"> [HIGH]</w:t>
      </w:r>
    </w:p>
    <w:p>
      <w:pPr>
        <w:pStyle w:val="DOBody"/>
      </w:pPr>
      <w:r>
        <w:t>Exxon Mobil Corp. has 111 subsidiaries, increasing multi-jurisdictional litigation exposure. The current docket includes 1 derivative suit, 4 securities class actions. With 5 pending matters at $669.6B market cap, Exxon Mobil Corp. has an active litigation profile that will factor into loss-pick and pricing. (see Litigation)</w:t>
      </w:r>
    </w:p>
    <w:p>
      <w:pPr>
        <w:pStyle w:val="DOBody"/>
      </w:pPr>
      <w:r>
        <w:rPr>
          <w:b/>
        </w:rPr>
        <w:t>3. Stock Price Decline</w:t>
      </w:r>
      <w:r>
        <w:rPr>
          <w:b/>
          <w:color w:val="EAB308"/>
          <w:sz w:val="18"/>
        </w:rPr>
        <w:t xml:space="preserve"> [ELEVATED]</w:t>
      </w:r>
    </w:p>
    <w:p>
      <w:pPr>
        <w:pStyle w:val="DOBody"/>
      </w:pPr>
      <w:r>
        <w:t>Exxon Mobil Corp.'s stock has undergone a -9% dip of -8.9% from $176.41 to $160.69 over 252 trading days. This creates an estimated Disclosure Dollar Loss (DDL) of $18.6B, among the largest potential DDL exposures in the market. (see Market &amp; Trading)</w:t>
      </w:r>
    </w:p>
    <w:p>
      <w:pPr>
        <w:pStyle w:val="DOBody"/>
      </w:pPr>
      <w:r>
        <w:rPr>
          <w:b/>
        </w:rPr>
        <w:t>4. Transaction-Related Exposure</w:t>
      </w:r>
      <w:r>
        <w:rPr>
          <w:b/>
          <w:color w:val="EAB308"/>
          <w:sz w:val="18"/>
        </w:rPr>
        <w:t xml:space="preserve"> [ELEVATED]</w:t>
      </w:r>
    </w:p>
    <w:p>
      <w:pPr>
        <w:pStyle w:val="DOBody"/>
      </w:pPr>
      <w:r>
        <w:t>Exxon Mobil Corp. has transaction-related risk factors. At $669.6B market cap, transaction claims carry both Section 10(b) exposure (misleading disclosures) and Section 14(a) exposure (deficient proxy statements).</w:t>
      </w:r>
    </w:p>
    <w:p>
      <w:pPr>
        <w:pStyle w:val="DOBody"/>
      </w:pPr>
      <w:r>
        <w:rPr>
          <w:b/>
        </w:rPr>
        <w:t>5. Stock Volatility</w:t>
      </w:r>
      <w:r>
        <w:rPr>
          <w:b/>
          <w:color w:val="EAB308"/>
          <w:sz w:val="18"/>
        </w:rPr>
        <w:t xml:space="preserve"> [ELEVATED]</w:t>
      </w:r>
    </w:p>
    <w:p>
      <w:pPr>
        <w:pStyle w:val="DOBody"/>
      </w:pPr>
      <w:r>
        <w:t>Exxon Mobil Corp.'s stock exhibits elevated volatility with a -9% dip of -8.9% from its 52-week high. The estimated DDL of $18.6B amplifies settlement severity for any corrective disclosure event. (see Market &amp; Trading)</w:t>
      </w:r>
    </w:p>
    <w:p>
      <w:pPr>
        <w:pStyle w:val="DOHeading3"/>
      </w:pPr>
      <w:r>
        <w:t>Risk Mitigants</w:t>
      </w:r>
    </w:p>
    <w:p>
      <w:pPr>
        <w:pStyle w:val="DOBody"/>
      </w:pPr>
      <w:r>
        <w:rPr>
          <w:b/>
        </w:rPr>
        <w:t>1. Clean Regulatory Record</w:t>
      </w:r>
    </w:p>
    <w:p>
      <w:pPr>
        <w:pStyle w:val="DOBody"/>
      </w:pPr>
      <w:r>
        <w:t>Exxon Mobil Corp. has no active SEC enforcement pipeline activity, open investigations, or pending Wells Notices. A clean regulatory record for Exxon Mobil Corp. eliminates the highest-severity D&amp;O claim catalyst and supports favorable underwriting consideration. (see Litigation)</w:t>
      </w:r>
    </w:p>
    <w:p>
      <w:pPr>
        <w:pStyle w:val="DOBody"/>
      </w:pPr>
      <w:r>
        <w:rPr>
          <w:b/>
        </w:rPr>
        <w:t>2. Clean Audit &amp; Accounting History</w:t>
      </w:r>
    </w:p>
    <w:p>
      <w:pPr>
        <w:pStyle w:val="DOBody"/>
      </w:pPr>
      <w:r>
        <w:t>Exxon Mobil Corp. maintains a clean audit opinion from Ernst &amp; Young (tenure: 92 years) with no material weaknesses, restatements, or going concern qualifications. The 92-year relationship with Ernst &amp; Young provides audit continuity that reduces the likelihood of restatement-driven class actions. (see Financial Health)</w:t>
      </w:r>
    </w:p>
    <w:p>
      <w:pPr>
        <w:pStyle w:val="DOBody"/>
      </w:pPr>
      <w:r>
        <w:rPr>
          <w:b/>
        </w:rPr>
        <w:t>3. Sound Financial Position</w:t>
      </w:r>
    </w:p>
    <w:p>
      <w:pPr>
        <w:pStyle w:val="DOBody"/>
      </w:pPr>
      <w:r>
        <w:t>No financial distress indicators present (Altman Z-Score of 4.48, D/E of 0.17, current ratio of 1.3x, interest coverage of 49.1x). An Altman Z of 4.48 places Exxon Mobil Corp. firmly in the safe zone, eliminating going-concern, covenant violation, and creditor-related D&amp;O exposure. (see Financial Health)</w:t>
      </w:r>
    </w:p>
    <w:p>
      <w:pPr>
        <w:pStyle w:val="DOBody"/>
      </w:pPr>
      <w:r>
        <w:rPr>
          <w:b/>
        </w:rPr>
        <w:t>4. Stable Executive Leadership</w:t>
      </w:r>
    </w:p>
    <w:p>
      <w:pPr>
        <w:pStyle w:val="DOBody"/>
      </w:pPr>
      <w:r>
        <w:t>Exxon Mobil has led Exxon Mobil Corp. for 2 years with no recent C-suite departures. With 2 years in the role, Exxon Mobil has a developing track record at Exxon Mobil Corp.. (see Governance)</w:t>
      </w:r>
    </w:p>
    <w:p>
      <w:pPr>
        <w:pStyle w:val="DOBody"/>
      </w:pPr>
      <w:r>
        <w:rPr>
          <w:b/>
        </w:rPr>
        <w:t>5. Low Short Interest</w:t>
      </w:r>
    </w:p>
    <w:p>
      <w:pPr>
        <w:pStyle w:val="DOBody"/>
      </w:pPr>
      <w:r>
        <w:t>Short interest is low at 1.3% of float, indicating institutional investors are not positioning against the stock. At 1.3%, short positioning is minimal -- there is no institutional bearish thesis driving potential short-seller reports or activist campaigns against Exxon Mobil Corp.. (see Market &amp; Trading)</w:t>
      </w:r>
    </w:p>
    <w:p>
      <w:pPr>
        <w:pStyle w:val="DOHeading3"/>
      </w:pPr>
      <w:r>
        <w:t>Claim Probability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Band</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Company Rate</w:t>
            </w:r>
          </w:p>
        </w:tc>
        <w:tc>
          <w:tcPr>
            <w:tcW w:type="dxa" w:w="5040"/>
            <w:shd w:fill="F2F4F8" w:val="clear"/>
          </w:tcPr>
          <w:p>
            <w:r>
              <w:rPr>
                <w:rFonts w:ascii="Calibri" w:hAnsi="Calibri"/>
                <w:color w:val="333333"/>
                <w:sz w:val="18"/>
              </w:rPr>
              <w:t>4.2% - 6.0%</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3.0%</w:t>
            </w:r>
          </w:p>
        </w:tc>
      </w:tr>
      <w:tr>
        <w:tc>
          <w:tcPr>
            <w:tcW w:type="dxa" w:w="5040"/>
            <w:shd w:fill="F2F4F8" w:val="clear"/>
          </w:tcPr>
          <w:p>
            <w:r>
              <w:rPr>
                <w:rFonts w:ascii="Calibri" w:hAnsi="Calibri"/>
                <w:color w:val="333333"/>
                <w:sz w:val="18"/>
              </w:rPr>
              <w:t>Severity Favorable</w:t>
            </w:r>
          </w:p>
        </w:tc>
        <w:tc>
          <w:tcPr>
            <w:tcW w:type="dxa" w:w="5040"/>
            <w:shd w:fill="F2F4F8" w:val="clear"/>
          </w:tcPr>
          <w:p>
            <w:r>
              <w:rPr>
                <w:rFonts w:ascii="Calibri" w:hAnsi="Calibri"/>
                <w:color w:val="333333"/>
                <w:sz w:val="18"/>
              </w:rPr>
              <w:t>$24.5M</w:t>
            </w:r>
          </w:p>
        </w:tc>
      </w:tr>
      <w:tr>
        <w:tc>
          <w:tcPr>
            <w:tcW w:type="dxa" w:w="5040"/>
          </w:tcPr>
          <w:p>
            <w:r>
              <w:rPr>
                <w:rFonts w:ascii="Calibri" w:hAnsi="Calibri"/>
                <w:color w:val="333333"/>
                <w:sz w:val="18"/>
              </w:rPr>
              <w:t>Severity Median</w:t>
            </w:r>
          </w:p>
        </w:tc>
        <w:tc>
          <w:tcPr>
            <w:tcW w:type="dxa" w:w="5040"/>
          </w:tcPr>
          <w:p>
            <w:r>
              <w:rPr>
                <w:rFonts w:ascii="Calibri" w:hAnsi="Calibri"/>
                <w:color w:val="333333"/>
                <w:sz w:val="18"/>
              </w:rPr>
              <w:t>$51.1M</w:t>
            </w:r>
          </w:p>
        </w:tc>
      </w:tr>
      <w:tr>
        <w:tc>
          <w:tcPr>
            <w:tcW w:type="dxa" w:w="5040"/>
            <w:shd w:fill="F2F4F8" w:val="clear"/>
          </w:tcPr>
          <w:p>
            <w:r>
              <w:rPr>
                <w:rFonts w:ascii="Calibri" w:hAnsi="Calibri"/>
                <w:color w:val="333333"/>
                <w:sz w:val="18"/>
              </w:rPr>
              <w:t>Severity Adverse</w:t>
            </w:r>
          </w:p>
        </w:tc>
        <w:tc>
          <w:tcPr>
            <w:tcW w:type="dxa" w:w="5040"/>
            <w:shd w:fill="F2F4F8" w:val="clear"/>
          </w:tcPr>
          <w:p>
            <w:r>
              <w:rPr>
                <w:rFonts w:ascii="Calibri" w:hAnsi="Calibri"/>
                <w:color w:val="333333"/>
                <w:sz w:val="18"/>
              </w:rPr>
              <w:t>$106.4M</w:t>
            </w:r>
          </w:p>
        </w:tc>
      </w:tr>
      <w:tr>
        <w:tc>
          <w:tcPr>
            <w:tcW w:type="dxa" w:w="5040"/>
          </w:tcPr>
          <w:p>
            <w:r>
              <w:rPr>
                <w:rFonts w:ascii="Calibri" w:hAnsi="Calibri"/>
                <w:color w:val="333333"/>
                <w:sz w:val="18"/>
              </w:rPr>
              <w:t>Severity Catastrophic</w:t>
            </w:r>
          </w:p>
        </w:tc>
        <w:tc>
          <w:tcPr>
            <w:tcW w:type="dxa" w:w="5040"/>
          </w:tcPr>
          <w:p>
            <w:r>
              <w:rPr>
                <w:rFonts w:ascii="Calibri" w:hAnsi="Calibri"/>
                <w:color w:val="333333"/>
                <w:sz w:val="18"/>
              </w:rPr>
              <w:t>$221.3M</w:t>
            </w:r>
          </w:p>
        </w:tc>
      </w:tr>
    </w:tbl>
    <w:p>
      <w:pPr>
        <w:pStyle w:val="DOBody"/>
      </w:pPr>
      <w:r>
        <w:t>Probability Band: MODERATE</w:t>
      </w:r>
      <w:r>
        <w:rPr>
          <w:b/>
          <w:color w:val="EAB308"/>
          <w:sz w:val="18"/>
        </w:rPr>
        <w:t xml:space="preserve"> [ELEVATED]</w:t>
      </w:r>
    </w:p>
    <w:p>
      <w:pPr>
        <w:pStyle w:val="DOBody"/>
      </w:pPr>
      <w:r>
        <w:t>The 4-6% probability band represents approximately 2x the Energy sector base rate of 3.0%. Accounts in WRITE tier historically produce claims at elevated frequency. Industry base rate: 3.0%. Tier WRITE (5-10%): Above base rate. Multiple risk factors elevate claim probability above industry average. NEEDS CALIBRATION: Probability estimates are indicative and require actuarial validation per SECT7-11. Enhanced frequency: 5.40% base x 0.88 hazard x 1.26 signal = 6.00%.</w:t>
      </w:r>
    </w:p>
    <w:p>
      <w:pPr>
        <w:pStyle w:val="DOHeading3"/>
      </w:pPr>
      <w:r>
        <w:t>Tower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Low Excess</w:t>
            </w:r>
          </w:p>
        </w:tc>
      </w:tr>
      <w:tr>
        <w:tc>
          <w:tcPr>
            <w:tcW w:type="dxa" w:w="5040"/>
            <w:shd w:fill="F2F4F8" w:val="clear"/>
          </w:tcPr>
          <w:p>
            <w:r>
              <w:rPr>
                <w:rFonts w:ascii="Calibri" w:hAnsi="Calibri"/>
                <w:color w:val="333333"/>
                <w:sz w:val="18"/>
              </w:rPr>
              <w:t>Min Attachment</w:t>
            </w:r>
          </w:p>
        </w:tc>
        <w:tc>
          <w:tcPr>
            <w:tcW w:type="dxa" w:w="5040"/>
            <w:shd w:fill="F2F4F8" w:val="clear"/>
          </w:tcPr>
          <w:p>
            <w:r>
              <w:rPr>
                <w:rFonts w:ascii="Calibri" w:hAnsi="Calibri"/>
                <w:color w:val="333333"/>
                <w:sz w:val="18"/>
              </w:rPr>
              <w:t>$42.6M (based on 50th percentile settlement)</w:t>
            </w:r>
          </w:p>
        </w:tc>
      </w:tr>
      <w:tr>
        <w:tc>
          <w:tcPr>
            <w:tcW w:type="dxa" w:w="5040"/>
          </w:tcPr>
          <w:p>
            <w:r>
              <w:rPr>
                <w:rFonts w:ascii="Calibri" w:hAnsi="Calibri"/>
                <w:color w:val="333333"/>
                <w:sz w:val="18"/>
              </w:rPr>
              <w:t>Side A/DIC</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Layer</w:t>
            </w:r>
          </w:p>
        </w:tc>
        <w:tc>
          <w:tcPr>
            <w:tcW w:type="dxa" w:w="3360"/>
            <w:shd w:fill="1A1446" w:val="clear"/>
          </w:tcPr>
          <w:p>
            <w:r>
              <w:rPr>
                <w:rFonts w:ascii="Calibri" w:hAnsi="Calibri"/>
                <w:b/>
                <w:color w:val="FFFFFF"/>
                <w:sz w:val="18"/>
              </w:rPr>
              <w:t>Risk Assessment</w:t>
            </w:r>
          </w:p>
        </w:tc>
        <w:tc>
          <w:tcPr>
            <w:tcW w:type="dxa" w:w="3360"/>
            <w:shd w:fill="1A1446" w:val="clear"/>
          </w:tcPr>
          <w:p>
            <w:r>
              <w:rPr>
                <w:rFonts w:ascii="Calibri" w:hAnsi="Calibri"/>
                <w:b/>
                <w:color w:val="FFFFFF"/>
                <w:sz w:val="18"/>
              </w:rPr>
              <w:t>Premium Guidance</w:t>
            </w:r>
          </w:p>
        </w:tc>
      </w:tr>
      <w:tr>
        <w:tc>
          <w:tcPr>
            <w:tcW w:type="dxa" w:w="3360"/>
          </w:tcPr>
          <w:p>
            <w:r>
              <w:rPr>
                <w:rFonts w:ascii="Calibri" w:hAnsi="Calibri"/>
                <w:color w:val="333333"/>
                <w:sz w:val="18"/>
              </w:rPr>
              <w:t>PRIMARY</w:t>
            </w:r>
          </w:p>
        </w:tc>
        <w:tc>
          <w:tcPr>
            <w:tcW w:type="dxa" w:w="3360"/>
          </w:tcPr>
          <w:p>
            <w:r>
              <w:rPr>
                <w:rFonts w:ascii="Calibri" w:hAnsi="Calibri"/>
                <w:color w:val="333333"/>
                <w:sz w:val="18"/>
              </w:rPr>
              <w:t>Primary layer carries 57% of expected loss exposure. Highest frequency of attachment; most likely to be eroded in any claim scenario.</w:t>
            </w:r>
          </w:p>
        </w:tc>
        <w:tc>
          <w:tcPr>
            <w:tcW w:type="dxa" w:w="3360"/>
          </w:tcPr>
          <w:p>
            <w:r>
              <w:rPr>
                <w:rFonts w:ascii="Calibri" w:hAnsi="Calibri"/>
                <w:color w:val="333333"/>
                <w:sz w:val="18"/>
              </w:rPr>
              <w:t>Full rate, slight discount for WIN</w:t>
            </w:r>
          </w:p>
        </w:tc>
      </w:tr>
      <w:tr>
        <w:tc>
          <w:tcPr>
            <w:tcW w:type="dxa" w:w="3360"/>
            <w:shd w:fill="F2F4F8" w:val="clear"/>
          </w:tcPr>
          <w:p>
            <w:r>
              <w:rPr>
                <w:rFonts w:ascii="Calibri" w:hAnsi="Calibri"/>
                <w:color w:val="333333"/>
                <w:sz w:val="18"/>
              </w:rPr>
              <w:t>LOW_EXCESS</w:t>
            </w:r>
          </w:p>
        </w:tc>
        <w:tc>
          <w:tcPr>
            <w:tcW w:type="dxa" w:w="3360"/>
            <w:shd w:fill="F2F4F8" w:val="clear"/>
          </w:tcPr>
          <w:p>
            <w:r>
              <w:rPr>
                <w:rFonts w:ascii="Calibri" w:hAnsi="Calibri"/>
                <w:color w:val="333333"/>
                <w:sz w:val="18"/>
              </w:rPr>
              <w:t>Low excess layer carries 18% of expected loss exposure. Attaches after primary exhaustion; moderate frequency in adverse scenarios.</w:t>
            </w:r>
          </w:p>
        </w:tc>
        <w:tc>
          <w:tcPr>
            <w:tcW w:type="dxa" w:w="3360"/>
            <w:shd w:fill="F2F4F8" w:val="clear"/>
          </w:tcPr>
          <w:p>
            <w:r>
              <w:rPr>
                <w:rFonts w:ascii="Calibri" w:hAnsi="Calibri"/>
                <w:color w:val="333333"/>
                <w:sz w:val="18"/>
              </w:rPr>
              <w:t>Market rate</w:t>
            </w:r>
          </w:p>
        </w:tc>
      </w:tr>
      <w:tr>
        <w:tc>
          <w:tcPr>
            <w:tcW w:type="dxa" w:w="3360"/>
          </w:tcPr>
          <w:p>
            <w:r>
              <w:rPr>
                <w:rFonts w:ascii="Calibri" w:hAnsi="Calibri"/>
                <w:color w:val="333333"/>
                <w:sz w:val="18"/>
              </w:rPr>
              <w:t>MID_EXCESS</w:t>
            </w:r>
          </w:p>
        </w:tc>
        <w:tc>
          <w:tcPr>
            <w:tcW w:type="dxa" w:w="3360"/>
          </w:tcPr>
          <w:p>
            <w:r>
              <w:rPr>
                <w:rFonts w:ascii="Calibri" w:hAnsi="Calibri"/>
                <w:color w:val="333333"/>
                <w:sz w:val="18"/>
              </w:rPr>
              <w:t>Mid excess layer carries 13% of expected loss exposure. Attaches in adverse scenarios; lower frequency but higher severity when reached.</w:t>
            </w:r>
          </w:p>
        </w:tc>
        <w:tc>
          <w:tcPr>
            <w:tcW w:type="dxa" w:w="3360"/>
          </w:tcPr>
          <w:p>
            <w:r>
              <w:rPr>
                <w:rFonts w:ascii="Calibri" w:hAnsi="Calibri"/>
                <w:color w:val="333333"/>
                <w:sz w:val="18"/>
              </w:rPr>
              <w:t>Market to 1.3x</w:t>
            </w:r>
          </w:p>
        </w:tc>
      </w:tr>
      <w:tr>
        <w:tc>
          <w:tcPr>
            <w:tcW w:type="dxa" w:w="3360"/>
            <w:shd w:fill="F2F4F8" w:val="clear"/>
          </w:tcPr>
          <w:p>
            <w:r>
              <w:rPr>
                <w:rFonts w:ascii="Calibri" w:hAnsi="Calibri"/>
                <w:color w:val="333333"/>
                <w:sz w:val="18"/>
              </w:rPr>
              <w:t>HIGH_EXCESS</w:t>
            </w:r>
          </w:p>
        </w:tc>
        <w:tc>
          <w:tcPr>
            <w:tcW w:type="dxa" w:w="3360"/>
            <w:shd w:fill="F2F4F8" w:val="clear"/>
          </w:tcPr>
          <w:p>
            <w:r>
              <w:rPr>
                <w:rFonts w:ascii="Calibri" w:hAnsi="Calibri"/>
                <w:color w:val="333333"/>
                <w:sz w:val="18"/>
              </w:rPr>
              <w:t>High excess layer carries 11% of expected loss exposure. Attaches only in catastrophic scenarios; lowest frequency, highest severity.</w:t>
            </w:r>
          </w:p>
        </w:tc>
        <w:tc>
          <w:tcPr>
            <w:tcW w:type="dxa" w:w="3360"/>
            <w:shd w:fill="F2F4F8" w:val="clear"/>
          </w:tcPr>
          <w:p>
            <w:r>
              <w:rPr>
                <w:rFonts w:ascii="Calibri" w:hAnsi="Calibri"/>
                <w:color w:val="333333"/>
                <w:sz w:val="18"/>
              </w:rPr>
              <w:t>1.3-2x with attachment</w:t>
            </w:r>
          </w:p>
        </w:tc>
      </w:tr>
      <w:tr>
        <w:tc>
          <w:tcPr>
            <w:tcW w:type="dxa" w:w="3360"/>
          </w:tcPr>
          <w:p>
            <w:r>
              <w:rPr>
                <w:rFonts w:ascii="Calibri" w:hAnsi="Calibri"/>
                <w:color w:val="333333"/>
                <w:sz w:val="18"/>
              </w:rPr>
              <w:t>DECLINE</w:t>
            </w:r>
          </w:p>
        </w:tc>
        <w:tc>
          <w:tcPr>
            <w:tcW w:type="dxa" w:w="3360"/>
          </w:tcPr>
          <w:p>
            <w:r>
              <w:rPr>
                <w:rFonts w:ascii="Calibri" w:hAnsi="Calibri"/>
                <w:color w:val="333333"/>
                <w:sz w:val="18"/>
              </w:rPr>
              <w:t>WALK+ with compounding factors</w:t>
            </w:r>
          </w:p>
        </w:tc>
        <w:tc>
          <w:tcPr>
            <w:tcW w:type="dxa" w:w="3360"/>
          </w:tcPr>
          <w:p>
            <w:r>
              <w:rPr>
                <w:rFonts w:ascii="Calibri" w:hAnsi="Calibri"/>
                <w:color w:val="333333"/>
                <w:sz w:val="18"/>
              </w:rPr>
              <w:t>N/A</w:t>
            </w:r>
          </w:p>
        </w:tc>
      </w:tr>
    </w:tbl>
    <w:p>
      <w:pPr>
        <w:pStyle w:val="DOHeading3"/>
      </w:pPr>
      <w:r>
        <w:t>Market Context</w:t>
      </w:r>
    </w:p>
    <w:p>
      <w:pPr>
        <w:pStyle w:val="DOBody"/>
      </w:pPr>
      <w:r>
        <w:t>No market pricing data available.</w:t>
      </w:r>
    </w:p>
    <w:p>
      <w:pPr>
        <w:spacing w:before="120" w:after="40"/>
        <w:pBdr>
          <w:bottom w:val="single" w:sz="6" w:space="1" w:color="FFD000"/>
        </w:pBdr>
      </w:pPr>
    </w:p>
    <w:p>
      <w:pPr>
        <w:pStyle w:val="DOBody"/>
        <w:spacing w:before="40" w:after="120"/>
      </w:pPr>
      <w:r>
        <w:rPr>
          <w:color w:val="333333"/>
          <w:sz w:val="20"/>
        </w:rPr>
        <w:t>Company Overview</w:t>
        <w:br/>
        <w:t>Exxon Mobil Corporation is a global integrated energy and petrochemical company with a $669.6 billion market cap, operating across 57,900 employees. Its principal business involves exploration for, and production of, crude oil and natural gas and the manufacture, trade, transport, and sale of petroleum products and petrochemicals, making it a bellwether for the entire hydrocarbon economy. The company's 'MEGA' risk classification and status as a Large Accelerated Filer reflect its scale and intense, multi-decade regulatory scrutiny from jurisdictions like the United States, Canada, and other non-U.S. regions.</w:t>
        <w:br/>
        <w:br/>
        <w:t>Revenue Model</w:t>
        <w:br/>
        <w:t>Revenue is driven by volatile hydrocarbon prices and refining margins, not volume alone; a $10/bbl price swing directly impacts billions in annual cash flow for a firm of this scale. The model is anchored in large-scale, long-cycle capital projects like offshore platforms and LNG facilities, which create multi-decade asset exposure tied to its 57,900-person operational footprint. While integrated operations provide some cash flow stability, the engine breaks if sustained low commodity prices collapse upstream margins and render portions of its massive reserve base economically unviable, directly challenging board-sanctioned capital allocation.</w:t>
        <w:br/>
        <w:br/>
        <w:t>D&amp;O Risk Profile</w:t>
        <w:br/>
        <w:t>Directors face existential litigation tied to the energy transition, specifically allegations that past climate disclosures misled investors on long-term asset valuations, as seen in prior shareholder suits. Multi-jurisdictional regulatory exposure is acute, with operations under SIC code 2911 in the US, Canada, and globally creating a patchwork of conflicting climate mandates that board strategies must navigate, increasing oversight liability. Employment litigation risk is elevated given the 57,900-strong workforce and industry-wide restructuring pressures, where significant workforce reductions could trigger fiduciary duty claims over workforce management.</w:t>
      </w:r>
    </w:p>
    <w:p>
      <w:pPr>
        <w:pStyle w:val="DOHeading1"/>
      </w:pPr>
      <w:r>
        <w:t>Section 2: Company Profile</w:t>
      </w:r>
    </w:p>
    <w:p>
      <w:pPr>
        <w:pStyle w:val="DOBody"/>
      </w:pPr>
      <w:r>
        <w:rPr>
          <w:rFonts w:ascii="Calibri" w:hAnsi="Calibri"/>
          <w:color w:val="333333"/>
          <w:sz w:val="20"/>
        </w:rPr>
        <w:t>EXXON MOBIL CORP operates in the Oil &amp; Gas Integrated industry. The company has 57,900 employees and $669.6B market cap. Key D&amp;O exposure factors include: Regulatory Multi Jurisdiction, Employment Litigation Risk.</w:t>
      </w:r>
      <w:r>
        <w:rPr>
          <w:rFonts w:ascii="Consolas" w:hAnsi="Consolas"/>
          <w:color w:val="666666"/>
          <w:sz w:val="16"/>
        </w:rPr>
        <w:t xml:space="preserve">  [derived:section_summary, 2026-04-02, LOW]</w:t>
      </w:r>
    </w:p>
    <w:p>
      <w:pPr>
        <w:pStyle w:val="DOHeading2"/>
      </w:pPr>
      <w:r>
        <w:t>Company Identity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Field</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Legal Name</w:t>
            </w:r>
          </w:p>
        </w:tc>
        <w:tc>
          <w:tcPr>
            <w:tcW w:type="dxa" w:w="3360"/>
          </w:tcPr>
          <w:p>
            <w:r>
              <w:rPr>
                <w:rFonts w:ascii="Calibri" w:hAnsi="Calibri"/>
                <w:color w:val="333333"/>
                <w:sz w:val="18"/>
              </w:rPr>
              <w:t>EXXON MOBIL CORP</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XOM</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CIK</w:t>
            </w:r>
          </w:p>
        </w:tc>
        <w:tc>
          <w:tcPr>
            <w:tcW w:type="dxa" w:w="3360"/>
          </w:tcPr>
          <w:p>
            <w:r>
              <w:rPr>
                <w:rFonts w:ascii="Calibri" w:hAnsi="Calibri"/>
                <w:color w:val="333333"/>
                <w:sz w:val="18"/>
              </w:rPr>
              <w:t>34088</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Energy</w:t>
            </w:r>
          </w:p>
        </w:tc>
        <w:tc>
          <w:tcPr>
            <w:tcW w:type="dxa" w:w="3360"/>
            <w:shd w:fill="F2F4F8" w:val="clear"/>
          </w:tcPr>
          <w:p>
            <w:r>
              <w:rPr>
                <w:rFonts w:ascii="Calibri" w:hAnsi="Calibri"/>
                <w:color w:val="333333"/>
                <w:sz w:val="18"/>
              </w:rPr>
              <w:t>[SEC EDGAR submissions, filed 2026-04-02, HIGH confidence]</w:t>
            </w:r>
          </w:p>
        </w:tc>
      </w:tr>
      <w:tr>
        <w:tc>
          <w:tcPr>
            <w:tcW w:type="dxa" w:w="3360"/>
          </w:tcPr>
          <w:p>
            <w:r>
              <w:rPr>
                <w:rFonts w:ascii="Calibri" w:hAnsi="Calibri"/>
                <w:color w:val="333333"/>
                <w:sz w:val="18"/>
              </w:rPr>
              <w:t>SIC Code</w:t>
            </w:r>
          </w:p>
        </w:tc>
        <w:tc>
          <w:tcPr>
            <w:tcW w:type="dxa" w:w="3360"/>
          </w:tcPr>
          <w:p>
            <w:r>
              <w:rPr>
                <w:rFonts w:ascii="Calibri" w:hAnsi="Calibri"/>
                <w:color w:val="333333"/>
                <w:sz w:val="18"/>
              </w:rPr>
              <w:t>2911</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SIC Description</w:t>
            </w:r>
          </w:p>
        </w:tc>
        <w:tc>
          <w:tcPr>
            <w:tcW w:type="dxa" w:w="3360"/>
            <w:shd w:fill="F2F4F8" w:val="clear"/>
          </w:tcPr>
          <w:p>
            <w:r>
              <w:rPr>
                <w:rFonts w:ascii="Calibri" w:hAnsi="Calibri"/>
                <w:color w:val="333333"/>
                <w:sz w:val="18"/>
              </w:rPr>
              <w:t>Petroleum Refining</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GICS Code</w:t>
            </w:r>
          </w:p>
        </w:tc>
        <w:tc>
          <w:tcPr>
            <w:tcW w:type="dxa" w:w="3360"/>
          </w:tcPr>
          <w:p>
            <w:r>
              <w:rPr>
                <w:rFonts w:ascii="Calibri" w:hAnsi="Calibri"/>
                <w:color w:val="333333"/>
                <w:sz w:val="18"/>
              </w:rPr>
              <w:t>10102030</w:t>
            </w:r>
          </w:p>
        </w:tc>
        <w:tc>
          <w:tcPr>
            <w:tcW w:type="dxa" w:w="3360"/>
          </w:tcPr>
          <w:p>
            <w:r>
              <w:rPr>
                <w:rFonts w:ascii="Calibri" w:hAnsi="Calibri"/>
                <w:color w:val="333333"/>
                <w:sz w:val="18"/>
              </w:rPr>
              <w:t>[SIC-&gt;GICS mapping (SIC 2911), filed 2026-04-02, MEDIUM confidence]</w:t>
            </w:r>
          </w:p>
        </w:tc>
      </w:tr>
      <w:tr>
        <w:tc>
          <w:tcPr>
            <w:tcW w:type="dxa" w:w="3360"/>
            <w:shd w:fill="F2F4F8" w:val="clear"/>
          </w:tcPr>
          <w:p>
            <w:r>
              <w:rPr>
                <w:rFonts w:ascii="Calibri" w:hAnsi="Calibri"/>
                <w:color w:val="333333"/>
                <w:sz w:val="18"/>
              </w:rPr>
              <w:t>NAICS Code</w:t>
            </w:r>
          </w:p>
        </w:tc>
        <w:tc>
          <w:tcPr>
            <w:tcW w:type="dxa" w:w="3360"/>
            <w:shd w:fill="F2F4F8" w:val="clear"/>
          </w:tcPr>
          <w:p>
            <w:r>
              <w:rPr>
                <w:rFonts w:ascii="Calibri" w:hAnsi="Calibri"/>
                <w:color w:val="333333"/>
                <w:sz w:val="18"/>
              </w:rPr>
              <w:t>324110</w:t>
            </w:r>
          </w:p>
        </w:tc>
        <w:tc>
          <w:tcPr>
            <w:tcW w:type="dxa" w:w="3360"/>
            <w:shd w:fill="F2F4F8" w:val="clear"/>
          </w:tcPr>
          <w:p>
            <w:r>
              <w:rPr>
                <w:rFonts w:ascii="Calibri" w:hAnsi="Calibri"/>
                <w:color w:val="333333"/>
                <w:sz w:val="18"/>
              </w:rPr>
              <w:t>[SIC-&gt;NAICS crosswalk (SIC 2911), filed 2026-04-02, MEDIUM confidence]</w:t>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NYSE</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State of Incorporation</w:t>
            </w:r>
          </w:p>
        </w:tc>
        <w:tc>
          <w:tcPr>
            <w:tcW w:type="dxa" w:w="3360"/>
            <w:shd w:fill="F2F4F8" w:val="clear"/>
          </w:tcPr>
          <w:p>
            <w:r>
              <w:rPr>
                <w:rFonts w:ascii="Calibri" w:hAnsi="Calibri"/>
                <w:color w:val="333333"/>
                <w:sz w:val="18"/>
              </w:rPr>
              <w:t>NJ</w:t>
            </w:r>
          </w:p>
        </w:tc>
        <w:tc>
          <w:tcPr>
            <w:tcW w:type="dxa" w:w="3360"/>
            <w:shd w:fill="F2F4F8" w:val="clear"/>
          </w:tcPr>
          <w:p>
            <w:r>
              <w:rPr>
                <w:rFonts w:ascii="Calibri" w:hAnsi="Calibri"/>
                <w:color w:val="333333"/>
                <w:sz w:val="18"/>
              </w:rPr>
              <w:t>[SEC EDGAR submissions, filed 2026-04-02, HIGH confidence]</w:t>
            </w:r>
          </w:p>
        </w:tc>
      </w:tr>
      <w:tr>
        <w:tc>
          <w:tcPr>
            <w:tcW w:type="dxa" w:w="3360"/>
          </w:tcPr>
          <w:p>
            <w:r>
              <w:rPr>
                <w:rFonts w:ascii="Calibri" w:hAnsi="Calibri"/>
                <w:color w:val="333333"/>
                <w:sz w:val="18"/>
              </w:rPr>
              <w:t>FPI Status</w:t>
            </w:r>
          </w:p>
        </w:tc>
        <w:tc>
          <w:tcPr>
            <w:tcW w:type="dxa" w:w="3360"/>
          </w:tcPr>
          <w:p>
            <w:r>
              <w:rPr>
                <w:rFonts w:ascii="Calibri" w:hAnsi="Calibri"/>
                <w:color w:val="333333"/>
                <w:sz w:val="18"/>
              </w:rPr>
              <w:t>No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Fiscal Year End</w:t>
            </w:r>
          </w:p>
        </w:tc>
        <w:tc>
          <w:tcPr>
            <w:tcW w:type="dxa" w:w="3360"/>
            <w:shd w:fill="F2F4F8" w:val="clear"/>
          </w:tcPr>
          <w:p>
            <w:r>
              <w:rPr>
                <w:rFonts w:ascii="Calibri" w:hAnsi="Calibri"/>
                <w:color w:val="333333"/>
                <w:sz w:val="18"/>
              </w:rPr>
              <w:t>12-31</w:t>
            </w:r>
          </w:p>
        </w:tc>
        <w:tc>
          <w:tcPr>
            <w:tcW w:type="dxa" w:w="3360"/>
            <w:shd w:fill="F2F4F8" w:val="clear"/>
          </w:tcPr>
          <w:p>
            <w:r>
              <w:rPr>
                <w:rFonts w:ascii="Calibri" w:hAnsi="Calibri"/>
                <w:color w:val="333333"/>
                <w:sz w:val="18"/>
              </w:rPr>
              <w:t>[SEC EDGAR submissions, filed 2026-04-02, HIGH confidence]</w:t>
            </w:r>
          </w:p>
        </w:tc>
      </w:tr>
    </w:tbl>
    <w:p>
      <w:pPr>
        <w:pStyle w:val="DOHeading2"/>
      </w:pPr>
      <w:r>
        <w:t>Business Description</w:t>
      </w:r>
    </w:p>
    <w:p>
      <w:pPr>
        <w:pStyle w:val="DOBody"/>
      </w:pPr>
      <w:r>
        <w:rPr>
          <w:rFonts w:ascii="Calibri" w:hAnsi="Calibri"/>
          <w:color w:val="333333"/>
          <w:sz w:val="20"/>
        </w:rPr>
        <w:t>Exxon Mobil Corporation is a global integrated energy and petrochemical company. Its principal business involves exploration for, and production of, crude oil and natural gas; manufacture, trade, transport, and sale of crude oil, natural gas, petroleum products, petrochemicals, and a wide variety of specialty products. The company also pursues lower-emission and other new business opportunities, including carbon capture and storage, hydrogen and ammonia, lower-emission fuels, Proxxima™ resin systems, carbon materials, low-carbon data centers, and lithium. Revenue is generated primarily through commodity-based sales of oil, gas, and petrochemical products, with profitability driven by operational efficiency, project management, and technology. The company operates in a highly competitive global market and maintains a long-term investment horizon, supported by a strong financial position.</w:t>
      </w:r>
      <w:r>
        <w:rPr>
          <w:rFonts w:ascii="Consolas" w:hAnsi="Consolas"/>
          <w:color w:val="666666"/>
          <w:sz w:val="16"/>
        </w:rPr>
        <w:t xml:space="preserve">  [10-K (LLM), filed 2026-04-02, HIGH confidence]</w:t>
      </w:r>
    </w:p>
    <w:p>
      <w:pPr>
        <w:pStyle w:val="DOHeading2"/>
      </w:pPr>
      <w:r>
        <w:t>Subsidiaries</w:t>
      </w:r>
    </w:p>
    <w:p>
      <w:pPr>
        <w:pStyle w:val="DOBody"/>
      </w:pPr>
      <w:r>
        <w:rPr>
          <w:rFonts w:ascii="Calibri" w:hAnsi="Calibri"/>
          <w:color w:val="333333"/>
          <w:sz w:val="20"/>
        </w:rPr>
        <w:t>Total subsidiaries: 111</w:t>
      </w:r>
      <w:r>
        <w:rPr>
          <w:rFonts w:ascii="Consolas" w:hAnsi="Consolas"/>
          <w:color w:val="666666"/>
          <w:sz w:val="16"/>
        </w:rPr>
        <w:t xml:space="preserve">  [Exhibit 21 (subsidiary list), filed 2026-04-02, HIGH confidence]</w:t>
      </w:r>
    </w:p>
    <w:p>
      <w:pPr>
        <w:pStyle w:val="DOCaption"/>
      </w:pPr>
      <w:r>
        <w:t>D&amp;O Note: 111 subsidiaries indicates complex corporate structure with multi-jurisdiction exposure.</w:t>
      </w:r>
    </w:p>
    <w:p>
      <w:pPr>
        <w:pStyle w:val="DOHeading2"/>
      </w:pPr>
      <w:r>
        <w:t>Business Model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Revenue Model</w:t>
            </w:r>
          </w:p>
        </w:tc>
        <w:tc>
          <w:tcPr>
            <w:tcW w:type="dxa" w:w="5040"/>
          </w:tcPr>
          <w:p>
            <w:r>
              <w:rPr>
                <w:rFonts w:ascii="Calibri" w:hAnsi="Calibri"/>
                <w:color w:val="333333"/>
                <w:sz w:val="18"/>
              </w:rPr>
              <w:t>TRANSACTION</w:t>
            </w:r>
          </w:p>
        </w:tc>
      </w:tr>
      <w:tr>
        <w:tc>
          <w:tcPr>
            <w:tcW w:type="dxa" w:w="5040"/>
            <w:shd w:fill="F2F4F8" w:val="clear"/>
          </w:tcPr>
          <w:p>
            <w:r>
              <w:rPr>
                <w:rFonts w:ascii="Calibri" w:hAnsi="Calibri"/>
                <w:color w:val="333333"/>
                <w:sz w:val="18"/>
              </w:rPr>
              <w:t>Key Person Risk</w:t>
            </w:r>
          </w:p>
        </w:tc>
        <w:tc>
          <w:tcPr>
            <w:tcW w:type="dxa" w:w="5040"/>
            <w:shd w:fill="F2F4F8" w:val="clear"/>
          </w:tcPr>
          <w:p>
            <w:r>
              <w:rPr>
                <w:rFonts w:ascii="Calibri" w:hAnsi="Calibri"/>
                <w:color w:val="333333"/>
                <w:sz w:val="18"/>
              </w:rPr>
              <w:t>LOW (Score: 0/3)</w:t>
            </w:r>
          </w:p>
        </w:tc>
      </w:tr>
      <w:tr>
        <w:tc>
          <w:tcPr>
            <w:tcW w:type="dxa" w:w="5040"/>
          </w:tcPr>
          <w:p>
            <w:r>
              <w:rPr>
                <w:rFonts w:ascii="Calibri" w:hAnsi="Calibri"/>
                <w:color w:val="333333"/>
                <w:sz w:val="18"/>
              </w:rPr>
              <w:t>Disruption Risk</w:t>
            </w:r>
          </w:p>
        </w:tc>
        <w:tc>
          <w:tcPr>
            <w:tcW w:type="dxa" w:w="5040"/>
          </w:tcPr>
          <w:p>
            <w:r>
              <w:rPr>
                <w:rFonts w:ascii="Calibri" w:hAnsi="Calibri"/>
                <w:color w:val="333333"/>
                <w:sz w:val="18"/>
              </w:rPr>
              <w:t>HIGH (4 threats) - Technological improvements in energy efficiency; Increased competitiveness of, or government policy support for, alternative energy sources or potential substitutes for products; Changes in technology that alter fuel choices, such as technological advances in energy storage or other critical areas that make wind, solar, nuclear, or other alternatives more competitive for power generation; Changes in customer or consumer preferences for products, including consumer demand for alternative-fueled or electric transportation or alternatives to plastic products</w:t>
            </w:r>
          </w:p>
        </w:tc>
      </w:tr>
    </w:tbl>
    <w:p>
      <w:pPr>
        <w:pStyle w:val="DOHeading2"/>
      </w:pPr>
      <w:r>
        <w:t>Operational Complexity</w:t>
      </w:r>
    </w:p>
    <w:p>
      <w:pPr>
        <w:pStyle w:val="DOBody"/>
      </w:pPr>
      <w:r>
        <w:rPr>
          <w:b/>
        </w:rPr>
        <w:t>Complexity Score: 57900/20 -- HIGH</w:t>
      </w:r>
      <w:r>
        <w:rPr>
          <w:b/>
          <w:color w:val="EA580C"/>
          <w:sz w:val="18"/>
        </w:rPr>
        <w:t xml:space="preserve"> [HIGH]</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Jurisdictions</w:t>
            </w:r>
          </w:p>
        </w:tc>
        <w:tc>
          <w:tcPr>
            <w:tcW w:type="dxa" w:w="5040"/>
          </w:tcPr>
          <w:p>
            <w:r>
              <w:rPr>
                <w:rFonts w:ascii="Calibri" w:hAnsi="Calibri"/>
                <w:color w:val="333333"/>
                <w:sz w:val="18"/>
              </w:rPr>
              <w:t>24 (8 high-regulatory)</w:t>
            </w:r>
          </w:p>
        </w:tc>
      </w:tr>
      <w:tr>
        <w:tc>
          <w:tcPr>
            <w:tcW w:type="dxa" w:w="5040"/>
            <w:shd w:fill="F2F4F8" w:val="clear"/>
          </w:tcPr>
          <w:p>
            <w:r>
              <w:rPr>
                <w:rFonts w:ascii="Calibri" w:hAnsi="Calibri"/>
                <w:color w:val="333333"/>
                <w:sz w:val="18"/>
              </w:rPr>
              <w:t>Workforce</w:t>
            </w:r>
          </w:p>
        </w:tc>
        <w:tc>
          <w:tcPr>
            <w:tcW w:type="dxa" w:w="5040"/>
            <w:shd w:fill="F2F4F8" w:val="clear"/>
          </w:tcPr>
          <w:p>
            <w:r>
              <w:rPr>
                <w:rFonts w:ascii="Calibri" w:hAnsi="Calibri"/>
                <w:color w:val="333333"/>
                <w:sz w:val="18"/>
              </w:rPr>
              <w:t>57,900</w:t>
            </w:r>
          </w:p>
        </w:tc>
      </w:tr>
      <w:tr>
        <w:tc>
          <w:tcPr>
            <w:tcW w:type="dxa" w:w="5040"/>
          </w:tcPr>
          <w:p>
            <w:r>
              <w:rPr>
                <w:rFonts w:ascii="Calibri" w:hAnsi="Calibri"/>
                <w:color w:val="333333"/>
                <w:sz w:val="18"/>
              </w:rPr>
              <w:t>Segments</w:t>
            </w:r>
          </w:p>
        </w:tc>
        <w:tc>
          <w:tcPr>
            <w:tcW w:type="dxa" w:w="5040"/>
          </w:tcPr>
          <w:p>
            <w:r>
              <w:rPr>
                <w:rFonts w:ascii="Calibri" w:hAnsi="Calibri"/>
                <w:color w:val="333333"/>
                <w:sz w:val="18"/>
              </w:rPr>
              <w:t>4</w:t>
            </w:r>
          </w:p>
        </w:tc>
      </w:tr>
      <w:tr>
        <w:tc>
          <w:tcPr>
            <w:tcW w:type="dxa" w:w="5040"/>
            <w:shd w:fill="F2F4F8" w:val="clear"/>
          </w:tcPr>
          <w:p>
            <w:r>
              <w:rPr>
                <w:rFonts w:ascii="Calibri" w:hAnsi="Calibri"/>
                <w:color w:val="333333"/>
                <w:sz w:val="18"/>
              </w:rPr>
              <w:t>Geographic Concentration</w:t>
            </w:r>
          </w:p>
        </w:tc>
        <w:tc>
          <w:tcPr>
            <w:tcW w:type="dxa" w:w="5040"/>
            <w:shd w:fill="F2F4F8" w:val="clear"/>
          </w:tcPr>
          <w:p>
            <w:r>
              <w:rPr>
                <w:rFonts w:ascii="Calibri" w:hAnsi="Calibri"/>
                <w:color w:val="333333"/>
                <w:sz w:val="18"/>
              </w:rPr>
              <w:t>17/100</w:t>
            </w:r>
          </w:p>
        </w:tc>
      </w:tr>
      <w:tr>
        <w:tc>
          <w:tcPr>
            <w:tcW w:type="dxa" w:w="5040"/>
          </w:tcPr>
          <w:p>
            <w:r>
              <w:rPr>
                <w:rFonts w:ascii="Calibri" w:hAnsi="Calibri"/>
                <w:color w:val="333333"/>
                <w:sz w:val="18"/>
              </w:rPr>
              <w:t>Supply Chain</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Overall Resilience</w:t>
            </w:r>
          </w:p>
        </w:tc>
        <w:tc>
          <w:tcPr>
            <w:tcW w:type="dxa" w:w="5040"/>
            <w:shd w:fill="F2F4F8" w:val="clear"/>
          </w:tcPr>
          <w:p>
            <w:r>
              <w:rPr>
                <w:rFonts w:ascii="Calibri" w:hAnsi="Calibri"/>
                <w:color w:val="333333"/>
                <w:sz w:val="18"/>
              </w:rPr>
              <w:t>ADEQUATE</w:t>
            </w:r>
          </w:p>
        </w:tc>
      </w:tr>
    </w:tbl>
    <w:p>
      <w:pPr>
        <w:pStyle w:val="DOCaption"/>
      </w:pPr>
      <w:r>
        <w:t>Structural Indicators: [ ] VIE / SPE  |  [ ] Dual-Class  |  [ ] Holding Depth  |  [ ] OBS Exposure</w:t>
      </w:r>
    </w:p>
    <w:p>
      <w:pPr>
        <w:pStyle w:val="DOHeading2"/>
      </w:pPr>
      <w:r>
        <w:t>Corporate Events &amp; Transaction Risk</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Event Type</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M&amp;A Activity</w:t>
            </w:r>
          </w:p>
        </w:tc>
        <w:tc>
          <w:tcPr>
            <w:tcW w:type="dxa" w:w="5040"/>
          </w:tcPr>
          <w:p>
            <w:r>
              <w:rPr>
                <w:rFonts w:ascii="Calibri" w:hAnsi="Calibri"/>
                <w:color w:val="333333"/>
                <w:sz w:val="18"/>
              </w:rPr>
              <w:t>LOW (Score: 0/4) | 0 acquisition years</w:t>
            </w:r>
          </w:p>
        </w:tc>
      </w:tr>
    </w:tbl>
    <w:p>
      <w:pPr>
        <w:pStyle w:val="DOBody"/>
      </w:pPr>
      <w:r>
        <w:rPr>
          <w:b/>
        </w:rPr>
        <w:t>Business Changes:</w:t>
      </w:r>
    </w:p>
    <w:p>
      <w:pPr>
        <w:pStyle w:val="DOBody"/>
      </w:pPr>
      <w:r>
        <w:t xml:space="preserve">  - 16 current event filings (8-K), most recent 2026-03-31</w:t>
      </w:r>
    </w:p>
    <w:p>
      <w:pPr>
        <w:pStyle w:val="DOHeading3"/>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Quality Score</w:t>
            </w:r>
          </w:p>
        </w:tc>
        <w:tc>
          <w:tcPr>
            <w:tcW w:type="dxa" w:w="2016"/>
            <w:shd w:fill="1A1446" w:val="clear"/>
          </w:tcPr>
          <w:p>
            <w:r>
              <w:rPr>
                <w:rFonts w:ascii="Calibri" w:hAnsi="Calibri"/>
                <w:b/>
                <w:color w:val="FFFFFF"/>
                <w:sz w:val="18"/>
              </w:rPr>
              <w:t>Similarity</w:t>
            </w:r>
          </w:p>
        </w:tc>
      </w:tr>
      <w:tr>
        <w:tc>
          <w:tcPr>
            <w:tcW w:type="dxa" w:w="2016"/>
          </w:tcPr>
          <w:p>
            <w:r>
              <w:rPr>
                <w:rFonts w:ascii="Calibri" w:hAnsi="Calibri"/>
                <w:color w:val="333333"/>
                <w:sz w:val="18"/>
              </w:rPr>
              <w:t>CVX</w:t>
            </w:r>
          </w:p>
        </w:tc>
        <w:tc>
          <w:tcPr>
            <w:tcW w:type="dxa" w:w="2016"/>
          </w:tcPr>
          <w:p>
            <w:r>
              <w:rPr>
                <w:rFonts w:ascii="Calibri" w:hAnsi="Calibri"/>
                <w:color w:val="333333"/>
                <w:sz w:val="18"/>
              </w:rPr>
              <w:t>Chevron Corporation</w:t>
            </w:r>
          </w:p>
        </w:tc>
        <w:tc>
          <w:tcPr>
            <w:tcW w:type="dxa" w:w="2016"/>
          </w:tcPr>
          <w:p>
            <w:r>
              <w:rPr>
                <w:rFonts w:ascii="Calibri" w:hAnsi="Calibri"/>
                <w:color w:val="333333"/>
                <w:sz w:val="18"/>
              </w:rPr>
              <w:t>$397.8B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36%</w:t>
            </w:r>
          </w:p>
        </w:tc>
      </w:tr>
      <w:tr>
        <w:tc>
          <w:tcPr>
            <w:tcW w:type="dxa" w:w="2016"/>
            <w:shd w:fill="F2F4F8" w:val="clear"/>
          </w:tcPr>
          <w:p>
            <w:r>
              <w:rPr>
                <w:rFonts w:ascii="Calibri" w:hAnsi="Calibri"/>
                <w:color w:val="333333"/>
                <w:sz w:val="18"/>
              </w:rPr>
              <w:t>COP</w:t>
            </w:r>
          </w:p>
        </w:tc>
        <w:tc>
          <w:tcPr>
            <w:tcW w:type="dxa" w:w="2016"/>
            <w:shd w:fill="F2F4F8" w:val="clear"/>
          </w:tcPr>
          <w:p>
            <w:r>
              <w:rPr>
                <w:rFonts w:ascii="Calibri" w:hAnsi="Calibri"/>
                <w:color w:val="333333"/>
                <w:sz w:val="18"/>
              </w:rPr>
              <w:t>ConocoPhillips</w:t>
            </w:r>
          </w:p>
        </w:tc>
        <w:tc>
          <w:tcPr>
            <w:tcW w:type="dxa" w:w="2016"/>
            <w:shd w:fill="F2F4F8" w:val="clear"/>
          </w:tcPr>
          <w:p>
            <w:r>
              <w:rPr>
                <w:rFonts w:ascii="Calibri" w:hAnsi="Calibri"/>
                <w:color w:val="333333"/>
                <w:sz w:val="18"/>
              </w:rPr>
              <w:t>$159.5B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14%</w:t>
            </w:r>
          </w:p>
        </w:tc>
      </w:tr>
      <w:tr>
        <w:tc>
          <w:tcPr>
            <w:tcW w:type="dxa" w:w="2016"/>
          </w:tcPr>
          <w:p>
            <w:r>
              <w:rPr>
                <w:rFonts w:ascii="Calibri" w:hAnsi="Calibri"/>
                <w:color w:val="333333"/>
                <w:sz w:val="18"/>
              </w:rPr>
              <w:t>SLB</w:t>
            </w:r>
          </w:p>
        </w:tc>
        <w:tc>
          <w:tcPr>
            <w:tcW w:type="dxa" w:w="2016"/>
          </w:tcPr>
          <w:p>
            <w:r>
              <w:rPr>
                <w:rFonts w:ascii="Calibri" w:hAnsi="Calibri"/>
                <w:color w:val="333333"/>
                <w:sz w:val="18"/>
              </w:rPr>
              <w:t>SLB Limited</w:t>
            </w:r>
          </w:p>
        </w:tc>
        <w:tc>
          <w:tcPr>
            <w:tcW w:type="dxa" w:w="2016"/>
          </w:tcPr>
          <w:p>
            <w:r>
              <w:rPr>
                <w:rFonts w:ascii="Calibri" w:hAnsi="Calibri"/>
                <w:color w:val="333333"/>
                <w:sz w:val="18"/>
              </w:rPr>
              <w:t>$74.2B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13%</w:t>
            </w:r>
          </w:p>
        </w:tc>
      </w:tr>
      <w:tr>
        <w:tc>
          <w:tcPr>
            <w:tcW w:type="dxa" w:w="2016"/>
            <w:shd w:fill="F2F4F8" w:val="clear"/>
          </w:tcPr>
          <w:p>
            <w:r>
              <w:rPr>
                <w:rFonts w:ascii="Calibri" w:hAnsi="Calibri"/>
                <w:color w:val="333333"/>
                <w:sz w:val="18"/>
              </w:rPr>
              <w:t>EOG</w:t>
            </w:r>
          </w:p>
        </w:tc>
        <w:tc>
          <w:tcPr>
            <w:tcW w:type="dxa" w:w="2016"/>
            <w:shd w:fill="F2F4F8" w:val="clear"/>
          </w:tcPr>
          <w:p>
            <w:r>
              <w:rPr>
                <w:rFonts w:ascii="Calibri" w:hAnsi="Calibri"/>
                <w:color w:val="333333"/>
                <w:sz w:val="18"/>
              </w:rPr>
              <w:t>EOG Resources, Inc.</w:t>
            </w:r>
          </w:p>
        </w:tc>
        <w:tc>
          <w:tcPr>
            <w:tcW w:type="dxa" w:w="2016"/>
            <w:shd w:fill="F2F4F8" w:val="clear"/>
          </w:tcPr>
          <w:p>
            <w:r>
              <w:rPr>
                <w:rFonts w:ascii="Calibri" w:hAnsi="Calibri"/>
                <w:color w:val="333333"/>
                <w:sz w:val="18"/>
              </w:rPr>
              <w:t>$76.5B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13%</w:t>
            </w:r>
          </w:p>
        </w:tc>
      </w:tr>
      <w:tr>
        <w:tc>
          <w:tcPr>
            <w:tcW w:type="dxa" w:w="2016"/>
          </w:tcPr>
          <w:p>
            <w:r>
              <w:rPr>
                <w:rFonts w:ascii="Calibri" w:hAnsi="Calibri"/>
                <w:color w:val="333333"/>
                <w:sz w:val="18"/>
              </w:rPr>
              <w:t>MPC</w:t>
            </w:r>
          </w:p>
        </w:tc>
        <w:tc>
          <w:tcPr>
            <w:tcW w:type="dxa" w:w="2016"/>
          </w:tcPr>
          <w:p>
            <w:r>
              <w:rPr>
                <w:rFonts w:ascii="Calibri" w:hAnsi="Calibri"/>
                <w:color w:val="333333"/>
                <w:sz w:val="18"/>
              </w:rPr>
              <w:t>Marathon Petroleum Corporation</w:t>
            </w:r>
          </w:p>
        </w:tc>
        <w:tc>
          <w:tcPr>
            <w:tcW w:type="dxa" w:w="2016"/>
          </w:tcPr>
          <w:p>
            <w:r>
              <w:rPr>
                <w:rFonts w:ascii="Calibri" w:hAnsi="Calibri"/>
                <w:color w:val="333333"/>
                <w:sz w:val="18"/>
              </w:rPr>
              <w:t>$71.2B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18%</w:t>
            </w:r>
          </w:p>
        </w:tc>
      </w:tr>
      <w:tr>
        <w:tc>
          <w:tcPr>
            <w:tcW w:type="dxa" w:w="2016"/>
            <w:shd w:fill="F2F4F8" w:val="clear"/>
          </w:tcPr>
          <w:p>
            <w:r>
              <w:rPr>
                <w:rFonts w:ascii="Calibri" w:hAnsi="Calibri"/>
                <w:color w:val="333333"/>
                <w:sz w:val="18"/>
              </w:rPr>
              <w:t>PSX</w:t>
            </w:r>
          </w:p>
        </w:tc>
        <w:tc>
          <w:tcPr>
            <w:tcW w:type="dxa" w:w="2016"/>
            <w:shd w:fill="F2F4F8" w:val="clear"/>
          </w:tcPr>
          <w:p>
            <w:r>
              <w:rPr>
                <w:rFonts w:ascii="Calibri" w:hAnsi="Calibri"/>
                <w:color w:val="333333"/>
                <w:sz w:val="18"/>
              </w:rPr>
              <w:t>Phillips 66</w:t>
            </w:r>
          </w:p>
        </w:tc>
        <w:tc>
          <w:tcPr>
            <w:tcW w:type="dxa" w:w="2016"/>
            <w:shd w:fill="F2F4F8" w:val="clear"/>
          </w:tcPr>
          <w:p>
            <w:r>
              <w:rPr>
                <w:rFonts w:ascii="Calibri" w:hAnsi="Calibri"/>
                <w:color w:val="333333"/>
                <w:sz w:val="18"/>
              </w:rPr>
              <w:t>$70.6B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19%</w:t>
            </w:r>
          </w:p>
        </w:tc>
      </w:tr>
      <w:tr>
        <w:tc>
          <w:tcPr>
            <w:tcW w:type="dxa" w:w="2016"/>
          </w:tcPr>
          <w:p>
            <w:r>
              <w:rPr>
                <w:rFonts w:ascii="Calibri" w:hAnsi="Calibri"/>
                <w:color w:val="333333"/>
                <w:sz w:val="18"/>
              </w:rPr>
              <w:t>VLO</w:t>
            </w:r>
          </w:p>
        </w:tc>
        <w:tc>
          <w:tcPr>
            <w:tcW w:type="dxa" w:w="2016"/>
          </w:tcPr>
          <w:p>
            <w:r>
              <w:rPr>
                <w:rFonts w:ascii="Calibri" w:hAnsi="Calibri"/>
                <w:color w:val="333333"/>
                <w:sz w:val="18"/>
              </w:rPr>
              <w:t>Valero Energy Corporation</w:t>
            </w:r>
          </w:p>
        </w:tc>
        <w:tc>
          <w:tcPr>
            <w:tcW w:type="dxa" w:w="2016"/>
          </w:tcPr>
          <w:p>
            <w:r>
              <w:rPr>
                <w:rFonts w:ascii="Calibri" w:hAnsi="Calibri"/>
                <w:color w:val="333333"/>
                <w:sz w:val="18"/>
              </w:rPr>
              <w:t>$73.0B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18%</w:t>
            </w:r>
          </w:p>
        </w:tc>
      </w:tr>
      <w:tr>
        <w:tc>
          <w:tcPr>
            <w:tcW w:type="dxa" w:w="2016"/>
            <w:shd w:fill="F2F4F8" w:val="clear"/>
          </w:tcPr>
          <w:p>
            <w:r>
              <w:rPr>
                <w:rFonts w:ascii="Calibri" w:hAnsi="Calibri"/>
                <w:color w:val="333333"/>
                <w:sz w:val="18"/>
              </w:rPr>
              <w:t>OXY</w:t>
            </w:r>
          </w:p>
        </w:tc>
        <w:tc>
          <w:tcPr>
            <w:tcW w:type="dxa" w:w="2016"/>
            <w:shd w:fill="F2F4F8" w:val="clear"/>
          </w:tcPr>
          <w:p>
            <w:r>
              <w:rPr>
                <w:rFonts w:ascii="Calibri" w:hAnsi="Calibri"/>
                <w:color w:val="333333"/>
                <w:sz w:val="18"/>
              </w:rPr>
              <w:t>Occidental Petroleum Corporatio</w:t>
            </w:r>
          </w:p>
        </w:tc>
        <w:tc>
          <w:tcPr>
            <w:tcW w:type="dxa" w:w="2016"/>
            <w:shd w:fill="F2F4F8" w:val="clear"/>
          </w:tcPr>
          <w:p>
            <w:r>
              <w:rPr>
                <w:rFonts w:ascii="Calibri" w:hAnsi="Calibri"/>
                <w:color w:val="333333"/>
                <w:sz w:val="18"/>
              </w:rPr>
              <w:t>$62.4B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13%</w:t>
            </w:r>
          </w:p>
        </w:tc>
      </w:tr>
      <w:tr>
        <w:tc>
          <w:tcPr>
            <w:tcW w:type="dxa" w:w="2016"/>
          </w:tcPr>
          <w:p>
            <w:r>
              <w:rPr>
                <w:rFonts w:ascii="Calibri" w:hAnsi="Calibri"/>
                <w:color w:val="333333"/>
                <w:sz w:val="18"/>
              </w:rPr>
              <w:t>PXD</w:t>
            </w:r>
          </w:p>
        </w:tc>
        <w:tc>
          <w:tcPr>
            <w:tcW w:type="dxa" w:w="2016"/>
          </w:tcPr>
          <w:p>
            <w:r>
              <w:rPr>
                <w:rFonts w:ascii="Calibri" w:hAnsi="Calibri"/>
                <w:color w:val="333333"/>
                <w:sz w:val="18"/>
              </w:rPr>
              <w:t>PXD</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Market Cap Cohort</w:t>
            </w:r>
          </w:p>
        </w:tc>
      </w:tr>
    </w:tbl>
    <w:p>
      <w:pPr>
        <w:pStyle w:val="DOBody"/>
      </w:pPr>
      <w:r>
        <w:rPr>
          <w:rFonts w:ascii="Calibri" w:hAnsi="Calibri"/>
          <w:color w:val="333333"/>
          <w:sz w:val="20"/>
        </w:rPr>
        <w:t>The peer group of 9 companies shares the same industry classification (SIC 2911). EXXON MOBIL CORP ranks at the 100th percentile among 8 peers by market capitalization.</w:t>
      </w:r>
    </w:p>
    <w:p>
      <w:pPr>
        <w:pStyle w:val="DOHeading2"/>
      </w:pPr>
      <w:r>
        <w:t>Revenue Segments</w:t>
      </w:r>
    </w:p>
    <w:p>
      <w:pPr>
        <w:pStyle w:val="DOBody"/>
      </w:pPr>
      <w:r>
        <w:t>Revenue segment data not available.</w:t>
      </w:r>
    </w:p>
    <w:p>
      <w:pPr>
        <w:pStyle w:val="DOHeading2"/>
      </w:pPr>
      <w:r>
        <w:t>Geographic Footprint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Region</w:t>
            </w:r>
          </w:p>
        </w:tc>
        <w:tc>
          <w:tcPr>
            <w:tcW w:type="dxa" w:w="3360"/>
            <w:shd w:fill="1A1446" w:val="clear"/>
          </w:tcPr>
          <w:p>
            <w:r>
              <w:rPr>
                <w:rFonts w:ascii="Calibri" w:hAnsi="Calibri"/>
                <w:b/>
                <w:color w:val="FFFFFF"/>
                <w:sz w:val="18"/>
              </w:rPr>
              <w:t>Revenue</w:t>
            </w:r>
          </w:p>
        </w:tc>
        <w:tc>
          <w:tcPr>
            <w:tcW w:type="dxa" w:w="3360"/>
            <w:shd w:fill="1A1446" w:val="clear"/>
          </w:tcPr>
          <w:p>
            <w:r>
              <w:rPr>
                <w:rFonts w:ascii="Calibri" w:hAnsi="Calibri"/>
                <w:b/>
                <w:color w:val="FFFFFF"/>
                <w:sz w:val="18"/>
              </w:rPr>
              <w:t>% of Total</w:t>
            </w:r>
          </w:p>
        </w:tc>
      </w:tr>
      <w:tr>
        <w:tc>
          <w:tcPr>
            <w:tcW w:type="dxa" w:w="3360"/>
          </w:tcPr>
          <w:p>
            <w:r>
              <w:rPr>
                <w:rFonts w:ascii="Calibri" w:hAnsi="Calibri"/>
                <w:color w:val="333333"/>
                <w:sz w:val="18"/>
              </w:rPr>
              <w:t>United States</w:t>
            </w:r>
          </w:p>
        </w:tc>
        <w:tc>
          <w:tcPr>
            <w:tcW w:type="dxa" w:w="3360"/>
          </w:tcPr>
          <w:p>
            <w:r>
              <w:rPr>
                <w:rFonts w:ascii="Calibri" w:hAnsi="Calibri"/>
                <w:color w:val="333333"/>
                <w:sz w:val="18"/>
              </w:rPr>
              <w:t>N/A</w:t>
            </w:r>
          </w:p>
        </w:tc>
        <w:tc>
          <w:tcPr>
            <w:tcW w:type="dxa" w:w="3360"/>
          </w:tcPr>
          <w:p>
            <w:r>
              <w:rPr>
                <w:rFonts w:ascii="Calibri" w:hAnsi="Calibri"/>
                <w:color w:val="333333"/>
                <w:sz w:val="18"/>
              </w:rPr>
              <w:t>$137,639 million (2025)</w:t>
            </w:r>
          </w:p>
        </w:tc>
      </w:tr>
      <w:tr>
        <w:tc>
          <w:tcPr>
            <w:tcW w:type="dxa" w:w="3360"/>
            <w:shd w:fill="F2F4F8" w:val="clear"/>
          </w:tcPr>
          <w:p>
            <w:r>
              <w:rPr>
                <w:rFonts w:ascii="Calibri" w:hAnsi="Calibri"/>
                <w:color w:val="333333"/>
                <w:sz w:val="18"/>
              </w:rPr>
              <w:t>Non-U.S.</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$186,266 million (2025)</w:t>
            </w:r>
          </w:p>
        </w:tc>
      </w:tr>
      <w:tr>
        <w:tc>
          <w:tcPr>
            <w:tcW w:type="dxa" w:w="3360"/>
          </w:tcPr>
          <w:p>
            <w:r>
              <w:rPr>
                <w:rFonts w:ascii="Calibri" w:hAnsi="Calibri"/>
                <w:color w:val="333333"/>
                <w:sz w:val="18"/>
              </w:rPr>
              <w:t>Canada</w:t>
            </w:r>
          </w:p>
        </w:tc>
        <w:tc>
          <w:tcPr>
            <w:tcW w:type="dxa" w:w="3360"/>
          </w:tcPr>
          <w:p>
            <w:r>
              <w:rPr>
                <w:rFonts w:ascii="Calibri" w:hAnsi="Calibri"/>
                <w:color w:val="333333"/>
                <w:sz w:val="18"/>
              </w:rPr>
              <w:t>N/A</w:t>
            </w:r>
          </w:p>
        </w:tc>
        <w:tc>
          <w:tcPr>
            <w:tcW w:type="dxa" w:w="3360"/>
          </w:tcPr>
          <w:p>
            <w:r>
              <w:rPr>
                <w:rFonts w:ascii="Calibri" w:hAnsi="Calibri"/>
                <w:color w:val="333333"/>
                <w:sz w:val="18"/>
              </w:rPr>
              <w:t>$27,363 million (2025)</w:t>
            </w:r>
          </w:p>
        </w:tc>
      </w:tr>
    </w:tbl>
    <w:p>
      <w:pPr>
        <w:pStyle w:val="DOHeading2"/>
      </w:pPr>
      <w:r>
        <w:t>Customer &amp; Supplier Concentration</w:t>
      </w:r>
    </w:p>
    <w:p>
      <w:pPr>
        <w:pStyle w:val="DOBody"/>
      </w:pPr>
      <w:r>
        <w:t>Concentration data not available from filings.</w:t>
      </w:r>
    </w:p>
    <w:p>
      <w:pPr>
        <w:pStyle w:val="DOHeading2"/>
      </w:pPr>
      <w:r>
        <w:t>D&amp;O Exposure Factors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Exposure Type</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Coverage Part</w:t>
            </w:r>
          </w:p>
        </w:tc>
      </w:tr>
      <w:tr>
        <w:tc>
          <w:tcPr>
            <w:tcW w:type="dxa" w:w="2520"/>
          </w:tcPr>
          <w:p>
            <w:r>
              <w:rPr>
                <w:rFonts w:ascii="Calibri" w:hAnsi="Calibri"/>
                <w:color w:val="333333"/>
                <w:sz w:val="18"/>
              </w:rPr>
              <w:t>Securities Litigation</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Shareholder class actions, SEC enforcement</w:t>
            </w:r>
          </w:p>
        </w:tc>
        <w:tc>
          <w:tcPr>
            <w:tcW w:type="dxa" w:w="2520"/>
          </w:tcPr>
          <w:p>
            <w:r>
              <w:rPr>
                <w:rFonts w:ascii="Calibri" w:hAnsi="Calibri"/>
                <w:color w:val="333333"/>
                <w:sz w:val="18"/>
              </w:rPr>
              <w:t>Side A/B/C</w:t>
            </w:r>
          </w:p>
        </w:tc>
      </w:tr>
      <w:tr>
        <w:tc>
          <w:tcPr>
            <w:tcW w:type="dxa" w:w="2520"/>
            <w:shd w:fill="F2F4F8" w:val="clear"/>
          </w:tcPr>
          <w:p>
            <w:r>
              <w:rPr>
                <w:rFonts w:ascii="Calibri" w:hAnsi="Calibri"/>
                <w:color w:val="333333"/>
                <w:sz w:val="18"/>
              </w:rPr>
              <w:t>Derivative Actions</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Breach of fiduciary duty, waste claims</w:t>
            </w:r>
          </w:p>
        </w:tc>
        <w:tc>
          <w:tcPr>
            <w:tcW w:type="dxa" w:w="2520"/>
            <w:shd w:fill="F2F4F8" w:val="clear"/>
          </w:tcPr>
          <w:p>
            <w:r>
              <w:rPr>
                <w:rFonts w:ascii="Calibri" w:hAnsi="Calibri"/>
                <w:color w:val="333333"/>
                <w:sz w:val="18"/>
              </w:rPr>
              <w:t>Side A/B</w:t>
            </w:r>
          </w:p>
        </w:tc>
      </w:tr>
      <w:tr>
        <w:tc>
          <w:tcPr>
            <w:tcW w:type="dxa" w:w="2520"/>
          </w:tcPr>
          <w:p>
            <w:r>
              <w:rPr>
                <w:rFonts w:ascii="Calibri" w:hAnsi="Calibri"/>
                <w:color w:val="333333"/>
                <w:sz w:val="18"/>
              </w:rPr>
              <w:t>Employment Practices</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Discrimination, harassment, wrongful termination</w:t>
            </w:r>
          </w:p>
        </w:tc>
        <w:tc>
          <w:tcPr>
            <w:tcW w:type="dxa" w:w="2520"/>
          </w:tcPr>
          <w:p>
            <w:r>
              <w:rPr>
                <w:rFonts w:ascii="Calibri" w:hAnsi="Calibri"/>
                <w:color w:val="333333"/>
                <w:sz w:val="18"/>
              </w:rPr>
              <w:t>Side B/C (EPLI)</w:t>
            </w:r>
          </w:p>
        </w:tc>
      </w:tr>
      <w:tr>
        <w:tc>
          <w:tcPr>
            <w:tcW w:type="dxa" w:w="2520"/>
            <w:shd w:fill="F2F4F8" w:val="clear"/>
          </w:tcPr>
          <w:p>
            <w:r>
              <w:rPr>
                <w:rFonts w:ascii="Calibri" w:hAnsi="Calibri"/>
                <w:color w:val="333333"/>
                <w:sz w:val="18"/>
              </w:rPr>
              <w:t>Regulatory/Government</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DOJ, SEC, FTC, state AG investigations</w:t>
            </w:r>
          </w:p>
        </w:tc>
        <w:tc>
          <w:tcPr>
            <w:tcW w:type="dxa" w:w="2520"/>
            <w:shd w:fill="F2F4F8" w:val="clear"/>
          </w:tcPr>
          <w:p>
            <w:r>
              <w:rPr>
                <w:rFonts w:ascii="Calibri" w:hAnsi="Calibri"/>
                <w:color w:val="333333"/>
                <w:sz w:val="18"/>
              </w:rPr>
              <w:t>Side A (primarily)</w:t>
            </w:r>
          </w:p>
        </w:tc>
      </w:tr>
      <w:tr>
        <w:tc>
          <w:tcPr>
            <w:tcW w:type="dxa" w:w="2520"/>
          </w:tcPr>
          <w:p>
            <w:r>
              <w:rPr>
                <w:rFonts w:ascii="Calibri" w:hAnsi="Calibri"/>
                <w:color w:val="333333"/>
                <w:sz w:val="18"/>
              </w:rPr>
              <w:t>Fiduciary (ERISA)</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401(k) plan mismanagement, fee litigation</w:t>
            </w:r>
          </w:p>
        </w:tc>
        <w:tc>
          <w:tcPr>
            <w:tcW w:type="dxa" w:w="2520"/>
          </w:tcPr>
          <w:p>
            <w:r>
              <w:rPr>
                <w:rFonts w:ascii="Calibri" w:hAnsi="Calibri"/>
                <w:color w:val="333333"/>
                <w:sz w:val="18"/>
              </w:rPr>
              <w:t>Fiduciary Liability</w:t>
            </w:r>
          </w:p>
        </w:tc>
      </w:tr>
    </w:tbl>
    <w:p>
      <w:pPr>
        <w:pStyle w:val="DOCaption"/>
      </w:pPr>
      <w:r>
        <w:t>Standard D&amp;O exposure categories shown. See individual analysis sections for company-specific risk levels.</w:t>
      </w:r>
    </w:p>
    <w:p>
      <w:pPr>
        <w:pStyle w:val="DOHeading2"/>
      </w:pPr>
      <w:r>
        <w:t>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ENGY (ENGY)</w:t>
            </w:r>
          </w:p>
        </w:tc>
      </w:tr>
      <w:tr>
        <w:tc>
          <w:tcPr>
            <w:tcW w:type="dxa" w:w="5040"/>
          </w:tcPr>
          <w:p>
            <w:r>
              <w:rPr>
                <w:rFonts w:ascii="Calibri" w:hAnsi="Calibri"/>
                <w:color w:val="333333"/>
                <w:sz w:val="18"/>
              </w:rPr>
              <w:t>Years Public</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Base Filing Rate</w:t>
            </w:r>
          </w:p>
        </w:tc>
        <w:tc>
          <w:tcPr>
            <w:tcW w:type="dxa" w:w="5040"/>
            <w:shd w:fill="F2F4F8" w:val="clear"/>
          </w:tcPr>
          <w:p>
            <w:r>
              <w:rPr>
                <w:rFonts w:ascii="Calibri" w:hAnsi="Calibri"/>
                <w:color w:val="333333"/>
                <w:sz w:val="18"/>
              </w:rPr>
              <w:t>5.4%</w:t>
            </w:r>
          </w:p>
        </w:tc>
      </w:tr>
      <w:tr>
        <w:tc>
          <w:tcPr>
            <w:tcW w:type="dxa" w:w="5040"/>
          </w:tcPr>
          <w:p>
            <w:r>
              <w:rPr>
                <w:rFonts w:ascii="Calibri" w:hAnsi="Calibri"/>
                <w:color w:val="333333"/>
                <w:sz w:val="18"/>
              </w:rPr>
              <w:t>Severity Band</w:t>
            </w:r>
          </w:p>
        </w:tc>
        <w:tc>
          <w:tcPr>
            <w:tcW w:type="dxa" w:w="5040"/>
          </w:tcPr>
          <w:p>
            <w:r>
              <w:rPr>
                <w:rFonts w:ascii="Calibri" w:hAnsi="Calibri"/>
                <w:color w:val="333333"/>
                <w:sz w:val="18"/>
              </w:rPr>
              <w:t>$150.0M -- $500.0M</w:t>
            </w:r>
          </w:p>
        </w:tc>
      </w:tr>
      <w:tr>
        <w:tc>
          <w:tcPr>
            <w:tcW w:type="dxa" w:w="5040"/>
            <w:shd w:fill="F2F4F8" w:val="clear"/>
          </w:tcPr>
          <w:p>
            <w:r>
              <w:rPr>
                <w:rFonts w:ascii="Calibri" w:hAnsi="Calibri"/>
                <w:color w:val="333333"/>
                <w:sz w:val="18"/>
              </w:rPr>
              <w:t>DDL Exposure Base</w:t>
            </w:r>
          </w:p>
        </w:tc>
        <w:tc>
          <w:tcPr>
            <w:tcW w:type="dxa" w:w="5040"/>
            <w:shd w:fill="F2F4F8" w:val="clear"/>
          </w:tcPr>
          <w:p>
            <w:r>
              <w:rPr>
                <w:rFonts w:ascii="Calibri" w:hAnsi="Calibri"/>
                <w:color w:val="333333"/>
                <w:sz w:val="18"/>
              </w:rPr>
              <w:t>$100.4B</w:t>
            </w:r>
          </w:p>
        </w:tc>
      </w:tr>
      <w:tr>
        <w:tc>
          <w:tcPr>
            <w:tcW w:type="dxa" w:w="5040"/>
          </w:tcPr>
          <w:p>
            <w:r>
              <w:rPr>
                <w:rFonts w:ascii="Calibri" w:hAnsi="Calibri"/>
                <w:color w:val="333333"/>
                <w:sz w:val="18"/>
              </w:rPr>
              <w:t>IPO Multiplier</w:t>
            </w:r>
          </w:p>
        </w:tc>
        <w:tc>
          <w:tcPr>
            <w:tcW w:type="dxa" w:w="5040"/>
          </w:tcPr>
          <w:p>
            <w:r>
              <w:rPr>
                <w:rFonts w:ascii="Calibri" w:hAnsi="Calibri"/>
                <w:color w:val="333333"/>
                <w:sz w:val="18"/>
              </w:rPr>
              <w:t>1.00x</w:t>
            </w:r>
          </w:p>
        </w:tc>
      </w:tr>
      <w:tr>
        <w:tc>
          <w:tcPr>
            <w:tcW w:type="dxa" w:w="5040"/>
            <w:shd w:fill="F2F4F8" w:val="clear"/>
          </w:tcPr>
          <w:p>
            <w:r>
              <w:rPr>
                <w:rFonts w:ascii="Calibri" w:hAnsi="Calibri"/>
                <w:color w:val="333333"/>
                <w:sz w:val="18"/>
              </w:rPr>
              <w:t>Cap Filing Multiplier</w:t>
            </w:r>
          </w:p>
        </w:tc>
        <w:tc>
          <w:tcPr>
            <w:tcW w:type="dxa" w:w="5040"/>
            <w:shd w:fill="F2F4F8" w:val="clear"/>
          </w:tcPr>
          <w:p>
            <w:r>
              <w:rPr>
                <w:rFonts w:ascii="Calibri" w:hAnsi="Calibri"/>
                <w:color w:val="333333"/>
                <w:sz w:val="18"/>
              </w:rPr>
              <w:t>1.80x</w:t>
            </w:r>
          </w:p>
        </w:tc>
      </w:tr>
    </w:tbl>
    <w:p>
      <w:pPr>
        <w:pStyle w:val="DOHeading2"/>
      </w:pPr>
      <w:r>
        <w:t>Hazard Profile (Inherent Exposure Score)</w:t>
      </w:r>
    </w:p>
    <w:p>
      <w:pPr>
        <w:pStyle w:val="DOBody"/>
      </w:pPr>
      <w:r>
        <w:rPr>
          <w:b/>
        </w:rPr>
        <w:t>IES: 38/100 (MODERATE) | Multiplier: 0.88x | Data Coverage: 76%</w:t>
      </w:r>
      <w:r>
        <w:rPr>
          <w:b/>
          <w:color w:val="2563EB"/>
          <w:sz w:val="18"/>
        </w:rPr>
        <w:t xml:space="preserve"> [MODERATE]</w:t>
      </w:r>
    </w:p>
    <w:p>
      <w:pPr>
        <w:pStyle w:val="DOHeading3"/>
      </w:pPr>
      <w:r>
        <w:t>Top Risk Dimensions (Elevated+)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Dimension</w:t>
            </w:r>
          </w:p>
        </w:tc>
        <w:tc>
          <w:tcPr>
            <w:tcW w:type="dxa" w:w="2520"/>
            <w:shd w:fill="1A1446" w:val="clear"/>
          </w:tcPr>
          <w:p>
            <w:r>
              <w:rPr>
                <w:rFonts w:ascii="Calibri" w:hAnsi="Calibri"/>
                <w:b/>
                <w:color w:val="FFFFFF"/>
                <w:sz w:val="18"/>
              </w:rPr>
              <w:t>Score</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Evidence</w:t>
            </w:r>
          </w:p>
        </w:tc>
      </w:tr>
      <w:tr>
        <w:tc>
          <w:tcPr>
            <w:tcW w:type="dxa" w:w="2520"/>
          </w:tcPr>
          <w:p>
            <w:r>
              <w:rPr>
                <w:rFonts w:ascii="Calibri" w:hAnsi="Calibri"/>
                <w:color w:val="333333"/>
                <w:sz w:val="18"/>
              </w:rPr>
              <w:t>ESG / Climate Exposure</w:t>
            </w:r>
          </w:p>
        </w:tc>
        <w:tc>
          <w:tcPr>
            <w:tcW w:type="dxa" w:w="2520"/>
          </w:tcPr>
          <w:p>
            <w:r>
              <w:rPr>
                <w:rFonts w:ascii="Calibri" w:hAnsi="Calibri"/>
                <w:color w:val="333333"/>
                <w:sz w:val="18"/>
              </w:rPr>
              <w:t>93</w:t>
            </w:r>
          </w:p>
        </w:tc>
        <w:tc>
          <w:tcPr>
            <w:tcW w:type="dxa" w:w="2520"/>
          </w:tcPr>
          <w:p>
            <w:r>
              <w:rPr>
                <w:rFonts w:ascii="Calibri" w:hAnsi="Calibri"/>
                <w:color w:val="333333"/>
                <w:sz w:val="18"/>
              </w:rPr>
              <w:t>CRITICAL</w:t>
            </w:r>
          </w:p>
        </w:tc>
        <w:tc>
          <w:tcPr>
            <w:tcW w:type="dxa" w:w="2520"/>
          </w:tcPr>
          <w:p>
            <w:r>
              <w:rPr>
                <w:rFonts w:ascii="Calibri" w:hAnsi="Calibri"/>
                <w:color w:val="333333"/>
                <w:sz w:val="18"/>
              </w:rPr>
              <w:t>Sector 'ENGY' has inherent ESG/climate sensitivity (2.5); 1 ESG/climate keyword hits in risk factors</w:t>
            </w:r>
          </w:p>
        </w:tc>
      </w:tr>
      <w:tr>
        <w:tc>
          <w:tcPr>
            <w:tcW w:type="dxa" w:w="2520"/>
            <w:shd w:fill="F2F4F8" w:val="clear"/>
          </w:tcPr>
          <w:p>
            <w:r>
              <w:rPr>
                <w:rFonts w:ascii="Calibri" w:hAnsi="Calibri"/>
                <w:color w:val="333333"/>
                <w:sz w:val="18"/>
              </w:rPr>
              <w:t>Off-Balance Sheet Arrangements</w:t>
            </w:r>
          </w:p>
        </w:tc>
        <w:tc>
          <w:tcPr>
            <w:tcW w:type="dxa" w:w="2520"/>
            <w:shd w:fill="F2F4F8" w:val="clear"/>
          </w:tcPr>
          <w:p>
            <w:r>
              <w:rPr>
                <w:rFonts w:ascii="Calibri" w:hAnsi="Calibri"/>
                <w:color w:val="333333"/>
                <w:sz w:val="18"/>
              </w:rPr>
              <w:t>83</w:t>
            </w:r>
          </w:p>
        </w:tc>
        <w:tc>
          <w:tcPr>
            <w:tcW w:type="dxa" w:w="2520"/>
            <w:shd w:fill="F2F4F8" w:val="clear"/>
          </w:tcPr>
          <w:p>
            <w:r>
              <w:rPr>
                <w:rFonts w:ascii="Calibri" w:hAnsi="Calibri"/>
                <w:color w:val="333333"/>
                <w:sz w:val="18"/>
              </w:rPr>
              <w:t>CRITICAL</w:t>
            </w:r>
          </w:p>
        </w:tc>
        <w:tc>
          <w:tcPr>
            <w:tcW w:type="dxa" w:w="2520"/>
            <w:shd w:fill="F2F4F8" w:val="clear"/>
          </w:tcPr>
          <w:p>
            <w:r>
              <w:rPr>
                <w:rFonts w:ascii="Calibri" w:hAnsi="Calibri"/>
                <w:color w:val="333333"/>
                <w:sz w:val="18"/>
              </w:rPr>
              <w:t>Multiple OBS indicators: FINANCIAL: Economic Conditions Impacting Demand, OPERATIONAL: Operational Efficiency and Cost Control, OPERATIONAL: Research and Development and Technological Change; Estimated from related indicators.</w:t>
            </w:r>
          </w:p>
        </w:tc>
      </w:tr>
      <w:tr>
        <w:tc>
          <w:tcPr>
            <w:tcW w:type="dxa" w:w="2520"/>
          </w:tcPr>
          <w:p>
            <w:r>
              <w:rPr>
                <w:rFonts w:ascii="Calibri" w:hAnsi="Calibri"/>
                <w:color w:val="333333"/>
                <w:sz w:val="18"/>
              </w:rPr>
              <w:t>Regulatory Intensity</w:t>
            </w:r>
          </w:p>
        </w:tc>
        <w:tc>
          <w:tcPr>
            <w:tcW w:type="dxa" w:w="2520"/>
          </w:tcPr>
          <w:p>
            <w:r>
              <w:rPr>
                <w:rFonts w:ascii="Calibri" w:hAnsi="Calibri"/>
                <w:color w:val="333333"/>
                <w:sz w:val="18"/>
              </w:rPr>
              <w:t>70</w:t>
            </w:r>
          </w:p>
        </w:tc>
        <w:tc>
          <w:tcPr>
            <w:tcW w:type="dxa" w:w="2520"/>
          </w:tcPr>
          <w:p>
            <w:r>
              <w:rPr>
                <w:rFonts w:ascii="Calibri" w:hAnsi="Calibri"/>
                <w:color w:val="333333"/>
                <w:sz w:val="18"/>
              </w:rPr>
              <w:t>HIGH</w:t>
            </w:r>
          </w:p>
        </w:tc>
        <w:tc>
          <w:tcPr>
            <w:tcW w:type="dxa" w:w="2520"/>
          </w:tcPr>
          <w:p>
            <w:r>
              <w:rPr>
                <w:rFonts w:ascii="Calibri" w:hAnsi="Calibri"/>
                <w:color w:val="333333"/>
                <w:sz w:val="18"/>
              </w:rPr>
              <w:t>Sector 'ENGY' regulatory intensity: 3.5/5.0</w:t>
            </w:r>
          </w:p>
        </w:tc>
      </w:tr>
      <w:tr>
        <w:tc>
          <w:tcPr>
            <w:tcW w:type="dxa" w:w="2520"/>
            <w:shd w:fill="F2F4F8" w:val="clear"/>
          </w:tcPr>
          <w:p>
            <w:r>
              <w:rPr>
                <w:rFonts w:ascii="Calibri" w:hAnsi="Calibri"/>
                <w:color w:val="333333"/>
                <w:sz w:val="18"/>
              </w:rPr>
              <w:t>Board Independence</w:t>
            </w:r>
          </w:p>
        </w:tc>
        <w:tc>
          <w:tcPr>
            <w:tcW w:type="dxa" w:w="2520"/>
            <w:shd w:fill="F2F4F8" w:val="clear"/>
          </w:tcPr>
          <w:p>
            <w:r>
              <w:rPr>
                <w:rFonts w:ascii="Calibri" w:hAnsi="Calibri"/>
                <w:color w:val="333333"/>
                <w:sz w:val="18"/>
              </w:rPr>
              <w:t>70</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Proxy: independence score 3.0; Estimated from related indicators.</w:t>
            </w:r>
          </w:p>
        </w:tc>
      </w:tr>
      <w:tr>
        <w:tc>
          <w:tcPr>
            <w:tcW w:type="dxa" w:w="2520"/>
          </w:tcPr>
          <w:p>
            <w:r>
              <w:rPr>
                <w:rFonts w:ascii="Calibri" w:hAnsi="Calibri"/>
                <w:color w:val="333333"/>
                <w:sz w:val="18"/>
              </w:rPr>
              <w:t>Capital Intensity</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CapEx/Revenue 8.5% (MODERATE); PP&amp;E/Assets 66.7% (HIGH)</w:t>
            </w:r>
          </w:p>
        </w:tc>
      </w:tr>
      <w:tr>
        <w:tc>
          <w:tcPr>
            <w:tcW w:type="dxa" w:w="2520"/>
            <w:shd w:fill="F2F4F8" w:val="clear"/>
          </w:tcPr>
          <w:p>
            <w:r>
              <w:rPr>
                <w:rFonts w:ascii="Calibri" w:hAnsi="Calibri"/>
                <w:color w:val="333333"/>
                <w:sz w:val="18"/>
              </w:rPr>
              <w:t>Industry Expertise Match</w:t>
            </w:r>
          </w:p>
        </w:tc>
        <w:tc>
          <w:tcPr>
            <w:tcW w:type="dxa" w:w="2520"/>
            <w:shd w:fill="F2F4F8" w:val="clear"/>
          </w:tcPr>
          <w:p>
            <w:r>
              <w:rPr>
                <w:rFonts w:ascii="Calibri" w:hAnsi="Calibri"/>
                <w:color w:val="333333"/>
                <w:sz w:val="18"/>
              </w:rPr>
              <w:t>67</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No executives with explicit ENGY background in bios</w:t>
            </w:r>
          </w:p>
        </w:tc>
      </w:tr>
      <w:tr>
        <w:tc>
          <w:tcPr>
            <w:tcW w:type="dxa" w:w="2520"/>
          </w:tcPr>
          <w:p>
            <w:r>
              <w:rPr>
                <w:rFonts w:ascii="Calibri" w:hAnsi="Calibri"/>
                <w:color w:val="333333"/>
                <w:sz w:val="18"/>
              </w:rPr>
              <w:t>Geographic Complexity</w:t>
            </w:r>
          </w:p>
        </w:tc>
        <w:tc>
          <w:tcPr>
            <w:tcW w:type="dxa" w:w="2520"/>
          </w:tcPr>
          <w:p>
            <w:r>
              <w:rPr>
                <w:rFonts w:ascii="Calibri" w:hAnsi="Calibri"/>
                <w:color w:val="333333"/>
                <w:sz w:val="18"/>
              </w:rPr>
              <w:t>60</w:t>
            </w:r>
          </w:p>
        </w:tc>
        <w:tc>
          <w:tcPr>
            <w:tcW w:type="dxa" w:w="2520"/>
          </w:tcPr>
          <w:p>
            <w:r>
              <w:rPr>
                <w:rFonts w:ascii="Calibri" w:hAnsi="Calibri"/>
                <w:color w:val="333333"/>
                <w:sz w:val="18"/>
              </w:rPr>
              <w:t>ELEVATED</w:t>
            </w:r>
          </w:p>
        </w:tc>
        <w:tc>
          <w:tcPr>
            <w:tcW w:type="dxa" w:w="2520"/>
          </w:tcPr>
          <w:p>
            <w:r>
              <w:rPr>
                <w:rFonts w:ascii="Calibri" w:hAnsi="Calibri"/>
                <w:color w:val="333333"/>
                <w:sz w:val="18"/>
              </w:rPr>
              <w:t>3 geographic regions, 111 subsidiaries (HIGH)</w:t>
            </w:r>
          </w:p>
        </w:tc>
      </w:tr>
      <w:tr>
        <w:tc>
          <w:tcPr>
            <w:tcW w:type="dxa" w:w="2520"/>
            <w:shd w:fill="F2F4F8" w:val="clear"/>
          </w:tcPr>
          <w:p>
            <w:r>
              <w:rPr>
                <w:rFonts w:ascii="Calibri" w:hAnsi="Calibri"/>
                <w:color w:val="333333"/>
                <w:sz w:val="18"/>
              </w:rPr>
              <w:t>Anti-Takeover Provisions</w:t>
            </w:r>
          </w:p>
        </w:tc>
        <w:tc>
          <w:tcPr>
            <w:tcW w:type="dxa" w:w="2520"/>
            <w:shd w:fill="F2F4F8" w:val="clear"/>
          </w:tcPr>
          <w:p>
            <w:r>
              <w:rPr>
                <w:rFonts w:ascii="Calibri" w:hAnsi="Calibri"/>
                <w:color w:val="333333"/>
                <w:sz w:val="18"/>
              </w:rPr>
              <w:t>59</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Proxy: governance score 40.8; Estimated from related indicators.</w:t>
            </w:r>
          </w:p>
        </w:tc>
      </w:tr>
      <w:tr>
        <w:tc>
          <w:tcPr>
            <w:tcW w:type="dxa" w:w="2520"/>
          </w:tcPr>
          <w:p>
            <w:r>
              <w:rPr>
                <w:rFonts w:ascii="Calibri" w:hAnsi="Calibri"/>
                <w:color w:val="333333"/>
                <w:sz w:val="18"/>
              </w:rPr>
              <w:t>Customer &amp; Supplier Concentration</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IP Dependency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Scale Experience Mismatch</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Key Person Dependency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Management Turnover</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Goodwill-Heavy Balance Sheet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Related Party Transactions</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Capital Markets Activity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Audit Committee Quality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Committee quality score 0.0/10 (weak); Estimated from related indicators.</w:t>
            </w:r>
          </w:p>
        </w:tc>
      </w:tr>
      <w:tr>
        <w:tc>
          <w:tcPr>
            <w:tcW w:type="dxa" w:w="2520"/>
            <w:shd w:fill="F2F4F8" w:val="clear"/>
          </w:tcPr>
          <w:p>
            <w:r>
              <w:rPr>
                <w:rFonts w:ascii="Calibri" w:hAnsi="Calibri"/>
                <w:color w:val="333333"/>
                <w:sz w:val="18"/>
              </w:rPr>
              <w:t>IPO Recency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Method of Going Public</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Seasoning &amp; Track Record</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Market Cycle Position</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Market cycle scored at config default (moderate -- apply system-wide); Estimated from related indicators.</w:t>
            </w:r>
          </w:p>
        </w:tc>
      </w:tr>
      <w:tr>
        <w:tc>
          <w:tcPr>
            <w:tcW w:type="dxa" w:w="2520"/>
            <w:shd w:fill="F2F4F8" w:val="clear"/>
          </w:tcPr>
          <w:p>
            <w:r>
              <w:rPr>
                <w:rFonts w:ascii="Calibri" w:hAnsi="Calibri"/>
                <w:color w:val="333333"/>
                <w:sz w:val="18"/>
              </w:rPr>
              <w:t>Industry Regulatory Spotlight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Sector 'ENGY' regulatory spotlight level: 1.5/3.0</w:t>
            </w:r>
          </w:p>
        </w:tc>
      </w:tr>
      <w:tr>
        <w:tc>
          <w:tcPr>
            <w:tcW w:type="dxa" w:w="2520"/>
          </w:tcPr>
          <w:p>
            <w:r>
              <w:rPr>
                <w:rFonts w:ascii="Calibri" w:hAnsi="Calibri"/>
                <w:color w:val="333333"/>
                <w:sz w:val="18"/>
              </w:rPr>
              <w:t>Political &amp; Policy Environment</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Political/policy environment at config default (moderate); Estimated from related indicators.</w:t>
            </w:r>
          </w:p>
        </w:tc>
      </w:tr>
      <w:tr>
        <w:tc>
          <w:tcPr>
            <w:tcW w:type="dxa" w:w="2520"/>
            <w:shd w:fill="F2F4F8" w:val="clear"/>
          </w:tcPr>
          <w:p>
            <w:r>
              <w:rPr>
                <w:rFonts w:ascii="Calibri" w:hAnsi="Calibri"/>
                <w:color w:val="333333"/>
                <w:sz w:val="18"/>
              </w:rPr>
              <w:t>Interest Rate Environment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Interest rate environment at config default; Estimated from related indicators.</w:t>
            </w:r>
          </w:p>
        </w:tc>
      </w:tr>
      <w:tr>
        <w:tc>
          <w:tcPr>
            <w:tcW w:type="dxa" w:w="2520"/>
          </w:tcPr>
          <w:p>
            <w:r>
              <w:rPr>
                <w:rFonts w:ascii="Calibri" w:hAnsi="Calibri"/>
                <w:color w:val="333333"/>
                <w:sz w:val="18"/>
              </w:rPr>
              <w:t>Plaintiff Attorney Activity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Plaintiff attorney activity at moderate baseline (no specific data); Estimated from related indicators.</w:t>
            </w:r>
          </w:p>
        </w:tc>
      </w:tr>
      <w:tr>
        <w:tc>
          <w:tcPr>
            <w:tcW w:type="dxa" w:w="2520"/>
            <w:shd w:fill="F2F4F8" w:val="clear"/>
          </w:tcPr>
          <w:p>
            <w:r>
              <w:rPr>
                <w:rFonts w:ascii="Calibri" w:hAnsi="Calibri"/>
                <w:color w:val="333333"/>
                <w:sz w:val="18"/>
              </w:rPr>
              <w:t>Cybersecurity Governance</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Moderate cybersecurity disclosure (2 mentions); Estimated from related indicators.</w:t>
            </w:r>
          </w:p>
        </w:tc>
      </w:tr>
      <w:tr>
        <w:tc>
          <w:tcPr>
            <w:tcW w:type="dxa" w:w="2520"/>
          </w:tcPr>
          <w:p>
            <w:r>
              <w:rPr>
                <w:rFonts w:ascii="Calibri" w:hAnsi="Calibri"/>
                <w:color w:val="333333"/>
                <w:sz w:val="18"/>
              </w:rPr>
              <w:t>Crypto / Digital Asset Exposure</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Social Media / Public Persona Risk</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bl>
    <w:p>
      <w:pPr>
        <w:pStyle w:val="DOHeading3"/>
      </w:pPr>
      <w:r>
        <w:t>Interaction Effects</w:t>
      </w:r>
    </w:p>
    <w:p>
      <w:pPr>
        <w:pStyle w:val="DOBody"/>
      </w:pPr>
      <w:r>
        <w:rPr>
          <w:b/>
        </w:rPr>
        <w:t>Elevated Co-occurrence (1.09x): 7 dimensions scoring above 60% threshold</w:t>
      </w:r>
    </w:p>
    <w:p>
      <w:pPr>
        <w:pStyle w:val="DOBody"/>
      </w:pPr>
      <w:r>
        <w:rPr>
          <w:b/>
        </w:rPr>
        <w:t>Category Concentration (H1) (1.05x): 3 elevated dimensions in category H1</w:t>
      </w:r>
    </w:p>
    <w:p>
      <w:pPr>
        <w:pStyle w:val="DOHeading3"/>
      </w:pPr>
      <w:r>
        <w:t>All Hazard Dimensions (55 dimensions)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Dimension</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Exposure</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ESG / Climate Exposure</w:t>
            </w:r>
          </w:p>
        </w:tc>
        <w:tc>
          <w:tcPr>
            <w:tcW w:type="dxa" w:w="2016"/>
          </w:tcPr>
          <w:p>
            <w:r>
              <w:rPr>
                <w:rFonts w:ascii="Calibri" w:hAnsi="Calibri"/>
                <w:color w:val="333333"/>
                <w:sz w:val="18"/>
              </w:rPr>
              <w:t>93</w:t>
            </w:r>
          </w:p>
        </w:tc>
        <w:tc>
          <w:tcPr>
            <w:tcW w:type="dxa" w:w="2016"/>
          </w:tcPr>
          <w:p>
            <w:r>
              <w:rPr>
                <w:rFonts w:ascii="Calibri" w:hAnsi="Calibri"/>
                <w:color w:val="333333"/>
                <w:sz w:val="18"/>
              </w:rPr>
              <w:t>CRITICAL</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Sector 'ENGY' has inherent ESG/climate sensitivity (2.5)</w:t>
            </w:r>
          </w:p>
        </w:tc>
      </w:tr>
      <w:tr>
        <w:tc>
          <w:tcPr>
            <w:tcW w:type="dxa" w:w="2016"/>
            <w:shd w:fill="F2F4F8" w:val="clear"/>
          </w:tcPr>
          <w:p>
            <w:r>
              <w:rPr>
                <w:rFonts w:ascii="Calibri" w:hAnsi="Calibri"/>
                <w:color w:val="333333"/>
                <w:sz w:val="18"/>
              </w:rPr>
              <w:t>Off-Balance Sheet Arrangements</w:t>
            </w:r>
          </w:p>
        </w:tc>
        <w:tc>
          <w:tcPr>
            <w:tcW w:type="dxa" w:w="2016"/>
            <w:shd w:fill="F2F4F8" w:val="clear"/>
          </w:tcPr>
          <w:p>
            <w:r>
              <w:rPr>
                <w:rFonts w:ascii="Calibri" w:hAnsi="Calibri"/>
                <w:color w:val="333333"/>
                <w:sz w:val="18"/>
              </w:rPr>
              <w:t>83</w:t>
            </w:r>
          </w:p>
        </w:tc>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Multiple OBS indicators: FINANCIAL: Economic Conditions Impacting Demand, OPERATIONAL: Operational Efficiency and Cost Control, OPERATIONAL: Research and Development and Technological Change</w:t>
            </w:r>
          </w:p>
        </w:tc>
      </w:tr>
      <w:tr>
        <w:tc>
          <w:tcPr>
            <w:tcW w:type="dxa" w:w="2016"/>
          </w:tcPr>
          <w:p>
            <w:r>
              <w:rPr>
                <w:rFonts w:ascii="Calibri" w:hAnsi="Calibri"/>
                <w:color w:val="333333"/>
                <w:sz w:val="18"/>
              </w:rPr>
              <w:t>Regulatory Intensity</w:t>
            </w:r>
          </w:p>
        </w:tc>
        <w:tc>
          <w:tcPr>
            <w:tcW w:type="dxa" w:w="2016"/>
          </w:tcPr>
          <w:p>
            <w:r>
              <w:rPr>
                <w:rFonts w:ascii="Calibri" w:hAnsi="Calibri"/>
                <w:color w:val="333333"/>
                <w:sz w:val="18"/>
              </w:rPr>
              <w:t>70</w:t>
            </w:r>
          </w:p>
        </w:tc>
        <w:tc>
          <w:tcPr>
            <w:tcW w:type="dxa" w:w="2016"/>
          </w:tcPr>
          <w:p>
            <w:r>
              <w:rPr>
                <w:rFonts w:ascii="Calibri" w:hAnsi="Calibri"/>
                <w:color w:val="333333"/>
                <w:sz w:val="18"/>
              </w:rPr>
              <w:t>HIGH</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Sector 'ENGY' regulatory intensity: 3.5/5.0</w:t>
            </w:r>
          </w:p>
        </w:tc>
      </w:tr>
      <w:tr>
        <w:tc>
          <w:tcPr>
            <w:tcW w:type="dxa" w:w="2016"/>
            <w:shd w:fill="F2F4F8" w:val="clear"/>
          </w:tcPr>
          <w:p>
            <w:r>
              <w:rPr>
                <w:rFonts w:ascii="Calibri" w:hAnsi="Calibri"/>
                <w:color w:val="333333"/>
                <w:sz w:val="18"/>
              </w:rPr>
              <w:t>Board Independence</w:t>
            </w:r>
          </w:p>
        </w:tc>
        <w:tc>
          <w:tcPr>
            <w:tcW w:type="dxa" w:w="2016"/>
            <w:shd w:fill="F2F4F8" w:val="clear"/>
          </w:tcPr>
          <w:p>
            <w:r>
              <w:rPr>
                <w:rFonts w:ascii="Calibri" w:hAnsi="Calibri"/>
                <w:color w:val="333333"/>
                <w:sz w:val="18"/>
              </w:rPr>
              <w:t>70</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Proxy: independence score 3.0</w:t>
            </w:r>
          </w:p>
        </w:tc>
      </w:tr>
      <w:tr>
        <w:tc>
          <w:tcPr>
            <w:tcW w:type="dxa" w:w="2016"/>
          </w:tcPr>
          <w:p>
            <w:r>
              <w:rPr>
                <w:rFonts w:ascii="Calibri" w:hAnsi="Calibri"/>
                <w:color w:val="333333"/>
                <w:sz w:val="18"/>
              </w:rPr>
              <w:t>Capital Intensity</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CapEx/Revenue 8.5% (MODERATE)</w:t>
            </w:r>
          </w:p>
        </w:tc>
      </w:tr>
      <w:tr>
        <w:tc>
          <w:tcPr>
            <w:tcW w:type="dxa" w:w="2016"/>
            <w:shd w:fill="F2F4F8" w:val="clear"/>
          </w:tcPr>
          <w:p>
            <w:r>
              <w:rPr>
                <w:rFonts w:ascii="Calibri" w:hAnsi="Calibri"/>
                <w:color w:val="333333"/>
                <w:sz w:val="18"/>
              </w:rPr>
              <w:t>Industry Expertise Match</w:t>
            </w:r>
          </w:p>
        </w:tc>
        <w:tc>
          <w:tcPr>
            <w:tcW w:type="dxa" w:w="2016"/>
            <w:shd w:fill="F2F4F8" w:val="clear"/>
          </w:tcPr>
          <w:p>
            <w:r>
              <w:rPr>
                <w:rFonts w:ascii="Calibri" w:hAnsi="Calibri"/>
                <w:color w:val="333333"/>
                <w:sz w:val="18"/>
              </w:rPr>
              <w:t>67</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executives with explicit ENGY background in bios</w:t>
            </w:r>
          </w:p>
        </w:tc>
      </w:tr>
      <w:tr>
        <w:tc>
          <w:tcPr>
            <w:tcW w:type="dxa" w:w="2016"/>
          </w:tcPr>
          <w:p>
            <w:r>
              <w:rPr>
                <w:rFonts w:ascii="Calibri" w:hAnsi="Calibri"/>
                <w:color w:val="333333"/>
                <w:sz w:val="18"/>
              </w:rPr>
              <w:t>Geographic Complexity</w:t>
            </w:r>
          </w:p>
        </w:tc>
        <w:tc>
          <w:tcPr>
            <w:tcW w:type="dxa" w:w="2016"/>
          </w:tcPr>
          <w:p>
            <w:r>
              <w:rPr>
                <w:rFonts w:ascii="Calibri" w:hAnsi="Calibri"/>
                <w:color w:val="333333"/>
                <w:sz w:val="18"/>
              </w:rPr>
              <w:t>60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3 geographic regions, 111 subsidiaries (HIGH)</w:t>
            </w:r>
          </w:p>
        </w:tc>
      </w:tr>
      <w:tr>
        <w:tc>
          <w:tcPr>
            <w:tcW w:type="dxa" w:w="2016"/>
            <w:shd w:fill="F2F4F8" w:val="clear"/>
          </w:tcPr>
          <w:p>
            <w:r>
              <w:rPr>
                <w:rFonts w:ascii="Calibri" w:hAnsi="Calibri"/>
                <w:color w:val="333333"/>
                <w:sz w:val="18"/>
              </w:rPr>
              <w:t>Anti-Takeover Provisions</w:t>
            </w:r>
          </w:p>
        </w:tc>
        <w:tc>
          <w:tcPr>
            <w:tcW w:type="dxa" w:w="2016"/>
            <w:shd w:fill="F2F4F8" w:val="clear"/>
          </w:tcPr>
          <w:p>
            <w:r>
              <w:rPr>
                <w:rFonts w:ascii="Calibri" w:hAnsi="Calibri"/>
                <w:color w:val="333333"/>
                <w:sz w:val="18"/>
              </w:rPr>
              <w:t>59</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Proxy: governance score 40.8</w:t>
            </w:r>
          </w:p>
        </w:tc>
      </w:tr>
      <w:tr>
        <w:tc>
          <w:tcPr>
            <w:tcW w:type="dxa" w:w="2016"/>
          </w:tcPr>
          <w:p>
            <w:r>
              <w:rPr>
                <w:rFonts w:ascii="Calibri" w:hAnsi="Calibri"/>
                <w:color w:val="333333"/>
                <w:sz w:val="18"/>
              </w:rPr>
              <w:t>Customer &amp; Supplier Concentration</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IP Dependency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Scale Experience Mismatch</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Key Person Dependency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Management Turnover</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Goodwill-Heavy Balance Sheet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Related Party Transactions</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Capital Markets Activity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Audit Committee Quality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Committee quality score 0.0/10 (weak)</w:t>
            </w:r>
          </w:p>
        </w:tc>
      </w:tr>
      <w:tr>
        <w:tc>
          <w:tcPr>
            <w:tcW w:type="dxa" w:w="2016"/>
            <w:shd w:fill="F2F4F8" w:val="clear"/>
          </w:tcPr>
          <w:p>
            <w:r>
              <w:rPr>
                <w:rFonts w:ascii="Calibri" w:hAnsi="Calibri"/>
                <w:color w:val="333333"/>
                <w:sz w:val="18"/>
              </w:rPr>
              <w:t>IPO Recency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Method of Going Public</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Seasoning &amp; Track Record</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Market Cycle Position</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Market cycle scored at config default (moderate -- apply system-wide)</w:t>
            </w:r>
          </w:p>
        </w:tc>
      </w:tr>
      <w:tr>
        <w:tc>
          <w:tcPr>
            <w:tcW w:type="dxa" w:w="2016"/>
            <w:shd w:fill="F2F4F8" w:val="clear"/>
          </w:tcPr>
          <w:p>
            <w:r>
              <w:rPr>
                <w:rFonts w:ascii="Calibri" w:hAnsi="Calibri"/>
                <w:color w:val="333333"/>
                <w:sz w:val="18"/>
              </w:rPr>
              <w:t>Industry Regulatory Spotlight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Sector 'ENGY' regulatory spotlight level: 1.5/3.0</w:t>
            </w:r>
          </w:p>
        </w:tc>
      </w:tr>
      <w:tr>
        <w:tc>
          <w:tcPr>
            <w:tcW w:type="dxa" w:w="2016"/>
          </w:tcPr>
          <w:p>
            <w:r>
              <w:rPr>
                <w:rFonts w:ascii="Calibri" w:hAnsi="Calibri"/>
                <w:color w:val="333333"/>
                <w:sz w:val="18"/>
              </w:rPr>
              <w:t>Political &amp; Policy Environment</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Political/policy environment at config default (moderate)</w:t>
            </w:r>
          </w:p>
        </w:tc>
      </w:tr>
      <w:tr>
        <w:tc>
          <w:tcPr>
            <w:tcW w:type="dxa" w:w="2016"/>
            <w:shd w:fill="F2F4F8" w:val="clear"/>
          </w:tcPr>
          <w:p>
            <w:r>
              <w:rPr>
                <w:rFonts w:ascii="Calibri" w:hAnsi="Calibri"/>
                <w:color w:val="333333"/>
                <w:sz w:val="18"/>
              </w:rPr>
              <w:t>Interest Rate Environment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Interest rate environment at config default</w:t>
            </w:r>
          </w:p>
        </w:tc>
      </w:tr>
      <w:tr>
        <w:tc>
          <w:tcPr>
            <w:tcW w:type="dxa" w:w="2016"/>
          </w:tcPr>
          <w:p>
            <w:r>
              <w:rPr>
                <w:rFonts w:ascii="Calibri" w:hAnsi="Calibri"/>
                <w:color w:val="333333"/>
                <w:sz w:val="18"/>
              </w:rPr>
              <w:t>Plaintiff Attorney Activity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Plaintiff attorney activity at moderate baseline (no specific data)</w:t>
            </w:r>
          </w:p>
        </w:tc>
      </w:tr>
      <w:tr>
        <w:tc>
          <w:tcPr>
            <w:tcW w:type="dxa" w:w="2016"/>
            <w:shd w:fill="F2F4F8" w:val="clear"/>
          </w:tcPr>
          <w:p>
            <w:r>
              <w:rPr>
                <w:rFonts w:ascii="Calibri" w:hAnsi="Calibri"/>
                <w:color w:val="333333"/>
                <w:sz w:val="18"/>
              </w:rPr>
              <w:t>Cybersecurity Governance</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Moderate cybersecurity disclosure (2 mentions)</w:t>
            </w:r>
          </w:p>
        </w:tc>
      </w:tr>
      <w:tr>
        <w:tc>
          <w:tcPr>
            <w:tcW w:type="dxa" w:w="2016"/>
          </w:tcPr>
          <w:p>
            <w:r>
              <w:rPr>
                <w:rFonts w:ascii="Calibri" w:hAnsi="Calibri"/>
                <w:color w:val="333333"/>
                <w:sz w:val="18"/>
              </w:rPr>
              <w:t>Crypto / Digital Asset Exposure</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Social Media / Public Persona Risk</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Shareholder Rights</w:t>
            </w:r>
          </w:p>
        </w:tc>
        <w:tc>
          <w:tcPr>
            <w:tcW w:type="dxa" w:w="2016"/>
          </w:tcPr>
          <w:p>
            <w:r>
              <w:rPr>
                <w:rFonts w:ascii="Calibri" w:hAnsi="Calibri"/>
                <w:color w:val="333333"/>
                <w:sz w:val="18"/>
              </w:rPr>
              <w:t>33</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Governance score 40.8/100 (moderate)</w:t>
            </w:r>
          </w:p>
        </w:tc>
      </w:tr>
      <w:tr>
        <w:tc>
          <w:tcPr>
            <w:tcW w:type="dxa" w:w="2016"/>
            <w:shd w:fill="F2F4F8" w:val="clear"/>
          </w:tcPr>
          <w:p>
            <w:r>
              <w:rPr>
                <w:rFonts w:ascii="Calibri" w:hAnsi="Calibri"/>
                <w:color w:val="333333"/>
                <w:sz w:val="18"/>
              </w:rPr>
              <w:t>Management Public Company Experience</w:t>
            </w:r>
          </w:p>
        </w:tc>
        <w:tc>
          <w:tcPr>
            <w:tcW w:type="dxa" w:w="2016"/>
            <w:shd w:fill="F2F4F8" w:val="clear"/>
          </w:tcPr>
          <w:p>
            <w:r>
              <w:rPr>
                <w:rFonts w:ascii="Calibri" w:hAnsi="Calibri"/>
                <w:color w:val="333333"/>
                <w:sz w:val="18"/>
              </w:rPr>
              <w:t>30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CEO tenure 2.0y</w:t>
            </w:r>
          </w:p>
        </w:tc>
      </w:tr>
      <w:tr>
        <w:tc>
          <w:tcPr>
            <w:tcW w:type="dxa" w:w="2016"/>
          </w:tcPr>
          <w:p>
            <w:r>
              <w:rPr>
                <w:rFonts w:ascii="Calibri" w:hAnsi="Calibri"/>
                <w:color w:val="333333"/>
                <w:sz w:val="18"/>
              </w:rPr>
              <w:t>Industry Sector Risk Tier</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Sector 'ENGY' maps to risk score 2.5/10.0</w:t>
            </w:r>
          </w:p>
        </w:tc>
      </w:tr>
      <w:tr>
        <w:tc>
          <w:tcPr>
            <w:tcW w:type="dxa" w:w="2016"/>
            <w:shd w:fill="F2F4F8" w:val="clear"/>
          </w:tcPr>
          <w:p>
            <w:r>
              <w:rPr>
                <w:rFonts w:ascii="Calibri" w:hAnsi="Calibri"/>
                <w:color w:val="333333"/>
                <w:sz w:val="18"/>
              </w:rPr>
              <w:t>Technology Platform Dependency</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Low platform keyword count (2) for non-tech sector</w:t>
            </w:r>
          </w:p>
        </w:tc>
      </w:tr>
      <w:tr>
        <w:tc>
          <w:tcPr>
            <w:tcW w:type="dxa" w:w="2016"/>
          </w:tcPr>
          <w:p>
            <w:r>
              <w:rPr>
                <w:rFonts w:ascii="Calibri" w:hAnsi="Calibri"/>
                <w:color w:val="333333"/>
                <w:sz w:val="18"/>
              </w:rPr>
              <w:t>State of Incorporation</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Incorporated in NJ</w:t>
            </w:r>
          </w:p>
        </w:tc>
      </w:tr>
      <w:tr>
        <w:tc>
          <w:tcPr>
            <w:tcW w:type="dxa" w:w="2016"/>
            <w:shd w:fill="F2F4F8" w:val="clear"/>
          </w:tcPr>
          <w:p>
            <w:r>
              <w:rPr>
                <w:rFonts w:ascii="Calibri" w:hAnsi="Calibri"/>
                <w:color w:val="333333"/>
                <w:sz w:val="18"/>
              </w:rPr>
              <w:t>Geopolitical Risk</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3 geographic regions (limited international)</w:t>
            </w:r>
          </w:p>
        </w:tc>
      </w:tr>
      <w:tr>
        <w:tc>
          <w:tcPr>
            <w:tcW w:type="dxa" w:w="2016"/>
          </w:tcPr>
          <w:p>
            <w:r>
              <w:rPr>
                <w:rFonts w:ascii="Calibri" w:hAnsi="Calibri"/>
                <w:color w:val="333333"/>
                <w:sz w:val="18"/>
              </w:rPr>
              <w:t>Workforce &amp; Labor Model</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Large workforce (57,900 employees) -- labor risk surface</w:t>
            </w:r>
          </w:p>
        </w:tc>
      </w:tr>
      <w:tr>
        <w:tc>
          <w:tcPr>
            <w:tcW w:type="dxa" w:w="2016"/>
            <w:shd w:fill="F2F4F8" w:val="clear"/>
          </w:tcPr>
          <w:p>
            <w:r>
              <w:rPr>
                <w:rFonts w:ascii="Calibri" w:hAnsi="Calibri"/>
                <w:color w:val="333333"/>
                <w:sz w:val="18"/>
              </w:rPr>
              <w:t>Non-GAAP Reliance</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non-GAAP reliance indicators found</w:t>
            </w:r>
          </w:p>
        </w:tc>
      </w:tr>
      <w:tr>
        <w:tc>
          <w:tcPr>
            <w:tcW w:type="dxa" w:w="2016"/>
          </w:tcPr>
          <w:p>
            <w:r>
              <w:rPr>
                <w:rFonts w:ascii="Calibri" w:hAnsi="Calibri"/>
                <w:color w:val="333333"/>
                <w:sz w:val="18"/>
              </w:rPr>
              <w:t>Founder-Led vs Professional Management</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Professional (non-founder) CEO</w:t>
            </w:r>
          </w:p>
        </w:tc>
      </w:tr>
      <w:tr>
        <w:tc>
          <w:tcPr>
            <w:tcW w:type="dxa" w:w="2016"/>
            <w:shd w:fill="F2F4F8" w:val="clear"/>
          </w:tcPr>
          <w:p>
            <w:r>
              <w:rPr>
                <w:rFonts w:ascii="Calibri" w:hAnsi="Calibri"/>
                <w:color w:val="333333"/>
                <w:sz w:val="18"/>
              </w:rPr>
              <w:t>Cash Flow vs Earnings Divergence</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OCF/NI ratio 1.80 -- aligned</w:t>
            </w:r>
          </w:p>
        </w:tc>
      </w:tr>
      <w:tr>
        <w:tc>
          <w:tcPr>
            <w:tcW w:type="dxa" w:w="2016"/>
          </w:tcPr>
          <w:p>
            <w:r>
              <w:rPr>
                <w:rFonts w:ascii="Calibri" w:hAnsi="Calibri"/>
                <w:color w:val="333333"/>
                <w:sz w:val="18"/>
              </w:rPr>
              <w:t>Industry Litigation Wave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Sector 'ENGY' litigation wave level: 0.5/3.0</w:t>
            </w:r>
          </w:p>
        </w:tc>
      </w:tr>
      <w:tr>
        <w:tc>
          <w:tcPr>
            <w:tcW w:type="dxa" w:w="2016"/>
            <w:shd w:fill="F2F4F8" w:val="clear"/>
          </w:tcPr>
          <w:p>
            <w:r>
              <w:rPr>
                <w:rFonts w:ascii="Calibri" w:hAnsi="Calibri"/>
                <w:color w:val="333333"/>
                <w:sz w:val="18"/>
              </w:rPr>
              <w:t>AI Adoption &amp; Governance</w:t>
            </w:r>
          </w:p>
        </w:tc>
        <w:tc>
          <w:tcPr>
            <w:tcW w:type="dxa" w:w="2016"/>
            <w:shd w:fill="F2F4F8" w:val="clear"/>
          </w:tcPr>
          <w:p>
            <w:r>
              <w:rPr>
                <w:rFonts w:ascii="Calibri" w:hAnsi="Calibri"/>
                <w:color w:val="333333"/>
                <w:sz w:val="18"/>
              </w:rPr>
              <w:t>12</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AI risk score 0/100 (LOW)</w:t>
            </w:r>
          </w:p>
        </w:tc>
      </w:tr>
      <w:tr>
        <w:tc>
          <w:tcPr>
            <w:tcW w:type="dxa" w:w="2016"/>
          </w:tcPr>
          <w:p>
            <w:r>
              <w:rPr>
                <w:rFonts w:ascii="Calibri" w:hAnsi="Calibri"/>
                <w:color w:val="333333"/>
                <w:sz w:val="18"/>
              </w:rPr>
              <w:t>Speed of Growth</w:t>
            </w:r>
          </w:p>
        </w:tc>
        <w:tc>
          <w:tcPr>
            <w:tcW w:type="dxa" w:w="2016"/>
          </w:tcPr>
          <w:p>
            <w:r>
              <w:rPr>
                <w:rFonts w:ascii="Calibri" w:hAnsi="Calibri"/>
                <w:color w:val="333333"/>
                <w:sz w:val="18"/>
              </w:rPr>
              <w:t>10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Revenue growth -5.0% (STABLE)</w:t>
            </w:r>
          </w:p>
        </w:tc>
      </w:tr>
      <w:tr>
        <w:tc>
          <w:tcPr>
            <w:tcW w:type="dxa" w:w="2016"/>
            <w:shd w:fill="F2F4F8" w:val="clear"/>
          </w:tcPr>
          <w:p>
            <w:r>
              <w:rPr>
                <w:rFonts w:ascii="Calibri" w:hAnsi="Calibri"/>
                <w:color w:val="333333"/>
                <w:sz w:val="18"/>
              </w:rPr>
              <w:t>Business Model Complexity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Revenue Model Manipulation Surface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M&amp;A Activity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significant M&amp;A activity detected</w:t>
            </w:r>
          </w:p>
        </w:tc>
      </w:tr>
      <w:tr>
        <w:tc>
          <w:tcPr>
            <w:tcW w:type="dxa" w:w="2016"/>
          </w:tcPr>
          <w:p>
            <w:r>
              <w:rPr>
                <w:rFonts w:ascii="Calibri" w:hAnsi="Calibri"/>
                <w:color w:val="333333"/>
                <w:sz w:val="18"/>
              </w:rPr>
              <w:t>Dual-Class 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Board Governance Experience &amp; Quality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Tone at the Top</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Estimated from related indicators.</w:t>
            </w:r>
          </w:p>
        </w:tc>
      </w:tr>
      <w:tr>
        <w:tc>
          <w:tcPr>
            <w:tcW w:type="dxa" w:w="2016"/>
            <w:shd w:fill="F2F4F8" w:val="clear"/>
          </w:tcPr>
          <w:p>
            <w:r>
              <w:rPr>
                <w:rFonts w:ascii="Calibri" w:hAnsi="Calibri"/>
                <w:color w:val="333333"/>
                <w:sz w:val="18"/>
              </w:rPr>
              <w:t>Leverage &amp; Capital 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Debt/Equity 0.17 (LOW)</w:t>
            </w:r>
          </w:p>
        </w:tc>
      </w:tr>
      <w:tr>
        <w:tc>
          <w:tcPr>
            <w:tcW w:type="dxa" w:w="2016"/>
          </w:tcPr>
          <w:p>
            <w:r>
              <w:rPr>
                <w:rFonts w:ascii="Calibri" w:hAnsi="Calibri"/>
                <w:color w:val="333333"/>
                <w:sz w:val="18"/>
              </w:rPr>
              <w:t>Earnings Quality Characteristics</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Beneish M-Score -3.28 -- safe zone</w:t>
            </w:r>
          </w:p>
        </w:tc>
      </w:tr>
      <w:tr>
        <w:tc>
          <w:tcPr>
            <w:tcW w:type="dxa" w:w="2016"/>
            <w:shd w:fill="F2F4F8" w:val="clear"/>
          </w:tcPr>
          <w:p>
            <w:r>
              <w:rPr>
                <w:rFonts w:ascii="Calibri" w:hAnsi="Calibri"/>
                <w:color w:val="333333"/>
                <w:sz w:val="18"/>
              </w:rPr>
              <w:t>Pre-Revenue / Cash Burn</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Revenue-generating company with positive cash flow profile</w:t>
            </w:r>
          </w:p>
        </w:tc>
      </w:tr>
      <w:tr>
        <w:tc>
          <w:tcPr>
            <w:tcW w:type="dxa" w:w="2016"/>
          </w:tcPr>
          <w:p>
            <w:r>
              <w:rPr>
                <w:rFonts w:ascii="Calibri" w:hAnsi="Calibri"/>
                <w:color w:val="333333"/>
                <w:sz w:val="18"/>
              </w:rPr>
              <w:t>Combined CEO / Board Chair</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CEO and Chair roles separated</w:t>
            </w:r>
          </w:p>
        </w:tc>
      </w:tr>
      <w:tr>
        <w:tc>
          <w:tcPr>
            <w:tcW w:type="dxa" w:w="2016"/>
            <w:shd w:fill="F2F4F8" w:val="clear"/>
          </w:tcPr>
          <w:p>
            <w:r>
              <w:rPr>
                <w:rFonts w:ascii="Calibri" w:hAnsi="Calibri"/>
                <w:color w:val="333333"/>
                <w:sz w:val="18"/>
              </w:rPr>
              <w:t>Compensation 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Clawback policy in place</w:t>
            </w:r>
          </w:p>
        </w:tc>
      </w:tr>
      <w:tr>
        <w:tc>
          <w:tcPr>
            <w:tcW w:type="dxa" w:w="2016"/>
          </w:tcPr>
          <w:p>
            <w:r>
              <w:rPr>
                <w:rFonts w:ascii="Calibri" w:hAnsi="Calibri"/>
                <w:color w:val="333333"/>
                <w:sz w:val="18"/>
              </w:rPr>
              <w:t>Compliance Infrastructure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No material weaknesses or going concern issues identified</w:t>
            </w:r>
          </w:p>
        </w:tc>
      </w:tr>
      <w:tr>
        <w:tc>
          <w:tcPr>
            <w:tcW w:type="dxa" w:w="2016"/>
            <w:shd w:fill="F2F4F8" w:val="clear"/>
          </w:tcPr>
          <w:p>
            <w:r>
              <w:rPr>
                <w:rFonts w:ascii="Calibri" w:hAnsi="Calibri"/>
                <w:color w:val="333333"/>
                <w:sz w:val="18"/>
              </w:rPr>
              <w:t>Exchange &amp; Index Membership</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Listed on NYSE (major exchange -- standard oversight)</w:t>
            </w:r>
          </w:p>
        </w:tc>
      </w:tr>
      <w:tr>
        <w:tc>
          <w:tcPr>
            <w:tcW w:type="dxa" w:w="2016"/>
          </w:tcPr>
          <w:p>
            <w:r>
              <w:rPr>
                <w:rFonts w:ascii="Calibri" w:hAnsi="Calibri"/>
                <w:color w:val="333333"/>
                <w:sz w:val="18"/>
              </w:rPr>
              <w:t>FPI / ADR Status</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Domestic issuer (standard SEC reporting)</w:t>
            </w:r>
          </w:p>
        </w:tc>
      </w:tr>
    </w:tbl>
    <w:p>
      <w:pPr>
        <w:pStyle w:val="DOHeading3"/>
      </w:pPr>
      <w:r>
        <w:t>Category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Category</w:t>
            </w:r>
          </w:p>
        </w:tc>
        <w:tc>
          <w:tcPr>
            <w:tcW w:type="dxa" w:w="1680"/>
            <w:shd w:fill="1A1446" w:val="clear"/>
          </w:tcPr>
          <w:p>
            <w:r>
              <w:rPr>
                <w:rFonts w:ascii="Calibri" w:hAnsi="Calibri"/>
                <w:b/>
                <w:color w:val="FFFFFF"/>
                <w:sz w:val="18"/>
              </w:rPr>
              <w:t>Weight</w:t>
            </w:r>
          </w:p>
        </w:tc>
        <w:tc>
          <w:tcPr>
            <w:tcW w:type="dxa" w:w="1680"/>
            <w:shd w:fill="1A1446" w:val="clear"/>
          </w:tcPr>
          <w:p>
            <w:r>
              <w:rPr>
                <w:rFonts w:ascii="Calibri" w:hAnsi="Calibri"/>
                <w:b/>
                <w:color w:val="FFFFFF"/>
                <w:sz w:val="18"/>
              </w:rPr>
              <w:t>Score</w:t>
            </w:r>
          </w:p>
        </w:tc>
        <w:tc>
          <w:tcPr>
            <w:tcW w:type="dxa" w:w="1680"/>
            <w:shd w:fill="1A1446" w:val="clear"/>
          </w:tcPr>
          <w:p>
            <w:r>
              <w:rPr>
                <w:rFonts w:ascii="Calibri" w:hAnsi="Calibri"/>
                <w:b/>
                <w:color w:val="FFFFFF"/>
                <w:sz w:val="18"/>
              </w:rPr>
              <w:t>Weighted</w:t>
            </w:r>
          </w:p>
        </w:tc>
        <w:tc>
          <w:tcPr>
            <w:tcW w:type="dxa" w:w="1680"/>
            <w:shd w:fill="1A1446" w:val="clear"/>
          </w:tcPr>
          <w:p>
            <w:r>
              <w:rPr>
                <w:rFonts w:ascii="Calibri" w:hAnsi="Calibri"/>
                <w:b/>
                <w:color w:val="FFFFFF"/>
                <w:sz w:val="18"/>
              </w:rPr>
              <w:t>Dims Scored</w:t>
            </w:r>
          </w:p>
        </w:tc>
        <w:tc>
          <w:tcPr>
            <w:tcW w:type="dxa" w:w="1680"/>
            <w:shd w:fill="1A1446" w:val="clear"/>
          </w:tcPr>
          <w:p>
            <w:r>
              <w:rPr>
                <w:rFonts w:ascii="Calibri" w:hAnsi="Calibri"/>
                <w:b/>
                <w:color w:val="FFFFFF"/>
                <w:sz w:val="18"/>
              </w:rPr>
              <w:t>Coverage</w:t>
            </w:r>
          </w:p>
        </w:tc>
      </w:tr>
      <w:tr>
        <w:tc>
          <w:tcPr>
            <w:tcW w:type="dxa" w:w="1680"/>
          </w:tcPr>
          <w:p>
            <w:r>
              <w:rPr>
                <w:rFonts w:ascii="Calibri" w:hAnsi="Calibri"/>
                <w:color w:val="333333"/>
                <w:sz w:val="18"/>
              </w:rPr>
              <w:t>Business &amp; Operating Model</w:t>
            </w:r>
          </w:p>
        </w:tc>
        <w:tc>
          <w:tcPr>
            <w:tcW w:type="dxa" w:w="1680"/>
          </w:tcPr>
          <w:p>
            <w:r>
              <w:rPr>
                <w:rFonts w:ascii="Calibri" w:hAnsi="Calibri"/>
                <w:color w:val="333333"/>
                <w:sz w:val="18"/>
              </w:rPr>
              <w:t>32.5%</w:t>
            </w:r>
          </w:p>
        </w:tc>
        <w:tc>
          <w:tcPr>
            <w:tcW w:type="dxa" w:w="1680"/>
          </w:tcPr>
          <w:p>
            <w:r>
              <w:rPr>
                <w:rFonts w:ascii="Calibri" w:hAnsi="Calibri"/>
                <w:color w:val="333333"/>
                <w:sz w:val="18"/>
              </w:rPr>
              <w:t>28.7</w:t>
            </w:r>
          </w:p>
        </w:tc>
        <w:tc>
          <w:tcPr>
            <w:tcW w:type="dxa" w:w="1680"/>
          </w:tcPr>
          <w:p>
            <w:r>
              <w:rPr>
                <w:rFonts w:ascii="Calibri" w:hAnsi="Calibri"/>
                <w:color w:val="333333"/>
                <w:sz w:val="18"/>
              </w:rPr>
              <w:t>9.3</w:t>
            </w:r>
          </w:p>
        </w:tc>
        <w:tc>
          <w:tcPr>
            <w:tcW w:type="dxa" w:w="1680"/>
          </w:tcPr>
          <w:p>
            <w:r>
              <w:rPr>
                <w:rFonts w:ascii="Calibri" w:hAnsi="Calibri"/>
                <w:color w:val="333333"/>
                <w:sz w:val="18"/>
              </w:rPr>
              <w:t>11/13</w:t>
            </w:r>
          </w:p>
        </w:tc>
        <w:tc>
          <w:tcPr>
            <w:tcW w:type="dxa" w:w="1680"/>
          </w:tcPr>
          <w:p>
            <w:r>
              <w:rPr>
                <w:rFonts w:ascii="Calibri" w:hAnsi="Calibri"/>
                <w:color w:val="333333"/>
                <w:sz w:val="18"/>
              </w:rPr>
              <w:t>85%</w:t>
            </w:r>
          </w:p>
        </w:tc>
      </w:tr>
      <w:tr>
        <w:tc>
          <w:tcPr>
            <w:tcW w:type="dxa" w:w="1680"/>
            <w:shd w:fill="F2F4F8" w:val="clear"/>
          </w:tcPr>
          <w:p>
            <w:r>
              <w:rPr>
                <w:rFonts w:ascii="Calibri" w:hAnsi="Calibri"/>
                <w:color w:val="333333"/>
                <w:sz w:val="18"/>
              </w:rPr>
              <w:t>People &amp; Management</w:t>
            </w:r>
          </w:p>
        </w:tc>
        <w:tc>
          <w:tcPr>
            <w:tcW w:type="dxa" w:w="1680"/>
            <w:shd w:fill="F2F4F8" w:val="clear"/>
          </w:tcPr>
          <w:p>
            <w:r>
              <w:rPr>
                <w:rFonts w:ascii="Calibri" w:hAnsi="Calibri"/>
                <w:color w:val="333333"/>
                <w:sz w:val="18"/>
              </w:rPr>
              <w:t>15.0%</w:t>
            </w:r>
          </w:p>
        </w:tc>
        <w:tc>
          <w:tcPr>
            <w:tcW w:type="dxa" w:w="1680"/>
            <w:shd w:fill="F2F4F8" w:val="clear"/>
          </w:tcPr>
          <w:p>
            <w:r>
              <w:rPr>
                <w:rFonts w:ascii="Calibri" w:hAnsi="Calibri"/>
                <w:color w:val="333333"/>
                <w:sz w:val="18"/>
              </w:rPr>
              <w:t>32.9</w:t>
            </w:r>
          </w:p>
        </w:tc>
        <w:tc>
          <w:tcPr>
            <w:tcW w:type="dxa" w:w="1680"/>
            <w:shd w:fill="F2F4F8" w:val="clear"/>
          </w:tcPr>
          <w:p>
            <w:r>
              <w:rPr>
                <w:rFonts w:ascii="Calibri" w:hAnsi="Calibri"/>
                <w:color w:val="333333"/>
                <w:sz w:val="18"/>
              </w:rPr>
              <w:t>4.9</w:t>
            </w:r>
          </w:p>
        </w:tc>
        <w:tc>
          <w:tcPr>
            <w:tcW w:type="dxa" w:w="1680"/>
            <w:shd w:fill="F2F4F8" w:val="clear"/>
          </w:tcPr>
          <w:p>
            <w:r>
              <w:rPr>
                <w:rFonts w:ascii="Calibri" w:hAnsi="Calibri"/>
                <w:color w:val="333333"/>
                <w:sz w:val="18"/>
              </w:rPr>
              <w:t>5/8</w:t>
            </w:r>
          </w:p>
        </w:tc>
        <w:tc>
          <w:tcPr>
            <w:tcW w:type="dxa" w:w="1680"/>
            <w:shd w:fill="F2F4F8" w:val="clear"/>
          </w:tcPr>
          <w:p>
            <w:r>
              <w:rPr>
                <w:rFonts w:ascii="Calibri" w:hAnsi="Calibri"/>
                <w:color w:val="333333"/>
                <w:sz w:val="18"/>
              </w:rPr>
              <w:t>62%</w:t>
            </w:r>
          </w:p>
        </w:tc>
      </w:tr>
      <w:tr>
        <w:tc>
          <w:tcPr>
            <w:tcW w:type="dxa" w:w="1680"/>
          </w:tcPr>
          <w:p>
            <w:r>
              <w:rPr>
                <w:rFonts w:ascii="Calibri" w:hAnsi="Calibri"/>
                <w:color w:val="333333"/>
                <w:sz w:val="18"/>
              </w:rPr>
              <w:t>Financial Structure</w:t>
            </w:r>
          </w:p>
        </w:tc>
        <w:tc>
          <w:tcPr>
            <w:tcW w:type="dxa" w:w="1680"/>
          </w:tcPr>
          <w:p>
            <w:r>
              <w:rPr>
                <w:rFonts w:ascii="Calibri" w:hAnsi="Calibri"/>
                <w:color w:val="333333"/>
                <w:sz w:val="18"/>
              </w:rPr>
              <w:t>15.0%</w:t>
            </w:r>
          </w:p>
        </w:tc>
        <w:tc>
          <w:tcPr>
            <w:tcW w:type="dxa" w:w="1680"/>
          </w:tcPr>
          <w:p>
            <w:r>
              <w:rPr>
                <w:rFonts w:ascii="Calibri" w:hAnsi="Calibri"/>
                <w:color w:val="333333"/>
                <w:sz w:val="18"/>
              </w:rPr>
              <w:t>31.2</w:t>
            </w:r>
          </w:p>
        </w:tc>
        <w:tc>
          <w:tcPr>
            <w:tcW w:type="dxa" w:w="1680"/>
          </w:tcPr>
          <w:p>
            <w:r>
              <w:rPr>
                <w:rFonts w:ascii="Calibri" w:hAnsi="Calibri"/>
                <w:color w:val="333333"/>
                <w:sz w:val="18"/>
              </w:rPr>
              <w:t>4.7</w:t>
            </w:r>
          </w:p>
        </w:tc>
        <w:tc>
          <w:tcPr>
            <w:tcW w:type="dxa" w:w="1680"/>
          </w:tcPr>
          <w:p>
            <w:r>
              <w:rPr>
                <w:rFonts w:ascii="Calibri" w:hAnsi="Calibri"/>
                <w:color w:val="333333"/>
                <w:sz w:val="18"/>
              </w:rPr>
              <w:t>5/8</w:t>
            </w:r>
          </w:p>
        </w:tc>
        <w:tc>
          <w:tcPr>
            <w:tcW w:type="dxa" w:w="1680"/>
          </w:tcPr>
          <w:p>
            <w:r>
              <w:rPr>
                <w:rFonts w:ascii="Calibri" w:hAnsi="Calibri"/>
                <w:color w:val="333333"/>
                <w:sz w:val="18"/>
              </w:rPr>
              <w:t>62%</w:t>
            </w:r>
          </w:p>
        </w:tc>
      </w:tr>
      <w:tr>
        <w:tc>
          <w:tcPr>
            <w:tcW w:type="dxa" w:w="1680"/>
            <w:shd w:fill="F2F4F8" w:val="clear"/>
          </w:tcPr>
          <w:p>
            <w:r>
              <w:rPr>
                <w:rFonts w:ascii="Calibri" w:hAnsi="Calibri"/>
                <w:color w:val="333333"/>
                <w:sz w:val="18"/>
              </w:rPr>
              <w:t>Governance Structure</w:t>
            </w:r>
          </w:p>
        </w:tc>
        <w:tc>
          <w:tcPr>
            <w:tcW w:type="dxa" w:w="1680"/>
            <w:shd w:fill="F2F4F8" w:val="clear"/>
          </w:tcPr>
          <w:p>
            <w:r>
              <w:rPr>
                <w:rFonts w:ascii="Calibri" w:hAnsi="Calibri"/>
                <w:color w:val="333333"/>
                <w:sz w:val="18"/>
              </w:rPr>
              <w:t>7.5%</w:t>
            </w:r>
          </w:p>
        </w:tc>
        <w:tc>
          <w:tcPr>
            <w:tcW w:type="dxa" w:w="1680"/>
            <w:shd w:fill="F2F4F8" w:val="clear"/>
          </w:tcPr>
          <w:p>
            <w:r>
              <w:rPr>
                <w:rFonts w:ascii="Calibri" w:hAnsi="Calibri"/>
                <w:color w:val="333333"/>
                <w:sz w:val="18"/>
              </w:rPr>
              <w:t>29.7</w:t>
            </w:r>
          </w:p>
        </w:tc>
        <w:tc>
          <w:tcPr>
            <w:tcW w:type="dxa" w:w="1680"/>
            <w:shd w:fill="F2F4F8" w:val="clear"/>
          </w:tcPr>
          <w:p>
            <w:r>
              <w:rPr>
                <w:rFonts w:ascii="Calibri" w:hAnsi="Calibri"/>
                <w:color w:val="333333"/>
                <w:sz w:val="18"/>
              </w:rPr>
              <w:t>2.2</w:t>
            </w:r>
          </w:p>
        </w:tc>
        <w:tc>
          <w:tcPr>
            <w:tcW w:type="dxa" w:w="1680"/>
            <w:shd w:fill="F2F4F8" w:val="clear"/>
          </w:tcPr>
          <w:p>
            <w:r>
              <w:rPr>
                <w:rFonts w:ascii="Calibri" w:hAnsi="Calibri"/>
                <w:color w:val="333333"/>
                <w:sz w:val="18"/>
              </w:rPr>
              <w:t>8/8</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Public Company Maturity</w:t>
            </w:r>
          </w:p>
        </w:tc>
        <w:tc>
          <w:tcPr>
            <w:tcW w:type="dxa" w:w="1680"/>
          </w:tcPr>
          <w:p>
            <w:r>
              <w:rPr>
                <w:rFonts w:ascii="Calibri" w:hAnsi="Calibri"/>
                <w:color w:val="333333"/>
                <w:sz w:val="18"/>
              </w:rPr>
              <w:t>10.0%</w:t>
            </w:r>
          </w:p>
        </w:tc>
        <w:tc>
          <w:tcPr>
            <w:tcW w:type="dxa" w:w="1680"/>
          </w:tcPr>
          <w:p>
            <w:r>
              <w:rPr>
                <w:rFonts w:ascii="Calibri" w:hAnsi="Calibri"/>
                <w:color w:val="333333"/>
                <w:sz w:val="18"/>
              </w:rPr>
              <w:t>30.0</w:t>
            </w:r>
          </w:p>
        </w:tc>
        <w:tc>
          <w:tcPr>
            <w:tcW w:type="dxa" w:w="1680"/>
          </w:tcPr>
          <w:p>
            <w:r>
              <w:rPr>
                <w:rFonts w:ascii="Calibri" w:hAnsi="Calibri"/>
                <w:color w:val="333333"/>
                <w:sz w:val="18"/>
              </w:rPr>
              <w:t>3.0</w:t>
            </w:r>
          </w:p>
        </w:tc>
        <w:tc>
          <w:tcPr>
            <w:tcW w:type="dxa" w:w="1680"/>
          </w:tcPr>
          <w:p>
            <w:r>
              <w:rPr>
                <w:rFonts w:ascii="Calibri" w:hAnsi="Calibri"/>
                <w:color w:val="333333"/>
                <w:sz w:val="18"/>
              </w:rPr>
              <w:t>2/5</w:t>
            </w:r>
          </w:p>
        </w:tc>
        <w:tc>
          <w:tcPr>
            <w:tcW w:type="dxa" w:w="1680"/>
          </w:tcPr>
          <w:p>
            <w:r>
              <w:rPr>
                <w:rFonts w:ascii="Calibri" w:hAnsi="Calibri"/>
                <w:color w:val="333333"/>
                <w:sz w:val="18"/>
              </w:rPr>
              <w:t>40%</w:t>
            </w:r>
          </w:p>
        </w:tc>
      </w:tr>
      <w:tr>
        <w:tc>
          <w:tcPr>
            <w:tcW w:type="dxa" w:w="1680"/>
            <w:shd w:fill="F2F4F8" w:val="clear"/>
          </w:tcPr>
          <w:p>
            <w:r>
              <w:rPr>
                <w:rFonts w:ascii="Calibri" w:hAnsi="Calibri"/>
                <w:color w:val="333333"/>
                <w:sz w:val="18"/>
              </w:rPr>
              <w:t>External Environment</w:t>
            </w:r>
          </w:p>
        </w:tc>
        <w:tc>
          <w:tcPr>
            <w:tcW w:type="dxa" w:w="1680"/>
            <w:shd w:fill="F2F4F8" w:val="clear"/>
          </w:tcPr>
          <w:p>
            <w:r>
              <w:rPr>
                <w:rFonts w:ascii="Calibri" w:hAnsi="Calibri"/>
                <w:color w:val="333333"/>
                <w:sz w:val="18"/>
              </w:rPr>
              <w:t>10.0%</w:t>
            </w:r>
          </w:p>
        </w:tc>
        <w:tc>
          <w:tcPr>
            <w:tcW w:type="dxa" w:w="1680"/>
            <w:shd w:fill="F2F4F8" w:val="clear"/>
          </w:tcPr>
          <w:p>
            <w:r>
              <w:rPr>
                <w:rFonts w:ascii="Calibri" w:hAnsi="Calibri"/>
                <w:color w:val="333333"/>
                <w:sz w:val="18"/>
              </w:rPr>
              <w:t>41.7</w:t>
            </w:r>
          </w:p>
        </w:tc>
        <w:tc>
          <w:tcPr>
            <w:tcW w:type="dxa" w:w="1680"/>
            <w:shd w:fill="F2F4F8" w:val="clear"/>
          </w:tcPr>
          <w:p>
            <w:r>
              <w:rPr>
                <w:rFonts w:ascii="Calibri" w:hAnsi="Calibri"/>
                <w:color w:val="333333"/>
                <w:sz w:val="18"/>
              </w:rPr>
              <w:t>4.2</w:t>
            </w:r>
          </w:p>
        </w:tc>
        <w:tc>
          <w:tcPr>
            <w:tcW w:type="dxa" w:w="1680"/>
            <w:shd w:fill="F2F4F8" w:val="clear"/>
          </w:tcPr>
          <w:p>
            <w:r>
              <w:rPr>
                <w:rFonts w:ascii="Calibri" w:hAnsi="Calibri"/>
                <w:color w:val="333333"/>
                <w:sz w:val="18"/>
              </w:rPr>
              <w:t>7/7</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Emerging / Modern Hazards</w:t>
            </w:r>
          </w:p>
        </w:tc>
        <w:tc>
          <w:tcPr>
            <w:tcW w:type="dxa" w:w="1680"/>
          </w:tcPr>
          <w:p>
            <w:r>
              <w:rPr>
                <w:rFonts w:ascii="Calibri" w:hAnsi="Calibri"/>
                <w:color w:val="333333"/>
                <w:sz w:val="18"/>
              </w:rPr>
              <w:t>10.0%</w:t>
            </w:r>
          </w:p>
        </w:tc>
        <w:tc>
          <w:tcPr>
            <w:tcW w:type="dxa" w:w="1680"/>
          </w:tcPr>
          <w:p>
            <w:r>
              <w:rPr>
                <w:rFonts w:ascii="Calibri" w:hAnsi="Calibri"/>
                <w:color w:val="333333"/>
                <w:sz w:val="18"/>
              </w:rPr>
              <w:t>46.8</w:t>
            </w:r>
          </w:p>
        </w:tc>
        <w:tc>
          <w:tcPr>
            <w:tcW w:type="dxa" w:w="1680"/>
          </w:tcPr>
          <w:p>
            <w:r>
              <w:rPr>
                <w:rFonts w:ascii="Calibri" w:hAnsi="Calibri"/>
                <w:color w:val="333333"/>
                <w:sz w:val="18"/>
              </w:rPr>
              <w:t>4.7</w:t>
            </w:r>
          </w:p>
        </w:tc>
        <w:tc>
          <w:tcPr>
            <w:tcW w:type="dxa" w:w="1680"/>
          </w:tcPr>
          <w:p>
            <w:r>
              <w:rPr>
                <w:rFonts w:ascii="Calibri" w:hAnsi="Calibri"/>
                <w:color w:val="333333"/>
                <w:sz w:val="18"/>
              </w:rPr>
              <w:t>4/6</w:t>
            </w:r>
          </w:p>
        </w:tc>
        <w:tc>
          <w:tcPr>
            <w:tcW w:type="dxa" w:w="1680"/>
          </w:tcPr>
          <w:p>
            <w:r>
              <w:rPr>
                <w:rFonts w:ascii="Calibri" w:hAnsi="Calibri"/>
                <w:color w:val="333333"/>
                <w:sz w:val="18"/>
              </w:rPr>
              <w:t>67%</w:t>
            </w:r>
          </w:p>
        </w:tc>
      </w:tr>
    </w:tbl>
    <w:p>
      <w:pPr>
        <w:pStyle w:val="DOHeading2"/>
      </w:pPr>
      <w:r>
        <w:t>Risk Factors (D&amp;O-Relevant)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Risk Factor</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D&amp;O Relevance</w:t>
            </w:r>
          </w:p>
        </w:tc>
        <w:tc>
          <w:tcPr>
            <w:tcW w:type="dxa" w:w="2016"/>
            <w:shd w:fill="1A1446" w:val="clear"/>
          </w:tcPr>
          <w:p>
            <w:r>
              <w:rPr>
                <w:rFonts w:ascii="Calibri" w:hAnsi="Calibri"/>
                <w:b/>
                <w:color w:val="FFFFFF"/>
                <w:sz w:val="18"/>
              </w:rPr>
              <w:t>Source Passage</w:t>
            </w:r>
          </w:p>
        </w:tc>
      </w:tr>
      <w:tr>
        <w:tc>
          <w:tcPr>
            <w:tcW w:type="dxa" w:w="2016"/>
          </w:tcPr>
          <w:p>
            <w:r>
              <w:rPr>
                <w:rFonts w:ascii="Calibri" w:hAnsi="Calibri"/>
                <w:color w:val="333333"/>
                <w:sz w:val="18"/>
              </w:rPr>
              <w:t>Cybersecurity Disruptions</w:t>
            </w:r>
          </w:p>
        </w:tc>
        <w:tc>
          <w:tcPr>
            <w:tcW w:type="dxa" w:w="2016"/>
          </w:tcPr>
          <w:p>
            <w:r>
              <w:rPr>
                <w:rFonts w:ascii="Calibri" w:hAnsi="Calibri"/>
                <w:color w:val="333333"/>
                <w:sz w:val="18"/>
              </w:rPr>
              <w:t>CYBER</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Cybersecurity disruptions could cause physical harm to people or the environment; damage or destroy assets; compromise business systems; result in proprietary information being altered, lost, or stolen; result in employee, customer, or third-party information being compromised; or otherwise disrupt our business operations.</w:t>
            </w:r>
          </w:p>
        </w:tc>
      </w:tr>
      <w:tr>
        <w:tc>
          <w:tcPr>
            <w:tcW w:type="dxa" w:w="2016"/>
            <w:shd w:fill="F2F4F8" w:val="clear"/>
          </w:tcPr>
          <w:p>
            <w:r>
              <w:rPr>
                <w:rFonts w:ascii="Calibri" w:hAnsi="Calibri"/>
                <w:color w:val="333333"/>
                <w:sz w:val="18"/>
              </w:rPr>
              <w:t>Supply and Demand Commodity Price Volatility</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The oil, gas, and petrochemical businesses are fundamentally commodity businesses. This means ExxonMobil's operations and earnings may be significantly affected by changes in oil, gas, and petrochemical prices and by changes in margins on refined products.</w:t>
            </w:r>
          </w:p>
        </w:tc>
      </w:tr>
      <w:tr>
        <w:tc>
          <w:tcPr>
            <w:tcW w:type="dxa" w:w="2016"/>
          </w:tcPr>
          <w:p>
            <w:r>
              <w:rPr>
                <w:rFonts w:ascii="Calibri" w:hAnsi="Calibri"/>
                <w:color w:val="333333"/>
                <w:sz w:val="18"/>
              </w:rPr>
              <w:t>Economic Conditions Impacting Demand</w:t>
            </w:r>
          </w:p>
        </w:tc>
        <w:tc>
          <w:tcPr>
            <w:tcW w:type="dxa" w:w="2016"/>
          </w:tcPr>
          <w:p>
            <w:r>
              <w:rPr>
                <w:rFonts w:ascii="Calibri" w:hAnsi="Calibri"/>
                <w:color w:val="333333"/>
                <w:sz w:val="18"/>
              </w:rPr>
              <w:t>FINANCIAL</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The demand for energy and petrochemicals is generally linked closely with broad-based economic activities and levels of prosperity. The occurrence of economic downturns, recessions or other periods of low or negative economic growth will typically have a direct adverse impact on our results.</w:t>
            </w:r>
          </w:p>
        </w:tc>
      </w:tr>
      <w:tr>
        <w:tc>
          <w:tcPr>
            <w:tcW w:type="dxa" w:w="2016"/>
            <w:shd w:fill="F2F4F8" w:val="clear"/>
          </w:tcPr>
          <w:p>
            <w:r>
              <w:rPr>
                <w:rFonts w:ascii="Calibri" w:hAnsi="Calibri"/>
                <w:color w:val="333333"/>
                <w:sz w:val="18"/>
              </w:rPr>
              <w:t>Project and Portfolio Management Risks</w:t>
            </w:r>
          </w:p>
        </w:tc>
        <w:tc>
          <w:tcPr>
            <w:tcW w:type="dxa" w:w="2016"/>
            <w:shd w:fill="F2F4F8" w:val="clear"/>
          </w:tcPr>
          <w:p>
            <w:r>
              <w:rPr>
                <w:rFonts w:ascii="Calibri" w:hAnsi="Calibri"/>
                <w:color w:val="333333"/>
                <w:sz w:val="18"/>
              </w:rPr>
              <w:t>OPERATIONAL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The long-term success of ExxonMobil's Upstream and Product Solutions businesses, as well as the future success of LCS and other emerging investments, depends on complex, long-term, capital-intensive projects. These projects in turn require a high degree of project management expertise to maximize efficiency.</w:t>
            </w:r>
          </w:p>
        </w:tc>
      </w:tr>
      <w:tr>
        <w:tc>
          <w:tcPr>
            <w:tcW w:type="dxa" w:w="2016"/>
          </w:tcPr>
          <w:p>
            <w:r>
              <w:rPr>
                <w:rFonts w:ascii="Calibri" w:hAnsi="Calibri"/>
                <w:color w:val="333333"/>
                <w:sz w:val="18"/>
              </w:rPr>
              <w:t>Climate Change and Energy Transition Policies</w:t>
            </w:r>
          </w:p>
        </w:tc>
        <w:tc>
          <w:tcPr>
            <w:tcW w:type="dxa" w:w="2016"/>
          </w:tcPr>
          <w:p>
            <w:r>
              <w:rPr>
                <w:rFonts w:ascii="Calibri" w:hAnsi="Calibri"/>
                <w:color w:val="333333"/>
                <w:sz w:val="18"/>
              </w:rPr>
              <w:t>REGULATORY</w:t>
            </w:r>
          </w:p>
        </w:tc>
        <w:tc>
          <w:tcPr>
            <w:tcW w:type="dxa" w:w="2016"/>
          </w:tcPr>
          <w:p>
            <w:r>
              <w:rPr>
                <w:rFonts w:ascii="Calibri" w:hAnsi="Calibri"/>
                <w:color w:val="333333"/>
                <w:sz w:val="18"/>
              </w:rPr>
              <w:t>HIGH</w:t>
            </w:r>
          </w:p>
        </w:tc>
        <w:tc>
          <w:tcPr>
            <w:tcW w:type="dxa" w:w="2016"/>
          </w:tcPr>
          <w:p>
            <w:r>
              <w:rPr>
                <w:rFonts w:ascii="Calibri" w:hAnsi="Calibri"/>
                <w:color w:val="333333"/>
                <w:sz w:val="18"/>
              </w:rPr>
              <w:t>HIGH</w:t>
            </w:r>
          </w:p>
        </w:tc>
        <w:tc>
          <w:tcPr>
            <w:tcW w:type="dxa" w:w="2016"/>
          </w:tcPr>
          <w:p>
            <w:r>
              <w:rPr>
                <w:rFonts w:ascii="Calibri" w:hAnsi="Calibri"/>
                <w:color w:val="333333"/>
                <w:sz w:val="18"/>
              </w:rPr>
              <w:t>Existing and potential future government regulations and policies, including those intended to address climate change or facilitate an energy transition, may increase our costs, reduce demand for our products, cause us to strand assets, or otherwise adversely affect our businesses.</w:t>
            </w:r>
          </w:p>
        </w:tc>
      </w:tr>
      <w:tr>
        <w:tc>
          <w:tcPr>
            <w:tcW w:type="dxa" w:w="2016"/>
            <w:shd w:fill="F2F4F8" w:val="clear"/>
          </w:tcPr>
          <w:p>
            <w:r>
              <w:rPr>
                <w:rFonts w:ascii="Calibri" w:hAnsi="Calibri"/>
                <w:color w:val="333333"/>
                <w:sz w:val="18"/>
              </w:rPr>
              <w:t>Legal and Regulatory Proceedings</w:t>
            </w:r>
          </w:p>
        </w:tc>
        <w:tc>
          <w:tcPr>
            <w:tcW w:type="dxa" w:w="2016"/>
            <w:shd w:fill="F2F4F8" w:val="clear"/>
          </w:tcPr>
          <w:p>
            <w:r>
              <w:rPr>
                <w:rFonts w:ascii="Calibri" w:hAnsi="Calibri"/>
                <w:color w:val="333333"/>
                <w:sz w:val="18"/>
              </w:rPr>
              <w:t>LITIGATION</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A variety of claims have been made against ExxonMobil and certain of its consolidated subsidiaries in a number of pending lawsuits.</w:t>
            </w:r>
          </w:p>
        </w:tc>
      </w:tr>
    </w:tbl>
    <w:p>
      <w:pPr>
        <w:pStyle w:val="DOCaption"/>
      </w:pPr>
      <w:r>
        <w:t>6 D&amp;O-relevant risk factors (0 new this year, 5 high severity).</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Exxon's stock has declined 8.91% from its 52-week high of $176.41, but the critical event is the 7.2% single-day drop on April 4, 2025, triggered directly by an 8-K filing. That specific disclosure creates a clear *Dura Pharmaceuticals* loss causation anchor for any plaintiff's bar filing a stock-drop suit, as the 8-K provides the direct corrective disclosure. Insider activity amplifies the risk, with a net selling direction and $2.39 million in total selling volume executed entirely without 10b5-1 plans, which strengthens a *Tellabs* scienter inference by showing unplanned sales aligned with the drop. The absence of recent analyst downgrades against this backdrop of material insider selling and a 7.2% disclosure-driven drop presents a contradictory narrative that deposition discovery will exploit to allege the board had a more negative private view. My primary concern is that the 8-K contents, combined with the $2.39 million in unhedged insider sales, create a straightforward litigation blueprint; the stock has already traced the loss, and the defendants' trades establish motive and opportunity for a Rule 10b-5 claim.</w:t>
      </w:r>
    </w:p>
    <w:p>
      <w:pPr>
        <w:pStyle w:val="DOHeading1"/>
      </w:pPr>
      <w:r>
        <w:t>Section 4: Market &amp; Trading Analysis</w:t>
      </w:r>
    </w:p>
    <w:p>
      <w:pPr>
        <w:pStyle w:val="DOBody"/>
      </w:pPr>
      <w:r>
        <w:rPr>
          <w:rFonts w:ascii="Calibri" w:hAnsi="Calibri"/>
          <w:color w:val="333333"/>
          <w:sz w:val="20"/>
        </w:rPr>
        <w:t>The stock trades 8.9% below its 52-week high ($176), within normal trading variance. Worst single-day decline: 7.2% on 2025-04-04 triggered by 8-K_filing. Short interest of 1.3% of float is low (6-month trend: DECLINING). Analyst consensus: BUY.</w:t>
      </w:r>
    </w:p>
    <w:p>
      <w:pPr>
        <w:pStyle w:val="DOHeading2"/>
      </w:pPr>
      <w:r>
        <w:t>Stock Performance</w:t>
      </w:r>
    </w:p>
    <w:p>
      <w:r>
        <w:drawing>
          <wp:inline xmlns:a="http://schemas.openxmlformats.org/drawingml/2006/main" xmlns:pic="http://schemas.openxmlformats.org/drawingml/2006/picture">
            <wp:extent cx="5943600" cy="3878747"/>
            <wp:docPr id="2" name="Picture 2"/>
            <wp:cNvGraphicFramePr>
              <a:graphicFrameLocks noChangeAspect="1"/>
            </wp:cNvGraphicFramePr>
            <a:graphic>
              <a:graphicData uri="http://schemas.openxmlformats.org/drawingml/2006/picture">
                <pic:pic>
                  <pic:nvPicPr>
                    <pic:cNvPr id="0" name="stock_1y.png"/>
                    <pic:cNvPicPr/>
                  </pic:nvPicPr>
                  <pic:blipFill>
                    <a:blip r:embed="rId12"/>
                    <a:stretch>
                      <a:fillRect/>
                    </a:stretch>
                  </pic:blipFill>
                  <pic:spPr>
                    <a:xfrm>
                      <a:off x="0" y="0"/>
                      <a:ext cx="5943600" cy="3878747"/>
                    </a:xfrm>
                    <a:prstGeom prst="rect"/>
                  </pic:spPr>
                </pic:pic>
              </a:graphicData>
            </a:graphic>
          </wp:inline>
        </w:drawing>
      </w:r>
    </w:p>
    <w:p>
      <w:pPr>
        <w:pStyle w:val="DOCaption"/>
      </w:pPr>
      <w:r>
        <w:t>1-Year Performance (Indexed to 100). Red triangles mark single-day drops &gt;= 8%. Orange bands mark multi-day declines &gt;= 15%.</w:t>
      </w:r>
    </w:p>
    <w:p>
      <w:r>
        <w:drawing>
          <wp:inline xmlns:a="http://schemas.openxmlformats.org/drawingml/2006/main" xmlns:pic="http://schemas.openxmlformats.org/drawingml/2006/picture">
            <wp:extent cx="5943600" cy="3878747"/>
            <wp:docPr id="3" name="Picture 3"/>
            <wp:cNvGraphicFramePr>
              <a:graphicFrameLocks noChangeAspect="1"/>
            </wp:cNvGraphicFramePr>
            <a:graphic>
              <a:graphicData uri="http://schemas.openxmlformats.org/drawingml/2006/picture">
                <pic:pic>
                  <pic:nvPicPr>
                    <pic:cNvPr id="0" name="stock_5y.png"/>
                    <pic:cNvPicPr/>
                  </pic:nvPicPr>
                  <pic:blipFill>
                    <a:blip r:embed="rId13"/>
                    <a:stretch>
                      <a:fillRect/>
                    </a:stretch>
                  </pic:blipFill>
                  <pic:spPr>
                    <a:xfrm>
                      <a:off x="0" y="0"/>
                      <a:ext cx="5943600" cy="3878747"/>
                    </a:xfrm>
                    <a:prstGeom prst="rect"/>
                  </pic:spPr>
                </pic:pic>
              </a:graphicData>
            </a:graphic>
          </wp:inline>
        </w:drawing>
      </w:r>
    </w:p>
    <w:p>
      <w:pPr>
        <w:pStyle w:val="DOCaption"/>
      </w:pPr>
      <w:r>
        <w:t>5-Year Performance (Indexed to 100)</w:t>
      </w:r>
    </w:p>
    <w:p>
      <w:r>
        <w:drawing>
          <wp:inline xmlns:a="http://schemas.openxmlformats.org/drawingml/2006/main" xmlns:pic="http://schemas.openxmlformats.org/drawingml/2006/picture">
            <wp:extent cx="5943600" cy="3414469"/>
            <wp:docPr id="4" name="Picture 4"/>
            <wp:cNvGraphicFramePr>
              <a:graphicFrameLocks noChangeAspect="1"/>
            </wp:cNvGraphicFramePr>
            <a:graphic>
              <a:graphicData uri="http://schemas.openxmlformats.org/drawingml/2006/picture">
                <pic:pic>
                  <pic:nvPicPr>
                    <pic:cNvPr id="0" name="drop_analysis_1y.png"/>
                    <pic:cNvPicPr/>
                  </pic:nvPicPr>
                  <pic:blipFill>
                    <a:blip r:embed="rId14"/>
                    <a:stretch>
                      <a:fillRect/>
                    </a:stretch>
                  </pic:blipFill>
                  <pic:spPr>
                    <a:xfrm>
                      <a:off x="0" y="0"/>
                      <a:ext cx="5943600" cy="3414469"/>
                    </a:xfrm>
                    <a:prstGeom prst="rect"/>
                  </pic:spPr>
                </pic:pic>
              </a:graphicData>
            </a:graphic>
          </wp:inline>
        </w:drawing>
      </w:r>
    </w:p>
    <w:p>
      <w:pPr>
        <w:pStyle w:val="DOCaption"/>
      </w:pPr>
      <w:r>
        <w:t>Drop Event Analysis (12 Months)</w:t>
      </w:r>
    </w:p>
    <w:p>
      <w:r>
        <w:drawing>
          <wp:inline xmlns:a="http://schemas.openxmlformats.org/drawingml/2006/main" xmlns:pic="http://schemas.openxmlformats.org/drawingml/2006/picture">
            <wp:extent cx="5943600" cy="3607869"/>
            <wp:docPr id="5" name="Picture 5"/>
            <wp:cNvGraphicFramePr>
              <a:graphicFrameLocks noChangeAspect="1"/>
            </wp:cNvGraphicFramePr>
            <a:graphic>
              <a:graphicData uri="http://schemas.openxmlformats.org/drawingml/2006/picture">
                <pic:pic>
                  <pic:nvPicPr>
                    <pic:cNvPr id="0" name="drop_analysis_5y.png"/>
                    <pic:cNvPicPr/>
                  </pic:nvPicPr>
                  <pic:blipFill>
                    <a:blip r:embed="rId15"/>
                    <a:stretch>
                      <a:fillRect/>
                    </a:stretch>
                  </pic:blipFill>
                  <pic:spPr>
                    <a:xfrm>
                      <a:off x="0" y="0"/>
                      <a:ext cx="5943600" cy="3607869"/>
                    </a:xfrm>
                    <a:prstGeom prst="rect"/>
                  </pic:spPr>
                </pic:pic>
              </a:graphicData>
            </a:graphic>
          </wp:inline>
        </w:drawing>
      </w:r>
    </w:p>
    <w:p>
      <w:pPr>
        <w:pStyle w:val="DOCaption"/>
      </w:pPr>
      <w:r>
        <w:t>Drop Event Analysis (5 Years)</w:t>
      </w:r>
    </w:p>
    <w:p>
      <w:r>
        <w:drawing>
          <wp:inline xmlns:a="http://schemas.openxmlformats.org/drawingml/2006/main" xmlns:pic="http://schemas.openxmlformats.org/drawingml/2006/picture">
            <wp:extent cx="5943600" cy="3194685"/>
            <wp:docPr id="6" name="Picture 6"/>
            <wp:cNvGraphicFramePr>
              <a:graphicFrameLocks noChangeAspect="1"/>
            </wp:cNvGraphicFramePr>
            <a:graphic>
              <a:graphicData uri="http://schemas.openxmlformats.org/drawingml/2006/picture">
                <pic:pic>
                  <pic:nvPicPr>
                    <pic:cNvPr id="0" name="drop_scatter_1y.png"/>
                    <pic:cNvPicPr/>
                  </pic:nvPicPr>
                  <pic:blipFill>
                    <a:blip r:embed="rId16"/>
                    <a:stretch>
                      <a:fillRect/>
                    </a:stretch>
                  </pic:blipFill>
                  <pic:spPr>
                    <a:xfrm>
                      <a:off x="0" y="0"/>
                      <a:ext cx="5943600" cy="3194685"/>
                    </a:xfrm>
                    <a:prstGeom prst="rect"/>
                  </pic:spPr>
                </pic:pic>
              </a:graphicData>
            </a:graphic>
          </wp:inline>
        </w:drawing>
      </w:r>
    </w:p>
    <w:p>
      <w:pPr>
        <w:pStyle w:val="DOCaption"/>
      </w:pPr>
      <w:r>
        <w:t>Drop Events: Company vs Sector (12 Months)</w:t>
      </w:r>
    </w:p>
    <w:p>
      <w:r>
        <w:drawing>
          <wp:inline xmlns:a="http://schemas.openxmlformats.org/drawingml/2006/main" xmlns:pic="http://schemas.openxmlformats.org/drawingml/2006/picture">
            <wp:extent cx="5943600" cy="2428159"/>
            <wp:docPr id="7" name="Picture 7"/>
            <wp:cNvGraphicFramePr>
              <a:graphicFrameLocks noChangeAspect="1"/>
            </wp:cNvGraphicFramePr>
            <a:graphic>
              <a:graphicData uri="http://schemas.openxmlformats.org/drawingml/2006/picture">
                <pic:pic>
                  <pic:nvPicPr>
                    <pic:cNvPr id="0" name="drawdown_1y.png"/>
                    <pic:cNvPicPr/>
                  </pic:nvPicPr>
                  <pic:blipFill>
                    <a:blip r:embed="rId17"/>
                    <a:stretch>
                      <a:fillRect/>
                    </a:stretch>
                  </pic:blipFill>
                  <pic:spPr>
                    <a:xfrm>
                      <a:off x="0" y="0"/>
                      <a:ext cx="5943600" cy="2428159"/>
                    </a:xfrm>
                    <a:prstGeom prst="rect"/>
                  </pic:spPr>
                </pic:pic>
              </a:graphicData>
            </a:graphic>
          </wp:inline>
        </w:drawing>
      </w:r>
    </w:p>
    <w:p>
      <w:pPr>
        <w:pStyle w:val="DOCaption"/>
      </w:pPr>
      <w:r>
        <w:t>Drawdown Analysis (12 Months)</w:t>
      </w:r>
    </w:p>
    <w:p>
      <w:r>
        <w:drawing>
          <wp:inline xmlns:a="http://schemas.openxmlformats.org/drawingml/2006/main" xmlns:pic="http://schemas.openxmlformats.org/drawingml/2006/picture">
            <wp:extent cx="5943600" cy="2428159"/>
            <wp:docPr id="8" name="Picture 8"/>
            <wp:cNvGraphicFramePr>
              <a:graphicFrameLocks noChangeAspect="1"/>
            </wp:cNvGraphicFramePr>
            <a:graphic>
              <a:graphicData uri="http://schemas.openxmlformats.org/drawingml/2006/picture">
                <pic:pic>
                  <pic:nvPicPr>
                    <pic:cNvPr id="0" name="drawdown_5y.png"/>
                    <pic:cNvPicPr/>
                  </pic:nvPicPr>
                  <pic:blipFill>
                    <a:blip r:embed="rId18"/>
                    <a:stretch>
                      <a:fillRect/>
                    </a:stretch>
                  </pic:blipFill>
                  <pic:spPr>
                    <a:xfrm>
                      <a:off x="0" y="0"/>
                      <a:ext cx="5943600" cy="2428159"/>
                    </a:xfrm>
                    <a:prstGeom prst="rect"/>
                  </pic:spPr>
                </pic:pic>
              </a:graphicData>
            </a:graphic>
          </wp:inline>
        </w:drawing>
      </w:r>
    </w:p>
    <w:p>
      <w:pPr>
        <w:pStyle w:val="DOCaption"/>
      </w:pPr>
      <w:r>
        <w:t>Drawdown Analysis (5 Years)</w:t>
      </w:r>
    </w:p>
    <w:p>
      <w:r>
        <w:drawing>
          <wp:inline xmlns:a="http://schemas.openxmlformats.org/drawingml/2006/main" xmlns:pic="http://schemas.openxmlformats.org/drawingml/2006/picture">
            <wp:extent cx="5943600" cy="4360536"/>
            <wp:docPr id="9" name="Picture 9"/>
            <wp:cNvGraphicFramePr>
              <a:graphicFrameLocks noChangeAspect="1"/>
            </wp:cNvGraphicFramePr>
            <a:graphic>
              <a:graphicData uri="http://schemas.openxmlformats.org/drawingml/2006/picture">
                <pic:pic>
                  <pic:nvPicPr>
                    <pic:cNvPr id="0" name="volatility_1y.png"/>
                    <pic:cNvPicPr/>
                  </pic:nvPicPr>
                  <pic:blipFill>
                    <a:blip r:embed="rId19"/>
                    <a:stretch>
                      <a:fillRect/>
                    </a:stretch>
                  </pic:blipFill>
                  <pic:spPr>
                    <a:xfrm>
                      <a:off x="0" y="0"/>
                      <a:ext cx="5943600" cy="4360536"/>
                    </a:xfrm>
                    <a:prstGeom prst="rect"/>
                  </pic:spPr>
                </pic:pic>
              </a:graphicData>
            </a:graphic>
          </wp:inline>
        </w:drawing>
      </w:r>
    </w:p>
    <w:p>
      <w:pPr>
        <w:pStyle w:val="DOCaption"/>
      </w:pPr>
      <w:r>
        <w:t>Volatility &amp; Beta Analysis (12 Months)</w:t>
      </w:r>
    </w:p>
    <w:p>
      <w:r>
        <w:drawing>
          <wp:inline xmlns:a="http://schemas.openxmlformats.org/drawingml/2006/main" xmlns:pic="http://schemas.openxmlformats.org/drawingml/2006/picture">
            <wp:extent cx="5943600" cy="3043276"/>
            <wp:docPr id="10" name="Picture 10"/>
            <wp:cNvGraphicFramePr>
              <a:graphicFrameLocks noChangeAspect="1"/>
            </wp:cNvGraphicFramePr>
            <a:graphic>
              <a:graphicData uri="http://schemas.openxmlformats.org/drawingml/2006/picture">
                <pic:pic>
                  <pic:nvPicPr>
                    <pic:cNvPr id="0" name="relative_1y.png"/>
                    <pic:cNvPicPr/>
                  </pic:nvPicPr>
                  <pic:blipFill>
                    <a:blip r:embed="rId20"/>
                    <a:stretch>
                      <a:fillRect/>
                    </a:stretch>
                  </pic:blipFill>
                  <pic:spPr>
                    <a:xfrm>
                      <a:off x="0" y="0"/>
                      <a:ext cx="5943600" cy="3043276"/>
                    </a:xfrm>
                    <a:prstGeom prst="rect"/>
                  </pic:spPr>
                </pic:pic>
              </a:graphicData>
            </a:graphic>
          </wp:inline>
        </w:drawing>
      </w:r>
    </w:p>
    <w:p>
      <w:pPr>
        <w:pStyle w:val="DOCaption"/>
      </w:pPr>
      <w:r>
        <w:t>Relative Performance (12 Months)</w:t>
      </w:r>
    </w:p>
    <w:p>
      <w:r>
        <w:drawing>
          <wp:inline xmlns:a="http://schemas.openxmlformats.org/drawingml/2006/main" xmlns:pic="http://schemas.openxmlformats.org/drawingml/2006/picture">
            <wp:extent cx="5943600" cy="3043276"/>
            <wp:docPr id="11" name="Picture 11"/>
            <wp:cNvGraphicFramePr>
              <a:graphicFrameLocks noChangeAspect="1"/>
            </wp:cNvGraphicFramePr>
            <a:graphic>
              <a:graphicData uri="http://schemas.openxmlformats.org/drawingml/2006/picture">
                <pic:pic>
                  <pic:nvPicPr>
                    <pic:cNvPr id="0" name="relative_5y.png"/>
                    <pic:cNvPicPr/>
                  </pic:nvPicPr>
                  <pic:blipFill>
                    <a:blip r:embed="rId21"/>
                    <a:stretch>
                      <a:fillRect/>
                    </a:stretch>
                  </pic:blipFill>
                  <pic:spPr>
                    <a:xfrm>
                      <a:off x="0" y="0"/>
                      <a:ext cx="5943600" cy="3043276"/>
                    </a:xfrm>
                    <a:prstGeom prst="rect"/>
                  </pic:spPr>
                </pic:pic>
              </a:graphicData>
            </a:graphic>
          </wp:inline>
        </w:drawing>
      </w:r>
    </w:p>
    <w:p>
      <w:pPr>
        <w:pStyle w:val="DOCaption"/>
      </w:pPr>
      <w:r>
        <w:t>Relative Performance (5 Years)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Price</w:t>
            </w:r>
          </w:p>
        </w:tc>
        <w:tc>
          <w:tcPr>
            <w:tcW w:type="dxa" w:w="5040"/>
          </w:tcPr>
          <w:p>
            <w:r>
              <w:rPr>
                <w:rFonts w:ascii="Calibri" w:hAnsi="Calibri"/>
                <w:color w:val="333333"/>
                <w:sz w:val="18"/>
              </w:rPr>
              <w:t>$160.69</w:t>
            </w:r>
          </w:p>
        </w:tc>
      </w:tr>
      <w:tr>
        <w:tc>
          <w:tcPr>
            <w:tcW w:type="dxa" w:w="5040"/>
            <w:shd w:fill="F2F4F8" w:val="clear"/>
          </w:tcPr>
          <w:p>
            <w:r>
              <w:rPr>
                <w:rFonts w:ascii="Calibri" w:hAnsi="Calibri"/>
                <w:color w:val="333333"/>
                <w:sz w:val="18"/>
              </w:rPr>
              <w:t>52-Week High</w:t>
            </w:r>
          </w:p>
        </w:tc>
        <w:tc>
          <w:tcPr>
            <w:tcW w:type="dxa" w:w="5040"/>
            <w:shd w:fill="F2F4F8" w:val="clear"/>
          </w:tcPr>
          <w:p>
            <w:r>
              <w:rPr>
                <w:rFonts w:ascii="Calibri" w:hAnsi="Calibri"/>
                <w:color w:val="333333"/>
                <w:sz w:val="18"/>
              </w:rPr>
              <w:t>$176.41</w:t>
            </w:r>
          </w:p>
        </w:tc>
      </w:tr>
      <w:tr>
        <w:tc>
          <w:tcPr>
            <w:tcW w:type="dxa" w:w="5040"/>
          </w:tcPr>
          <w:p>
            <w:r>
              <w:rPr>
                <w:rFonts w:ascii="Calibri" w:hAnsi="Calibri"/>
                <w:color w:val="333333"/>
                <w:sz w:val="18"/>
              </w:rPr>
              <w:t>52-Week Low</w:t>
            </w:r>
          </w:p>
        </w:tc>
        <w:tc>
          <w:tcPr>
            <w:tcW w:type="dxa" w:w="5040"/>
          </w:tcPr>
          <w:p>
            <w:r>
              <w:rPr>
                <w:rFonts w:ascii="Calibri" w:hAnsi="Calibri"/>
                <w:color w:val="333333"/>
                <w:sz w:val="18"/>
              </w:rPr>
              <w:t>$97.80</w:t>
            </w:r>
          </w:p>
        </w:tc>
      </w:tr>
      <w:tr>
        <w:tc>
          <w:tcPr>
            <w:tcW w:type="dxa" w:w="5040"/>
            <w:shd w:fill="F2F4F8" w:val="clear"/>
          </w:tcPr>
          <w:p>
            <w:r>
              <w:rPr>
                <w:rFonts w:ascii="Calibri" w:hAnsi="Calibri"/>
                <w:color w:val="333333"/>
                <w:sz w:val="18"/>
              </w:rPr>
              <w:t>1-Year Return</w:t>
            </w:r>
          </w:p>
        </w:tc>
        <w:tc>
          <w:tcPr>
            <w:tcW w:type="dxa" w:w="5040"/>
            <w:shd w:fill="F2F4F8" w:val="clear"/>
          </w:tcPr>
          <w:p>
            <w:r>
              <w:rPr>
                <w:rFonts w:ascii="Calibri" w:hAnsi="Calibri"/>
                <w:color w:val="333333"/>
                <w:sz w:val="18"/>
              </w:rPr>
              <w:t>47.8%</w:t>
            </w:r>
          </w:p>
        </w:tc>
      </w:tr>
      <w:tr>
        <w:tc>
          <w:tcPr>
            <w:tcW w:type="dxa" w:w="5040"/>
          </w:tcPr>
          <w:p>
            <w:r>
              <w:rPr>
                <w:rFonts w:ascii="Calibri" w:hAnsi="Calibri"/>
                <w:color w:val="333333"/>
                <w:sz w:val="18"/>
              </w:rPr>
              <w:t>Max Drawdown (1Y)</w:t>
            </w:r>
          </w:p>
        </w:tc>
        <w:tc>
          <w:tcPr>
            <w:tcW w:type="dxa" w:w="5040"/>
          </w:tcPr>
          <w:p>
            <w:r>
              <w:rPr>
                <w:rFonts w:ascii="Calibri" w:hAnsi="Calibri"/>
                <w:color w:val="333333"/>
                <w:sz w:val="18"/>
              </w:rPr>
              <w:t>-11.1%</w:t>
            </w:r>
          </w:p>
        </w:tc>
      </w:tr>
      <w:tr>
        <w:tc>
          <w:tcPr>
            <w:tcW w:type="dxa" w:w="5040"/>
            <w:shd w:fill="F2F4F8" w:val="clear"/>
          </w:tcPr>
          <w:p>
            <w:r>
              <w:rPr>
                <w:rFonts w:ascii="Calibri" w:hAnsi="Calibri"/>
                <w:color w:val="333333"/>
                <w:sz w:val="18"/>
              </w:rPr>
              <w:t>90-Day Volatility</w:t>
            </w:r>
          </w:p>
        </w:tc>
        <w:tc>
          <w:tcPr>
            <w:tcW w:type="dxa" w:w="5040"/>
            <w:shd w:fill="F2F4F8" w:val="clear"/>
          </w:tcPr>
          <w:p>
            <w:r>
              <w:rPr>
                <w:rFonts w:ascii="Calibri" w:hAnsi="Calibri"/>
                <w:color w:val="333333"/>
                <w:sz w:val="18"/>
              </w:rPr>
              <w:t>26.5% (Ranks at the 0th percentile among 0 peers (peer median: 3.2%))</w:t>
            </w:r>
          </w:p>
        </w:tc>
      </w:tr>
      <w:tr>
        <w:tc>
          <w:tcPr>
            <w:tcW w:type="dxa" w:w="5040"/>
          </w:tcPr>
          <w:p>
            <w:r>
              <w:rPr>
                <w:rFonts w:ascii="Calibri" w:hAnsi="Calibri"/>
                <w:color w:val="333333"/>
                <w:sz w:val="18"/>
              </w:rPr>
              <w:t>Beta (vs S&amp;P 500)</w:t>
            </w:r>
          </w:p>
        </w:tc>
        <w:tc>
          <w:tcPr>
            <w:tcW w:type="dxa" w:w="5040"/>
          </w:tcPr>
          <w:p>
            <w:r>
              <w:rPr>
                <w:rFonts w:ascii="Calibri" w:hAnsi="Calibri"/>
                <w:color w:val="333333"/>
                <w:sz w:val="18"/>
              </w:rPr>
              <w:t>0.35</w:t>
            </w:r>
          </w:p>
        </w:tc>
      </w:tr>
    </w:tbl>
    <w:p>
      <w:pPr>
        <w:pStyle w:val="DOBody"/>
      </w:pPr>
      <w:r>
        <w:t>5 significant stock decline events detected in the 1Y period: 2 critical (&gt;10%), 3 notable (5-10%). 1 was company-specific, 4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FF3CD" w:val="clear"/>
          </w:tcPr>
          <w:p>
            <w:r>
              <w:rPr>
                <w:rFonts w:ascii="Calibri" w:hAnsi="Calibri"/>
                <w:color w:val="333333"/>
                <w:sz w:val="18"/>
              </w:rPr>
              <w:t>2026-04-01</w:t>
            </w:r>
          </w:p>
        </w:tc>
        <w:tc>
          <w:tcPr>
            <w:tcW w:type="dxa" w:w="1440"/>
            <w:shd w:fill="FFF3CD" w:val="clear"/>
          </w:tcPr>
          <w:p>
            <w:r>
              <w:rPr>
                <w:rFonts w:ascii="Calibri" w:hAnsi="Calibri"/>
                <w:color w:val="333333"/>
                <w:sz w:val="18"/>
              </w:rPr>
              <w:t>-5.2%</w:t>
            </w:r>
          </w:p>
        </w:tc>
        <w:tc>
          <w:tcPr>
            <w:tcW w:type="dxa" w:w="1440"/>
            <w:shd w:fill="FFF3CD" w:val="clear"/>
          </w:tcPr>
          <w:p>
            <w:r>
              <w:rPr>
                <w:rFonts w:ascii="Calibri" w:hAnsi="Calibri"/>
                <w:color w:val="333333"/>
                <w:sz w:val="18"/>
              </w:rPr>
              <w:t>100%</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8-K Filing</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2025-04-03 to 2025-04-10 (8d)</w:t>
            </w:r>
          </w:p>
        </w:tc>
        <w:tc>
          <w:tcPr>
            <w:tcW w:type="dxa" w:w="1440"/>
            <w:shd w:fill="F2F4F8" w:val="clear"/>
            <w:shd w:fill="FCE8E6" w:val="clear"/>
          </w:tcPr>
          <w:p>
            <w:r>
              <w:rPr>
                <w:rFonts w:ascii="Calibri" w:hAnsi="Calibri"/>
                <w:color w:val="333333"/>
                <w:sz w:val="18"/>
              </w:rPr>
              <w:t>-16.1%</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5 days</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2025-04-04 (2d)</w:t>
            </w:r>
          </w:p>
        </w:tc>
        <w:tc>
          <w:tcPr>
            <w:tcW w:type="dxa" w:w="1440"/>
            <w:shd w:fill="FCE8E6" w:val="clear"/>
          </w:tcPr>
          <w:p>
            <w:r>
              <w:rPr>
                <w:rFonts w:ascii="Calibri" w:hAnsi="Calibri"/>
                <w:color w:val="333333"/>
                <w:sz w:val="18"/>
              </w:rPr>
              <w:t>-12.1%</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48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FF3CD" w:val="clear"/>
          </w:tcPr>
          <w:p>
            <w:r>
              <w:rPr>
                <w:rFonts w:ascii="Calibri" w:hAnsi="Calibri"/>
                <w:color w:val="333333"/>
                <w:sz w:val="18"/>
              </w:rPr>
              <w:t>2025-04-03 (2d)</w:t>
            </w:r>
          </w:p>
        </w:tc>
        <w:tc>
          <w:tcPr>
            <w:tcW w:type="dxa" w:w="1440"/>
            <w:shd w:fill="F2F4F8" w:val="clear"/>
            <w:shd w:fill="FFF3CD" w:val="clear"/>
          </w:tcPr>
          <w:p>
            <w:r>
              <w:rPr>
                <w:rFonts w:ascii="Calibri" w:hAnsi="Calibri"/>
                <w:color w:val="333333"/>
                <w:sz w:val="18"/>
              </w:rPr>
              <w:t>-7.2%</w:t>
            </w:r>
          </w:p>
        </w:tc>
        <w:tc>
          <w:tcPr>
            <w:tcW w:type="dxa" w:w="1440"/>
            <w:shd w:fill="F2F4F8" w:val="clear"/>
            <w:shd w:fill="FFF3CD" w:val="clear"/>
          </w:tcPr>
          <w:p>
            <w:r>
              <w:rPr>
                <w:rFonts w:ascii="Calibri" w:hAnsi="Calibri"/>
                <w:color w:val="333333"/>
                <w:sz w:val="18"/>
              </w:rPr>
              <w:t>25%</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8-K Filing</w:t>
            </w:r>
          </w:p>
        </w:tc>
        <w:tc>
          <w:tcPr>
            <w:tcW w:type="dxa" w:w="1440"/>
            <w:shd w:fill="F2F4F8" w:val="clear"/>
            <w:shd w:fill="FFF3CD" w:val="clear"/>
          </w:tcPr>
          <w:p>
            <w:r>
              <w:rPr>
                <w:rFonts w:ascii="Calibri" w:hAnsi="Calibri"/>
                <w:color w:val="333333"/>
                <w:sz w:val="18"/>
              </w:rPr>
              <w:t>Market-Wide Event</w:t>
            </w:r>
          </w:p>
        </w:tc>
        <w:tc>
          <w:tcPr>
            <w:tcW w:type="dxa" w:w="1440"/>
            <w:shd w:fill="F2F4F8" w:val="clear"/>
            <w:shd w:fill="FFF3CD" w:val="clear"/>
          </w:tcPr>
          <w:p>
            <w:r>
              <w:rPr>
                <w:rFonts w:ascii="Calibri" w:hAnsi="Calibri"/>
                <w:color w:val="333333"/>
                <w:sz w:val="18"/>
              </w:rPr>
              <w:t>https://www.sec.gov/cgi-bin/browse-edgar?action...</w:t>
            </w:r>
          </w:p>
        </w:tc>
      </w:tr>
      <w:tr>
        <w:tc>
          <w:tcPr>
            <w:tcW w:type="dxa" w:w="1440"/>
            <w:shd w:fill="FFF3CD" w:val="clear"/>
          </w:tcPr>
          <w:p>
            <w:r>
              <w:rPr>
                <w:rFonts w:ascii="Calibri" w:hAnsi="Calibri"/>
                <w:color w:val="333333"/>
                <w:sz w:val="18"/>
              </w:rPr>
              <w:t>2025-04-10</w:t>
            </w:r>
          </w:p>
        </w:tc>
        <w:tc>
          <w:tcPr>
            <w:tcW w:type="dxa" w:w="1440"/>
            <w:shd w:fill="FFF3CD" w:val="clear"/>
          </w:tcPr>
          <w:p>
            <w:r>
              <w:rPr>
                <w:rFonts w:ascii="Calibri" w:hAnsi="Calibri"/>
                <w:color w:val="333333"/>
                <w:sz w:val="18"/>
              </w:rPr>
              <w:t>-5.5%</w:t>
            </w:r>
          </w:p>
        </w:tc>
        <w:tc>
          <w:tcPr>
            <w:tcW w:type="dxa" w:w="1440"/>
            <w:shd w:fill="FFF3CD" w:val="clear"/>
          </w:tcPr>
          <w:p>
            <w:r>
              <w:rPr>
                <w:rFonts w:ascii="Calibri" w:hAnsi="Calibri"/>
                <w:color w:val="333333"/>
                <w:sz w:val="18"/>
              </w:rPr>
              <w:t>25%</w:t>
            </w:r>
          </w:p>
        </w:tc>
        <w:tc>
          <w:tcPr>
            <w:tcW w:type="dxa" w:w="1440"/>
            <w:shd w:fill="FFF3CD" w:val="clear"/>
          </w:tcPr>
          <w:p>
            <w:r>
              <w:rPr>
                <w:rFonts w:ascii="Calibri" w:hAnsi="Calibri"/>
                <w:color w:val="333333"/>
                <w:sz w:val="18"/>
              </w:rPr>
              <w:t>5 days</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Market-Wide Event</w:t>
            </w:r>
          </w:p>
        </w:tc>
        <w:tc>
          <w:tcPr>
            <w:tcW w:type="dxa" w:w="1440"/>
            <w:shd w:fill="FFF3CD" w:val="clear"/>
          </w:tcPr>
          <w:p>
            <w:r>
              <w:rPr>
                <w:rFonts w:ascii="Calibri" w:hAnsi="Calibri"/>
                <w:color w:val="333333"/>
                <w:sz w:val="18"/>
              </w:rPr>
              <w:t>https://apnews.com/hub/exxon-mobil-corp</w:t>
            </w:r>
          </w:p>
        </w:tc>
      </w:tr>
    </w:tbl>
    <w:p>
      <w:pPr>
        <w:pStyle w:val="DOBody"/>
      </w:pPr>
      <w:r>
        <w:t>2 significant stock decline events detected in the 5Y period: 2 critical (&gt;10%). 2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2025-04-03 to 2025-04-10 (8d)</w:t>
            </w:r>
          </w:p>
        </w:tc>
        <w:tc>
          <w:tcPr>
            <w:tcW w:type="dxa" w:w="1440"/>
            <w:shd w:fill="FCE8E6" w:val="clear"/>
          </w:tcPr>
          <w:p>
            <w:r>
              <w:rPr>
                <w:rFonts w:ascii="Calibri" w:hAnsi="Calibri"/>
                <w:color w:val="333333"/>
                <w:sz w:val="18"/>
              </w:rPr>
              <w:t>-16.1%</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5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2025-04-04 (2d)</w:t>
            </w:r>
          </w:p>
        </w:tc>
        <w:tc>
          <w:tcPr>
            <w:tcW w:type="dxa" w:w="1440"/>
            <w:shd w:fill="F2F4F8" w:val="clear"/>
            <w:shd w:fill="FCE8E6" w:val="clear"/>
          </w:tcPr>
          <w:p>
            <w:r>
              <w:rPr>
                <w:rFonts w:ascii="Calibri" w:hAnsi="Calibri"/>
                <w:color w:val="333333"/>
                <w:sz w:val="18"/>
              </w:rPr>
              <w:t>-12.1%</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48 days</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https://www.sec.gov/cgi-bin/browse-edgar?action...</w:t>
            </w:r>
          </w:p>
        </w:tc>
      </w:tr>
    </w:tbl>
    <w:p>
      <w:pPr>
        <w:pStyle w:val="DOHeading2"/>
      </w:pPr>
      <w:r>
        <w:t>Short Interest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Short % of Float</w:t>
            </w:r>
          </w:p>
        </w:tc>
        <w:tc>
          <w:tcPr>
            <w:tcW w:type="dxa" w:w="5040"/>
          </w:tcPr>
          <w:p>
            <w:r>
              <w:rPr>
                <w:rFonts w:ascii="Calibri" w:hAnsi="Calibri"/>
                <w:color w:val="333333"/>
                <w:sz w:val="18"/>
              </w:rPr>
              <w:t>1.3% (Ranks at the 84th percentile among 0 peers (peer median: 4.0%))</w:t>
            </w:r>
          </w:p>
        </w:tc>
      </w:tr>
      <w:tr>
        <w:tc>
          <w:tcPr>
            <w:tcW w:type="dxa" w:w="5040"/>
            <w:shd w:fill="F2F4F8" w:val="clear"/>
          </w:tcPr>
          <w:p>
            <w:r>
              <w:rPr>
                <w:rFonts w:ascii="Calibri" w:hAnsi="Calibri"/>
                <w:color w:val="333333"/>
                <w:sz w:val="18"/>
              </w:rPr>
              <w:t>Days to Cover</w:t>
            </w:r>
          </w:p>
        </w:tc>
        <w:tc>
          <w:tcPr>
            <w:tcW w:type="dxa" w:w="5040"/>
            <w:shd w:fill="F2F4F8" w:val="clear"/>
          </w:tcPr>
          <w:p>
            <w:r>
              <w:rPr>
                <w:rFonts w:ascii="Calibri" w:hAnsi="Calibri"/>
                <w:color w:val="333333"/>
                <w:sz w:val="18"/>
              </w:rPr>
              <w:t>2.30</w:t>
            </w:r>
          </w:p>
        </w:tc>
      </w:tr>
      <w:tr>
        <w:tc>
          <w:tcPr>
            <w:tcW w:type="dxa" w:w="5040"/>
          </w:tcPr>
          <w:p>
            <w:r>
              <w:rPr>
                <w:rFonts w:ascii="Calibri" w:hAnsi="Calibri"/>
                <w:color w:val="333333"/>
                <w:sz w:val="18"/>
              </w:rPr>
              <w:t>6-Month Trend</w:t>
            </w:r>
          </w:p>
        </w:tc>
        <w:tc>
          <w:tcPr>
            <w:tcW w:type="dxa" w:w="5040"/>
          </w:tcPr>
          <w:p>
            <w:r>
              <w:rPr>
                <w:rFonts w:ascii="Calibri" w:hAnsi="Calibri"/>
                <w:color w:val="333333"/>
                <w:sz w:val="18"/>
              </w:rPr>
              <w:t>DECLINING</w:t>
            </w:r>
          </w:p>
        </w:tc>
      </w:tr>
      <w:tr>
        <w:tc>
          <w:tcPr>
            <w:tcW w:type="dxa" w:w="5040"/>
            <w:shd w:fill="F2F4F8" w:val="clear"/>
          </w:tcPr>
          <w:p>
            <w:r>
              <w:rPr>
                <w:rFonts w:ascii="Calibri" w:hAnsi="Calibri"/>
                <w:color w:val="333333"/>
                <w:sz w:val="18"/>
              </w:rPr>
              <w:t>vs Sector Ratio</w:t>
            </w:r>
          </w:p>
        </w:tc>
        <w:tc>
          <w:tcPr>
            <w:tcW w:type="dxa" w:w="5040"/>
            <w:shd w:fill="F2F4F8" w:val="clear"/>
          </w:tcPr>
          <w:p>
            <w:r>
              <w:rPr>
                <w:rFonts w:ascii="Calibri" w:hAnsi="Calibri"/>
                <w:color w:val="333333"/>
                <w:sz w:val="18"/>
              </w:rPr>
              <w:t>N/A</w:t>
            </w:r>
          </w:p>
        </w:tc>
      </w:tr>
    </w:tbl>
    <w:p>
      <w:pPr>
        <w:pStyle w:val="DOHeading2"/>
      </w:pPr>
      <w:r>
        <w:t>Earnings Guidance Track Record</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Beat Rate</w:t>
            </w:r>
          </w:p>
        </w:tc>
        <w:tc>
          <w:tcPr>
            <w:tcW w:type="dxa" w:w="5040"/>
          </w:tcPr>
          <w:p>
            <w:r>
              <w:rPr>
                <w:rFonts w:ascii="Calibri" w:hAnsi="Calibri"/>
                <w:color w:val="333333"/>
                <w:sz w:val="18"/>
              </w:rPr>
              <w:t>0.8%</w:t>
            </w:r>
          </w:p>
        </w:tc>
      </w:tr>
      <w:tr>
        <w:tc>
          <w:tcPr>
            <w:tcW w:type="dxa" w:w="5040"/>
            <w:shd w:fill="F2F4F8" w:val="clear"/>
          </w:tcPr>
          <w:p>
            <w:r>
              <w:rPr>
                <w:rFonts w:ascii="Calibri" w:hAnsi="Calibri"/>
                <w:color w:val="333333"/>
                <w:sz w:val="18"/>
              </w:rPr>
              <w:t>Consecutive Misses</w:t>
            </w:r>
          </w:p>
        </w:tc>
        <w:tc>
          <w:tcPr>
            <w:tcW w:type="dxa" w:w="5040"/>
            <w:shd w:fill="F2F4F8" w:val="clear"/>
          </w:tcPr>
          <w:p>
            <w:r>
              <w:rPr>
                <w:rFonts w:ascii="Calibri" w:hAnsi="Calibri"/>
                <w:color w:val="333333"/>
                <w:sz w:val="18"/>
              </w:rPr>
              <w:t>0</w:t>
            </w:r>
          </w:p>
        </w:tc>
      </w:tr>
      <w:tr>
        <w:tc>
          <w:tcPr>
            <w:tcW w:type="dxa" w:w="5040"/>
          </w:tcPr>
          <w:p>
            <w:r>
              <w:rPr>
                <w:rFonts w:ascii="Calibri" w:hAnsi="Calibri"/>
                <w:color w:val="333333"/>
                <w:sz w:val="18"/>
              </w:rPr>
              <w:t>Guidance Withdrawals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Philosophy</w:t>
            </w:r>
          </w:p>
        </w:tc>
        <w:tc>
          <w:tcPr>
            <w:tcW w:type="dxa" w:w="5040"/>
            <w:shd w:fill="F2F4F8" w:val="clear"/>
          </w:tcPr>
          <w:p>
            <w:r>
              <w:rPr>
                <w:rFonts w:ascii="Calibri" w:hAnsi="Calibri"/>
                <w:color w:val="333333"/>
                <w:sz w:val="18"/>
              </w:rPr>
              <w:t>CONSERVATIVE</w:t>
            </w:r>
          </w:p>
        </w:tc>
      </w:tr>
    </w:tbl>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Quarter</w:t>
            </w:r>
          </w:p>
        </w:tc>
        <w:tc>
          <w:tcPr>
            <w:tcW w:type="dxa" w:w="1680"/>
            <w:shd w:fill="1A1446" w:val="clear"/>
          </w:tcPr>
          <w:p>
            <w:r>
              <w:rPr>
                <w:rFonts w:ascii="Calibri" w:hAnsi="Calibri"/>
                <w:b/>
                <w:color w:val="FFFFFF"/>
                <w:sz w:val="18"/>
              </w:rPr>
              <w:t>Est. EPS</w:t>
            </w:r>
          </w:p>
        </w:tc>
        <w:tc>
          <w:tcPr>
            <w:tcW w:type="dxa" w:w="1680"/>
            <w:shd w:fill="1A1446" w:val="clear"/>
          </w:tcPr>
          <w:p>
            <w:r>
              <w:rPr>
                <w:rFonts w:ascii="Calibri" w:hAnsi="Calibri"/>
                <w:b/>
                <w:color w:val="FFFFFF"/>
                <w:sz w:val="18"/>
              </w:rPr>
              <w:t>Actual EPS</w:t>
            </w:r>
          </w:p>
        </w:tc>
        <w:tc>
          <w:tcPr>
            <w:tcW w:type="dxa" w:w="1680"/>
            <w:shd w:fill="1A1446" w:val="clear"/>
          </w:tcPr>
          <w:p>
            <w:r>
              <w:rPr>
                <w:rFonts w:ascii="Calibri" w:hAnsi="Calibri"/>
                <w:b/>
                <w:color w:val="FFFFFF"/>
                <w:sz w:val="18"/>
              </w:rPr>
              <w:t>Result</w:t>
            </w:r>
          </w:p>
        </w:tc>
        <w:tc>
          <w:tcPr>
            <w:tcW w:type="dxa" w:w="1680"/>
            <w:shd w:fill="1A1446" w:val="clear"/>
          </w:tcPr>
          <w:p>
            <w:r>
              <w:rPr>
                <w:rFonts w:ascii="Calibri" w:hAnsi="Calibri"/>
                <w:b/>
                <w:color w:val="FFFFFF"/>
                <w:sz w:val="18"/>
              </w:rPr>
              <w:t>Miss Magnitude</w:t>
            </w:r>
          </w:p>
        </w:tc>
        <w:tc>
          <w:tcPr>
            <w:tcW w:type="dxa" w:w="1680"/>
            <w:shd w:fill="1A1446" w:val="clear"/>
          </w:tcPr>
          <w:p>
            <w:r>
              <w:rPr>
                <w:rFonts w:ascii="Calibri" w:hAnsi="Calibri"/>
                <w:b/>
                <w:color w:val="FFFFFF"/>
                <w:sz w:val="18"/>
              </w:rPr>
              <w:t>Stock Reaction</w:t>
            </w:r>
          </w:p>
        </w:tc>
      </w:tr>
      <w:tr>
        <w:tc>
          <w:tcPr>
            <w:tcW w:type="dxa" w:w="1680"/>
          </w:tcPr>
          <w:p>
            <w:r>
              <w:rPr>
                <w:rFonts w:ascii="Calibri" w:hAnsi="Calibri"/>
                <w:color w:val="333333"/>
                <w:sz w:val="18"/>
              </w:rPr>
              <w:t>Q1 2026</w:t>
            </w:r>
          </w:p>
        </w:tc>
        <w:tc>
          <w:tcPr>
            <w:tcW w:type="dxa" w:w="1680"/>
          </w:tcPr>
          <w:p>
            <w:r>
              <w:rPr>
                <w:rFonts w:ascii="Calibri" w:hAnsi="Calibri"/>
                <w:color w:val="333333"/>
                <w:sz w:val="18"/>
              </w:rPr>
              <w:t>$1.69</w:t>
            </w:r>
          </w:p>
        </w:tc>
        <w:tc>
          <w:tcPr>
            <w:tcW w:type="dxa" w:w="1680"/>
          </w:tcPr>
          <w:p>
            <w:r>
              <w:rPr>
                <w:rFonts w:ascii="Calibri" w:hAnsi="Calibri"/>
                <w:color w:val="333333"/>
                <w:sz w:val="18"/>
              </w:rPr>
              <w:t>$1.71</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+1.1%</w:t>
            </w:r>
          </w:p>
        </w:tc>
      </w:tr>
      <w:tr>
        <w:tc>
          <w:tcPr>
            <w:tcW w:type="dxa" w:w="1680"/>
            <w:shd w:fill="F2F4F8" w:val="clear"/>
          </w:tcPr>
          <w:p>
            <w:r>
              <w:rPr>
                <w:rFonts w:ascii="Calibri" w:hAnsi="Calibri"/>
                <w:color w:val="333333"/>
                <w:sz w:val="18"/>
              </w:rPr>
              <w:t>Q4 2025</w:t>
            </w:r>
          </w:p>
        </w:tc>
        <w:tc>
          <w:tcPr>
            <w:tcW w:type="dxa" w:w="1680"/>
            <w:shd w:fill="F2F4F8" w:val="clear"/>
          </w:tcPr>
          <w:p>
            <w:r>
              <w:rPr>
                <w:rFonts w:ascii="Calibri" w:hAnsi="Calibri"/>
                <w:color w:val="333333"/>
                <w:sz w:val="18"/>
              </w:rPr>
              <w:t>$1.79</w:t>
            </w:r>
          </w:p>
        </w:tc>
        <w:tc>
          <w:tcPr>
            <w:tcW w:type="dxa" w:w="1680"/>
            <w:shd w:fill="F2F4F8" w:val="clear"/>
          </w:tcPr>
          <w:p>
            <w:r>
              <w:rPr>
                <w:rFonts w:ascii="Calibri" w:hAnsi="Calibri"/>
                <w:color w:val="333333"/>
                <w:sz w:val="18"/>
              </w:rPr>
              <w:t>$1.76</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+1.7%</w:t>
            </w:r>
          </w:p>
        </w:tc>
        <w:tc>
          <w:tcPr>
            <w:tcW w:type="dxa" w:w="1680"/>
            <w:shd w:fill="F2F4F8" w:val="clear"/>
          </w:tcPr>
          <w:p>
            <w:r>
              <w:rPr>
                <w:rFonts w:ascii="Calibri" w:hAnsi="Calibri"/>
                <w:color w:val="333333"/>
                <w:sz w:val="18"/>
              </w:rPr>
              <w:t>-1.6%</w:t>
            </w:r>
          </w:p>
        </w:tc>
      </w:tr>
      <w:tr>
        <w:tc>
          <w:tcPr>
            <w:tcW w:type="dxa" w:w="1680"/>
          </w:tcPr>
          <w:p>
            <w:r>
              <w:rPr>
                <w:rFonts w:ascii="Calibri" w:hAnsi="Calibri"/>
                <w:color w:val="333333"/>
                <w:sz w:val="18"/>
              </w:rPr>
              <w:t>Q3 2025</w:t>
            </w:r>
          </w:p>
        </w:tc>
        <w:tc>
          <w:tcPr>
            <w:tcW w:type="dxa" w:w="1680"/>
          </w:tcPr>
          <w:p>
            <w:r>
              <w:rPr>
                <w:rFonts w:ascii="Calibri" w:hAnsi="Calibri"/>
                <w:color w:val="333333"/>
                <w:sz w:val="18"/>
              </w:rPr>
              <w:t>$1.56</w:t>
            </w:r>
          </w:p>
        </w:tc>
        <w:tc>
          <w:tcPr>
            <w:tcW w:type="dxa" w:w="1680"/>
          </w:tcPr>
          <w:p>
            <w:r>
              <w:rPr>
                <w:rFonts w:ascii="Calibri" w:hAnsi="Calibri"/>
                <w:color w:val="333333"/>
                <w:sz w:val="18"/>
              </w:rPr>
              <w:t>$1.64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+4.9%</w:t>
            </w:r>
          </w:p>
        </w:tc>
      </w:tr>
      <w:tr>
        <w:tc>
          <w:tcPr>
            <w:tcW w:type="dxa" w:w="1680"/>
            <w:shd w:fill="F2F4F8" w:val="clear"/>
          </w:tcPr>
          <w:p>
            <w:r>
              <w:rPr>
                <w:rFonts w:ascii="Calibri" w:hAnsi="Calibri"/>
                <w:color w:val="333333"/>
                <w:sz w:val="18"/>
              </w:rPr>
              <w:t>Q2 2025</w:t>
            </w:r>
          </w:p>
        </w:tc>
        <w:tc>
          <w:tcPr>
            <w:tcW w:type="dxa" w:w="1680"/>
            <w:shd w:fill="F2F4F8" w:val="clear"/>
          </w:tcPr>
          <w:p>
            <w:r>
              <w:rPr>
                <w:rFonts w:ascii="Calibri" w:hAnsi="Calibri"/>
                <w:color w:val="333333"/>
                <w:sz w:val="18"/>
              </w:rPr>
              <w:t>$1.74</w:t>
            </w:r>
          </w:p>
        </w:tc>
        <w:tc>
          <w:tcPr>
            <w:tcW w:type="dxa" w:w="1680"/>
            <w:shd w:fill="F2F4F8" w:val="clear"/>
          </w:tcPr>
          <w:p>
            <w:r>
              <w:rPr>
                <w:rFonts w:ascii="Calibri" w:hAnsi="Calibri"/>
                <w:color w:val="333333"/>
                <w:sz w:val="18"/>
              </w:rPr>
              <w:t>$1.76</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+1.2%</w:t>
            </w:r>
          </w:p>
        </w:tc>
      </w:tr>
      <w:tr>
        <w:tc>
          <w:tcPr>
            <w:tcW w:type="dxa" w:w="1680"/>
          </w:tcPr>
          <w:p>
            <w:r>
              <w:rPr>
                <w:rFonts w:ascii="Calibri" w:hAnsi="Calibri"/>
                <w:color w:val="333333"/>
                <w:sz w:val="18"/>
              </w:rPr>
              <w:t>Q1 2025</w:t>
            </w:r>
          </w:p>
        </w:tc>
        <w:tc>
          <w:tcPr>
            <w:tcW w:type="dxa" w:w="1680"/>
          </w:tcPr>
          <w:p>
            <w:r>
              <w:rPr>
                <w:rFonts w:ascii="Calibri" w:hAnsi="Calibri"/>
                <w:color w:val="333333"/>
                <w:sz w:val="18"/>
              </w:rPr>
              <w:t>$1.55</w:t>
            </w:r>
          </w:p>
        </w:tc>
        <w:tc>
          <w:tcPr>
            <w:tcW w:type="dxa" w:w="1680"/>
          </w:tcPr>
          <w:p>
            <w:r>
              <w:rPr>
                <w:rFonts w:ascii="Calibri" w:hAnsi="Calibri"/>
                <w:color w:val="333333"/>
                <w:sz w:val="18"/>
              </w:rPr>
              <w:t>$1.67</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+7.9%</w:t>
            </w:r>
          </w:p>
        </w:tc>
      </w:tr>
      <w:tr>
        <w:tc>
          <w:tcPr>
            <w:tcW w:type="dxa" w:w="1680"/>
            <w:shd w:fill="F2F4F8" w:val="clear"/>
          </w:tcPr>
          <w:p>
            <w:r>
              <w:rPr>
                <w:rFonts w:ascii="Calibri" w:hAnsi="Calibri"/>
                <w:color w:val="333333"/>
                <w:sz w:val="18"/>
              </w:rPr>
              <w:t>Q4 2024</w:t>
            </w:r>
          </w:p>
        </w:tc>
        <w:tc>
          <w:tcPr>
            <w:tcW w:type="dxa" w:w="1680"/>
            <w:shd w:fill="F2F4F8" w:val="clear"/>
          </w:tcPr>
          <w:p>
            <w:r>
              <w:rPr>
                <w:rFonts w:ascii="Calibri" w:hAnsi="Calibri"/>
                <w:color w:val="333333"/>
                <w:sz w:val="18"/>
              </w:rPr>
              <w:t>$1.87</w:t>
            </w:r>
          </w:p>
        </w:tc>
        <w:tc>
          <w:tcPr>
            <w:tcW w:type="dxa" w:w="1680"/>
            <w:shd w:fill="F2F4F8" w:val="clear"/>
          </w:tcPr>
          <w:p>
            <w:r>
              <w:rPr>
                <w:rFonts w:ascii="Calibri" w:hAnsi="Calibri"/>
                <w:color w:val="333333"/>
                <w:sz w:val="18"/>
              </w:rPr>
              <w:t>$1.92</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+2.6%</w:t>
            </w:r>
          </w:p>
        </w:tc>
      </w:tr>
      <w:tr>
        <w:tc>
          <w:tcPr>
            <w:tcW w:type="dxa" w:w="1680"/>
          </w:tcPr>
          <w:p>
            <w:r>
              <w:rPr>
                <w:rFonts w:ascii="Calibri" w:hAnsi="Calibri"/>
                <w:color w:val="333333"/>
                <w:sz w:val="18"/>
              </w:rPr>
              <w:t>Q3 2024</w:t>
            </w:r>
          </w:p>
        </w:tc>
        <w:tc>
          <w:tcPr>
            <w:tcW w:type="dxa" w:w="1680"/>
          </w:tcPr>
          <w:p>
            <w:r>
              <w:rPr>
                <w:rFonts w:ascii="Calibri" w:hAnsi="Calibri"/>
                <w:color w:val="333333"/>
                <w:sz w:val="18"/>
              </w:rPr>
              <w:t>$2.01</w:t>
            </w:r>
          </w:p>
        </w:tc>
        <w:tc>
          <w:tcPr>
            <w:tcW w:type="dxa" w:w="1680"/>
          </w:tcPr>
          <w:p>
            <w:r>
              <w:rPr>
                <w:rFonts w:ascii="Calibri" w:hAnsi="Calibri"/>
                <w:color w:val="333333"/>
                <w:sz w:val="18"/>
              </w:rPr>
              <w:t>$2.14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+6.5%</w:t>
            </w:r>
          </w:p>
        </w:tc>
      </w:tr>
      <w:tr>
        <w:tc>
          <w:tcPr>
            <w:tcW w:type="dxa" w:w="1680"/>
            <w:shd w:fill="F2F4F8" w:val="clear"/>
          </w:tcPr>
          <w:p>
            <w:r>
              <w:rPr>
                <w:rFonts w:ascii="Calibri" w:hAnsi="Calibri"/>
                <w:color w:val="333333"/>
                <w:sz w:val="18"/>
              </w:rPr>
              <w:t>Q2 2024</w:t>
            </w:r>
          </w:p>
        </w:tc>
        <w:tc>
          <w:tcPr>
            <w:tcW w:type="dxa" w:w="1680"/>
            <w:shd w:fill="F2F4F8" w:val="clear"/>
          </w:tcPr>
          <w:p>
            <w:r>
              <w:rPr>
                <w:rFonts w:ascii="Calibri" w:hAnsi="Calibri"/>
                <w:color w:val="333333"/>
                <w:sz w:val="18"/>
              </w:rPr>
              <w:t>$2.16</w:t>
            </w:r>
          </w:p>
        </w:tc>
        <w:tc>
          <w:tcPr>
            <w:tcW w:type="dxa" w:w="1680"/>
            <w:shd w:fill="F2F4F8" w:val="clear"/>
          </w:tcPr>
          <w:p>
            <w:r>
              <w:rPr>
                <w:rFonts w:ascii="Calibri" w:hAnsi="Calibri"/>
                <w:color w:val="333333"/>
                <w:sz w:val="18"/>
              </w:rPr>
              <w:t>$2.06</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+4.6%</w:t>
            </w:r>
          </w:p>
        </w:tc>
        <w:tc>
          <w:tcPr>
            <w:tcW w:type="dxa" w:w="1680"/>
            <w:shd w:fill="F2F4F8" w:val="clear"/>
          </w:tcPr>
          <w:p>
            <w:r>
              <w:rPr>
                <w:rFonts w:ascii="Calibri" w:hAnsi="Calibri"/>
                <w:color w:val="333333"/>
                <w:sz w:val="18"/>
              </w:rPr>
              <w:t>-4.8%</w:t>
            </w:r>
          </w:p>
        </w:tc>
      </w:tr>
      <w:tr>
        <w:tc>
          <w:tcPr>
            <w:tcW w:type="dxa" w:w="1680"/>
          </w:tcPr>
          <w:p>
            <w:r>
              <w:rPr>
                <w:rFonts w:ascii="Calibri" w:hAnsi="Calibri"/>
                <w:color w:val="333333"/>
                <w:sz w:val="18"/>
              </w:rPr>
              <w:t>Q1 2024</w:t>
            </w:r>
          </w:p>
        </w:tc>
        <w:tc>
          <w:tcPr>
            <w:tcW w:type="dxa" w:w="1680"/>
          </w:tcPr>
          <w:p>
            <w:r>
              <w:rPr>
                <w:rFonts w:ascii="Calibri" w:hAnsi="Calibri"/>
                <w:color w:val="333333"/>
                <w:sz w:val="18"/>
              </w:rPr>
              <w:t>$2.19</w:t>
            </w:r>
          </w:p>
        </w:tc>
        <w:tc>
          <w:tcPr>
            <w:tcW w:type="dxa" w:w="1680"/>
          </w:tcPr>
          <w:p>
            <w:r>
              <w:rPr>
                <w:rFonts w:ascii="Calibri" w:hAnsi="Calibri"/>
                <w:color w:val="333333"/>
                <w:sz w:val="18"/>
              </w:rPr>
              <w:t>$2.48</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+13.0%</w:t>
            </w:r>
          </w:p>
        </w:tc>
      </w:tr>
      <w:tr>
        <w:tc>
          <w:tcPr>
            <w:tcW w:type="dxa" w:w="1680"/>
            <w:shd w:fill="F2F4F8" w:val="clear"/>
          </w:tcPr>
          <w:p>
            <w:r>
              <w:rPr>
                <w:rFonts w:ascii="Calibri" w:hAnsi="Calibri"/>
                <w:color w:val="333333"/>
                <w:sz w:val="18"/>
              </w:rPr>
              <w:t>Q4 2023</w:t>
            </w:r>
          </w:p>
        </w:tc>
        <w:tc>
          <w:tcPr>
            <w:tcW w:type="dxa" w:w="1680"/>
            <w:shd w:fill="F2F4F8" w:val="clear"/>
          </w:tcPr>
          <w:p>
            <w:r>
              <w:rPr>
                <w:rFonts w:ascii="Calibri" w:hAnsi="Calibri"/>
                <w:color w:val="333333"/>
                <w:sz w:val="18"/>
              </w:rPr>
              <w:t>$2.36</w:t>
            </w:r>
          </w:p>
        </w:tc>
        <w:tc>
          <w:tcPr>
            <w:tcW w:type="dxa" w:w="1680"/>
            <w:shd w:fill="F2F4F8" w:val="clear"/>
          </w:tcPr>
          <w:p>
            <w:r>
              <w:rPr>
                <w:rFonts w:ascii="Calibri" w:hAnsi="Calibri"/>
                <w:color w:val="333333"/>
                <w:sz w:val="18"/>
              </w:rPr>
              <w:t>$2.27</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+3.8%</w:t>
            </w:r>
          </w:p>
        </w:tc>
        <w:tc>
          <w:tcPr>
            <w:tcW w:type="dxa" w:w="1680"/>
            <w:shd w:fill="F2F4F8" w:val="clear"/>
          </w:tcPr>
          <w:p>
            <w:r>
              <w:rPr>
                <w:rFonts w:ascii="Calibri" w:hAnsi="Calibri"/>
                <w:color w:val="333333"/>
                <w:sz w:val="18"/>
              </w:rPr>
              <w:t>-3.8%</w:t>
            </w:r>
          </w:p>
        </w:tc>
      </w:tr>
      <w:tr>
        <w:tc>
          <w:tcPr>
            <w:tcW w:type="dxa" w:w="1680"/>
          </w:tcPr>
          <w:p>
            <w:r>
              <w:rPr>
                <w:rFonts w:ascii="Calibri" w:hAnsi="Calibri"/>
                <w:color w:val="333333"/>
                <w:sz w:val="18"/>
              </w:rPr>
              <w:t>Q3 2023</w:t>
            </w:r>
          </w:p>
        </w:tc>
        <w:tc>
          <w:tcPr>
            <w:tcW w:type="dxa" w:w="1680"/>
          </w:tcPr>
          <w:p>
            <w:r>
              <w:rPr>
                <w:rFonts w:ascii="Calibri" w:hAnsi="Calibri"/>
                <w:color w:val="333333"/>
                <w:sz w:val="18"/>
              </w:rPr>
              <w:t>$2.02</w:t>
            </w:r>
          </w:p>
        </w:tc>
        <w:tc>
          <w:tcPr>
            <w:tcW w:type="dxa" w:w="1680"/>
          </w:tcPr>
          <w:p>
            <w:r>
              <w:rPr>
                <w:rFonts w:ascii="Calibri" w:hAnsi="Calibri"/>
                <w:color w:val="333333"/>
                <w:sz w:val="18"/>
              </w:rPr>
              <w:t>$1.94</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+4.0%</w:t>
            </w:r>
          </w:p>
        </w:tc>
        <w:tc>
          <w:tcPr>
            <w:tcW w:type="dxa" w:w="1680"/>
          </w:tcPr>
          <w:p>
            <w:r>
              <w:rPr>
                <w:rFonts w:ascii="Calibri" w:hAnsi="Calibri"/>
                <w:color w:val="333333"/>
                <w:sz w:val="18"/>
              </w:rPr>
              <w:t>-3.9%</w:t>
            </w:r>
          </w:p>
        </w:tc>
      </w:tr>
      <w:tr>
        <w:tc>
          <w:tcPr>
            <w:tcW w:type="dxa" w:w="1680"/>
            <w:shd w:fill="F2F4F8" w:val="clear"/>
          </w:tcPr>
          <w:p>
            <w:r>
              <w:rPr>
                <w:rFonts w:ascii="Calibri" w:hAnsi="Calibri"/>
                <w:color w:val="333333"/>
                <w:sz w:val="18"/>
              </w:rPr>
              <w:t>Q2 2023</w:t>
            </w:r>
          </w:p>
        </w:tc>
        <w:tc>
          <w:tcPr>
            <w:tcW w:type="dxa" w:w="1680"/>
            <w:shd w:fill="F2F4F8" w:val="clear"/>
          </w:tcPr>
          <w:p>
            <w:r>
              <w:rPr>
                <w:rFonts w:ascii="Calibri" w:hAnsi="Calibri"/>
                <w:color w:val="333333"/>
                <w:sz w:val="18"/>
              </w:rPr>
              <w:t>$2.59</w:t>
            </w:r>
          </w:p>
        </w:tc>
        <w:tc>
          <w:tcPr>
            <w:tcW w:type="dxa" w:w="1680"/>
            <w:shd w:fill="F2F4F8" w:val="clear"/>
          </w:tcPr>
          <w:p>
            <w:r>
              <w:rPr>
                <w:rFonts w:ascii="Calibri" w:hAnsi="Calibri"/>
                <w:color w:val="333333"/>
                <w:sz w:val="18"/>
              </w:rPr>
              <w:t>$2.83</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+9.3%</w:t>
            </w:r>
          </w:p>
        </w:tc>
      </w:tr>
      <w:tr>
        <w:tc>
          <w:tcPr>
            <w:tcW w:type="dxa" w:w="1680"/>
          </w:tcPr>
          <w:p>
            <w:r>
              <w:rPr>
                <w:rFonts w:ascii="Calibri" w:hAnsi="Calibri"/>
                <w:color w:val="333333"/>
                <w:sz w:val="18"/>
              </w:rPr>
              <w:t>Q1 2023</w:t>
            </w:r>
          </w:p>
        </w:tc>
        <w:tc>
          <w:tcPr>
            <w:tcW w:type="dxa" w:w="1680"/>
          </w:tcPr>
          <w:p>
            <w:r>
              <w:rPr>
                <w:rFonts w:ascii="Calibri" w:hAnsi="Calibri"/>
                <w:color w:val="333333"/>
                <w:sz w:val="18"/>
              </w:rPr>
              <w:t>$3.28</w:t>
            </w:r>
          </w:p>
        </w:tc>
        <w:tc>
          <w:tcPr>
            <w:tcW w:type="dxa" w:w="1680"/>
          </w:tcPr>
          <w:p>
            <w:r>
              <w:rPr>
                <w:rFonts w:ascii="Calibri" w:hAnsi="Calibri"/>
                <w:color w:val="333333"/>
                <w:sz w:val="18"/>
              </w:rPr>
              <w:t>$3.40</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+3.6%</w:t>
            </w:r>
          </w:p>
        </w:tc>
      </w:tr>
      <w:tr>
        <w:tc>
          <w:tcPr>
            <w:tcW w:type="dxa" w:w="1680"/>
            <w:shd w:fill="F2F4F8" w:val="clear"/>
          </w:tcPr>
          <w:p>
            <w:r>
              <w:rPr>
                <w:rFonts w:ascii="Calibri" w:hAnsi="Calibri"/>
                <w:color w:val="333333"/>
                <w:sz w:val="18"/>
              </w:rPr>
              <w:t>Q4 2022</w:t>
            </w:r>
          </w:p>
        </w:tc>
        <w:tc>
          <w:tcPr>
            <w:tcW w:type="dxa" w:w="1680"/>
            <w:shd w:fill="F2F4F8" w:val="clear"/>
          </w:tcPr>
          <w:p>
            <w:r>
              <w:rPr>
                <w:rFonts w:ascii="Calibri" w:hAnsi="Calibri"/>
                <w:color w:val="333333"/>
                <w:sz w:val="18"/>
              </w:rPr>
              <w:t>$3.82</w:t>
            </w:r>
          </w:p>
        </w:tc>
        <w:tc>
          <w:tcPr>
            <w:tcW w:type="dxa" w:w="1680"/>
            <w:shd w:fill="F2F4F8" w:val="clear"/>
          </w:tcPr>
          <w:p>
            <w:r>
              <w:rPr>
                <w:rFonts w:ascii="Calibri" w:hAnsi="Calibri"/>
                <w:color w:val="333333"/>
                <w:sz w:val="18"/>
              </w:rPr>
              <w:t>$4.45</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+16.5%</w:t>
            </w:r>
          </w:p>
        </w:tc>
      </w:tr>
      <w:tr>
        <w:tc>
          <w:tcPr>
            <w:tcW w:type="dxa" w:w="1680"/>
          </w:tcPr>
          <w:p>
            <w:r>
              <w:rPr>
                <w:rFonts w:ascii="Calibri" w:hAnsi="Calibri"/>
                <w:color w:val="333333"/>
                <w:sz w:val="18"/>
              </w:rPr>
              <w:t>Q3 2022</w:t>
            </w:r>
          </w:p>
        </w:tc>
        <w:tc>
          <w:tcPr>
            <w:tcW w:type="dxa" w:w="1680"/>
          </w:tcPr>
          <w:p>
            <w:r>
              <w:rPr>
                <w:rFonts w:ascii="Calibri" w:hAnsi="Calibri"/>
                <w:color w:val="333333"/>
                <w:sz w:val="18"/>
              </w:rPr>
              <w:t>$3.89</w:t>
            </w:r>
          </w:p>
        </w:tc>
        <w:tc>
          <w:tcPr>
            <w:tcW w:type="dxa" w:w="1680"/>
          </w:tcPr>
          <w:p>
            <w:r>
              <w:rPr>
                <w:rFonts w:ascii="Calibri" w:hAnsi="Calibri"/>
                <w:color w:val="333333"/>
                <w:sz w:val="18"/>
              </w:rPr>
              <w:t>$4.14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+6.5%</w:t>
            </w:r>
          </w:p>
        </w:tc>
      </w:tr>
      <w:tr>
        <w:tc>
          <w:tcPr>
            <w:tcW w:type="dxa" w:w="1680"/>
            <w:shd w:fill="F2F4F8" w:val="clear"/>
          </w:tcPr>
          <w:p>
            <w:r>
              <w:rPr>
                <w:rFonts w:ascii="Calibri" w:hAnsi="Calibri"/>
                <w:color w:val="333333"/>
                <w:sz w:val="18"/>
              </w:rPr>
              <w:t>Q2 2022</w:t>
            </w:r>
          </w:p>
        </w:tc>
        <w:tc>
          <w:tcPr>
            <w:tcW w:type="dxa" w:w="1680"/>
            <w:shd w:fill="F2F4F8" w:val="clear"/>
          </w:tcPr>
          <w:p>
            <w:r>
              <w:rPr>
                <w:rFonts w:ascii="Calibri" w:hAnsi="Calibri"/>
                <w:color w:val="333333"/>
                <w:sz w:val="18"/>
              </w:rPr>
              <w:t>$2.22</w:t>
            </w:r>
          </w:p>
        </w:tc>
        <w:tc>
          <w:tcPr>
            <w:tcW w:type="dxa" w:w="1680"/>
            <w:shd w:fill="F2F4F8" w:val="clear"/>
          </w:tcPr>
          <w:p>
            <w:r>
              <w:rPr>
                <w:rFonts w:ascii="Calibri" w:hAnsi="Calibri"/>
                <w:color w:val="333333"/>
                <w:sz w:val="18"/>
              </w:rPr>
              <w:t>$2.07</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+6.8%</w:t>
            </w:r>
          </w:p>
        </w:tc>
        <w:tc>
          <w:tcPr>
            <w:tcW w:type="dxa" w:w="1680"/>
            <w:shd w:fill="F2F4F8" w:val="clear"/>
          </w:tcPr>
          <w:p>
            <w:r>
              <w:rPr>
                <w:rFonts w:ascii="Calibri" w:hAnsi="Calibri"/>
                <w:color w:val="333333"/>
                <w:sz w:val="18"/>
              </w:rPr>
              <w:t>-7.0%</w:t>
            </w:r>
          </w:p>
        </w:tc>
      </w:tr>
    </w:tbl>
    <w:p>
      <w:pPr>
        <w:pStyle w:val="DOHeading2"/>
      </w:pPr>
      <w:r>
        <w:t>Analyst Consensus</w:t>
      </w:r>
    </w:p>
    <w:p>
      <w:pPr>
        <w:pStyle w:val="DOBody"/>
      </w:pPr>
      <w:r>
        <w:t>Analyst consensus data not available.</w:t>
      </w:r>
    </w:p>
    <w:p>
      <w:pPr>
        <w:pStyle w:val="DOHeading2"/>
      </w:pPr>
      <w:r>
        <w:t>Stock Drop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Date</w:t>
            </w:r>
          </w:p>
        </w:tc>
        <w:tc>
          <w:tcPr>
            <w:tcW w:type="dxa" w:w="1680"/>
            <w:shd w:fill="1A1446" w:val="clear"/>
          </w:tcPr>
          <w:p>
            <w:r>
              <w:rPr>
                <w:rFonts w:ascii="Calibri" w:hAnsi="Calibri"/>
                <w:b/>
                <w:color w:val="FFFFFF"/>
                <w:sz w:val="18"/>
              </w:rPr>
              <w:t>Magnitude</w:t>
            </w:r>
          </w:p>
        </w:tc>
        <w:tc>
          <w:tcPr>
            <w:tcW w:type="dxa" w:w="1680"/>
            <w:shd w:fill="1A1446" w:val="clear"/>
          </w:tcPr>
          <w:p>
            <w:r>
              <w:rPr>
                <w:rFonts w:ascii="Calibri" w:hAnsi="Calibri"/>
                <w:b/>
                <w:color w:val="FFFFFF"/>
                <w:sz w:val="18"/>
              </w:rPr>
              <w:t>Type</w:t>
            </w:r>
          </w:p>
        </w:tc>
        <w:tc>
          <w:tcPr>
            <w:tcW w:type="dxa" w:w="1680"/>
            <w:shd w:fill="1A1446" w:val="clear"/>
          </w:tcPr>
          <w:p>
            <w:r>
              <w:rPr>
                <w:rFonts w:ascii="Calibri" w:hAnsi="Calibri"/>
                <w:b/>
                <w:color w:val="FFFFFF"/>
                <w:sz w:val="18"/>
              </w:rPr>
              <w:t>Trigger / Attribution</w:t>
            </w:r>
          </w:p>
        </w:tc>
        <w:tc>
          <w:tcPr>
            <w:tcW w:type="dxa" w:w="1680"/>
            <w:shd w:fill="1A1446" w:val="clear"/>
          </w:tcPr>
          <w:p>
            <w:r>
              <w:rPr>
                <w:rFonts w:ascii="Calibri" w:hAnsi="Calibri"/>
                <w:b/>
                <w:color w:val="FFFFFF"/>
                <w:sz w:val="18"/>
              </w:rPr>
              <w:t>Sector Return</w:t>
            </w:r>
          </w:p>
        </w:tc>
        <w:tc>
          <w:tcPr>
            <w:tcW w:type="dxa" w:w="1680"/>
            <w:shd w:fill="1A1446" w:val="clear"/>
          </w:tcPr>
          <w:p>
            <w:r>
              <w:rPr>
                <w:rFonts w:ascii="Calibri" w:hAnsi="Calibri"/>
                <w:b/>
                <w:color w:val="FFFFFF"/>
                <w:sz w:val="18"/>
              </w:rPr>
              <w:t>Company-Specific</w:t>
            </w:r>
          </w:p>
        </w:tc>
      </w:tr>
      <w:tr>
        <w:tc>
          <w:tcPr>
            <w:tcW w:type="dxa" w:w="1680"/>
          </w:tcPr>
          <w:p>
            <w:r>
              <w:rPr>
                <w:rFonts w:ascii="Calibri" w:hAnsi="Calibri"/>
                <w:color w:val="333333"/>
                <w:sz w:val="18"/>
              </w:rPr>
              <w:t>2025-04-03 to 2025-04-10</w:t>
            </w:r>
          </w:p>
        </w:tc>
        <w:tc>
          <w:tcPr>
            <w:tcW w:type="dxa" w:w="1680"/>
          </w:tcPr>
          <w:p>
            <w:r>
              <w:rPr>
                <w:rFonts w:ascii="Calibri" w:hAnsi="Calibri"/>
                <w:color w:val="333333"/>
                <w:sz w:val="18"/>
              </w:rPr>
              <w:t>-16.1%</w:t>
            </w:r>
          </w:p>
        </w:tc>
        <w:tc>
          <w:tcPr>
            <w:tcW w:type="dxa" w:w="1680"/>
          </w:tcPr>
          <w:p>
            <w:r>
              <w:rPr>
                <w:rFonts w:ascii="Calibri" w:hAnsi="Calibri"/>
                <w:color w:val="333333"/>
                <w:sz w:val="18"/>
              </w:rPr>
              <w:t>MULTI_DAY (8d)</w:t>
            </w:r>
          </w:p>
        </w:tc>
        <w:tc>
          <w:tcPr>
            <w:tcW w:type="dxa" w:w="1680"/>
          </w:tcPr>
          <w:p>
            <w:r>
              <w:rPr>
                <w:rFonts w:ascii="Calibri" w:hAnsi="Calibri"/>
                <w:color w:val="333333"/>
                <w:sz w:val="18"/>
              </w:rPr>
              <w:t>8-K_filing</w:t>
            </w:r>
          </w:p>
        </w:tc>
        <w:tc>
          <w:tcPr>
            <w:tcW w:type="dxa" w:w="1680"/>
          </w:tcPr>
          <w:p>
            <w:r>
              <w:rPr>
                <w:rFonts w:ascii="Calibri" w:hAnsi="Calibri"/>
                <w:color w:val="333333"/>
                <w:sz w:val="18"/>
              </w:rPr>
              <w:t>-18.7%</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2025-04-04</w:t>
            </w:r>
          </w:p>
        </w:tc>
        <w:tc>
          <w:tcPr>
            <w:tcW w:type="dxa" w:w="1680"/>
            <w:shd w:fill="F2F4F8" w:val="clear"/>
          </w:tcPr>
          <w:p>
            <w:r>
              <w:rPr>
                <w:rFonts w:ascii="Calibri" w:hAnsi="Calibri"/>
                <w:color w:val="333333"/>
                <w:sz w:val="18"/>
              </w:rPr>
              <w:t>-12.1%</w:t>
            </w:r>
          </w:p>
        </w:tc>
        <w:tc>
          <w:tcPr>
            <w:tcW w:type="dxa" w:w="1680"/>
            <w:shd w:fill="F2F4F8" w:val="clear"/>
          </w:tcPr>
          <w:p>
            <w:r>
              <w:rPr>
                <w:rFonts w:ascii="Calibri" w:hAnsi="Calibri"/>
                <w:color w:val="333333"/>
                <w:sz w:val="18"/>
              </w:rPr>
              <w:t>MULTI_DAY (2d)</w:t>
            </w:r>
          </w:p>
        </w:tc>
        <w:tc>
          <w:tcPr>
            <w:tcW w:type="dxa" w:w="1680"/>
            <w:shd w:fill="F2F4F8" w:val="clear"/>
          </w:tcPr>
          <w:p>
            <w:r>
              <w:rPr>
                <w:rFonts w:ascii="Calibri" w:hAnsi="Calibri"/>
                <w:color w:val="333333"/>
                <w:sz w:val="18"/>
              </w:rPr>
              <w:t>8-K_filing</w:t>
            </w:r>
          </w:p>
        </w:tc>
        <w:tc>
          <w:tcPr>
            <w:tcW w:type="dxa" w:w="1680"/>
            <w:shd w:fill="F2F4F8" w:val="clear"/>
          </w:tcPr>
          <w:p>
            <w:r>
              <w:rPr>
                <w:rFonts w:ascii="Calibri" w:hAnsi="Calibri"/>
                <w:color w:val="333333"/>
                <w:sz w:val="18"/>
              </w:rPr>
              <w:t>-16.3%</w:t>
            </w:r>
          </w:p>
        </w:tc>
        <w:tc>
          <w:tcPr>
            <w:tcW w:type="dxa" w:w="1680"/>
            <w:shd w:fill="F2F4F8" w:val="clear"/>
          </w:tcPr>
          <w:p>
            <w:r>
              <w:rPr>
                <w:rFonts w:ascii="Calibri" w:hAnsi="Calibri"/>
                <w:color w:val="333333"/>
                <w:sz w:val="18"/>
              </w:rPr>
              <w:t>No</w:t>
            </w:r>
          </w:p>
        </w:tc>
      </w:tr>
      <w:tr>
        <w:tc>
          <w:tcPr>
            <w:tcW w:type="dxa" w:w="1680"/>
          </w:tcPr>
          <w:p>
            <w:r>
              <w:rPr>
                <w:rFonts w:ascii="Calibri" w:hAnsi="Calibri"/>
                <w:color w:val="333333"/>
                <w:sz w:val="18"/>
              </w:rPr>
              <w:t>2025-04-03</w:t>
            </w:r>
          </w:p>
        </w:tc>
        <w:tc>
          <w:tcPr>
            <w:tcW w:type="dxa" w:w="1680"/>
          </w:tcPr>
          <w:p>
            <w:r>
              <w:rPr>
                <w:rFonts w:ascii="Calibri" w:hAnsi="Calibri"/>
                <w:color w:val="333333"/>
                <w:sz w:val="18"/>
              </w:rPr>
              <w:t>-7.2%</w:t>
            </w:r>
          </w:p>
        </w:tc>
        <w:tc>
          <w:tcPr>
            <w:tcW w:type="dxa" w:w="1680"/>
          </w:tcPr>
          <w:p>
            <w:r>
              <w:rPr>
                <w:rFonts w:ascii="Calibri" w:hAnsi="Calibri"/>
                <w:color w:val="333333"/>
                <w:sz w:val="18"/>
              </w:rPr>
              <w:t>MULTI_DAY (2d)</w:t>
            </w:r>
          </w:p>
        </w:tc>
        <w:tc>
          <w:tcPr>
            <w:tcW w:type="dxa" w:w="1680"/>
          </w:tcPr>
          <w:p>
            <w:r>
              <w:rPr>
                <w:rFonts w:ascii="Calibri" w:hAnsi="Calibri"/>
                <w:color w:val="333333"/>
                <w:sz w:val="18"/>
              </w:rPr>
              <w:t>8-K_filing</w:t>
            </w:r>
          </w:p>
        </w:tc>
        <w:tc>
          <w:tcPr>
            <w:tcW w:type="dxa" w:w="1680"/>
          </w:tcPr>
          <w:p>
            <w:r>
              <w:rPr>
                <w:rFonts w:ascii="Calibri" w:hAnsi="Calibri"/>
                <w:color w:val="333333"/>
                <w:sz w:val="18"/>
              </w:rPr>
              <w:t>-7.8%</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2025-04-10</w:t>
            </w:r>
          </w:p>
        </w:tc>
        <w:tc>
          <w:tcPr>
            <w:tcW w:type="dxa" w:w="1680"/>
            <w:shd w:fill="F2F4F8" w:val="clear"/>
          </w:tcPr>
          <w:p>
            <w:r>
              <w:rPr>
                <w:rFonts w:ascii="Calibri" w:hAnsi="Calibri"/>
                <w:color w:val="333333"/>
                <w:sz w:val="18"/>
              </w:rPr>
              <w:t>-5.5%</w:t>
            </w:r>
          </w:p>
        </w:tc>
        <w:tc>
          <w:tcPr>
            <w:tcW w:type="dxa" w:w="1680"/>
            <w:shd w:fill="F2F4F8" w:val="clear"/>
          </w:tcPr>
          <w:p>
            <w:r>
              <w:rPr>
                <w:rFonts w:ascii="Calibri" w:hAnsi="Calibri"/>
                <w:color w:val="333333"/>
                <w:sz w:val="18"/>
              </w:rPr>
              <w:t>SINGLE_DAY</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-6.5%</w:t>
            </w:r>
          </w:p>
        </w:tc>
        <w:tc>
          <w:tcPr>
            <w:tcW w:type="dxa" w:w="1680"/>
            <w:shd w:fill="F2F4F8" w:val="clear"/>
          </w:tcPr>
          <w:p>
            <w:r>
              <w:rPr>
                <w:rFonts w:ascii="Calibri" w:hAnsi="Calibri"/>
                <w:color w:val="333333"/>
                <w:sz w:val="18"/>
              </w:rPr>
              <w:t>No</w:t>
            </w:r>
          </w:p>
        </w:tc>
      </w:tr>
      <w:tr>
        <w:tc>
          <w:tcPr>
            <w:tcW w:type="dxa" w:w="1680"/>
          </w:tcPr>
          <w:p>
            <w:r>
              <w:rPr>
                <w:rFonts w:ascii="Calibri" w:hAnsi="Calibri"/>
                <w:color w:val="333333"/>
                <w:sz w:val="18"/>
              </w:rPr>
              <w:t>2026-04-01</w:t>
            </w:r>
          </w:p>
        </w:tc>
        <w:tc>
          <w:tcPr>
            <w:tcW w:type="dxa" w:w="1680"/>
          </w:tcPr>
          <w:p>
            <w:r>
              <w:rPr>
                <w:rFonts w:ascii="Calibri" w:hAnsi="Calibri"/>
                <w:color w:val="333333"/>
                <w:sz w:val="18"/>
              </w:rPr>
              <w:t>-5.2%</w:t>
            </w:r>
          </w:p>
        </w:tc>
        <w:tc>
          <w:tcPr>
            <w:tcW w:type="dxa" w:w="1680"/>
          </w:tcPr>
          <w:p>
            <w:r>
              <w:rPr>
                <w:rFonts w:ascii="Calibri" w:hAnsi="Calibri"/>
                <w:color w:val="333333"/>
                <w:sz w:val="18"/>
              </w:rPr>
              <w:t>SINGLE_DAY</w:t>
            </w:r>
          </w:p>
        </w:tc>
        <w:tc>
          <w:tcPr>
            <w:tcW w:type="dxa" w:w="1680"/>
          </w:tcPr>
          <w:p>
            <w:r>
              <w:rPr>
                <w:rFonts w:ascii="Calibri" w:hAnsi="Calibri"/>
                <w:color w:val="333333"/>
                <w:sz w:val="18"/>
              </w:rPr>
              <w:t>8-K_filing</w:t>
            </w:r>
          </w:p>
        </w:tc>
        <w:tc>
          <w:tcPr>
            <w:tcW w:type="dxa" w:w="1680"/>
          </w:tcPr>
          <w:p>
            <w:r>
              <w:rPr>
                <w:rFonts w:ascii="Calibri" w:hAnsi="Calibri"/>
                <w:color w:val="333333"/>
                <w:sz w:val="18"/>
              </w:rPr>
              <w:t>-3.7%</w:t>
            </w:r>
          </w:p>
        </w:tc>
        <w:tc>
          <w:tcPr>
            <w:tcW w:type="dxa" w:w="1680"/>
            <w:shd w:fill="FFF3CD" w:val="clear"/>
          </w:tcPr>
          <w:p>
            <w:r>
              <w:rPr>
                <w:rFonts w:ascii="Calibri" w:hAnsi="Calibri"/>
                <w:color w:val="333333"/>
                <w:sz w:val="18"/>
              </w:rPr>
              <w:t>Yes</w:t>
            </w:r>
          </w:p>
        </w:tc>
      </w:tr>
    </w:tbl>
    <w:p>
      <w:pPr>
        <w:pStyle w:val="DOBody"/>
      </w:pPr>
      <w:r>
        <w:t>Company-Specific Drops: 1 event(s) exceeded sector movement. While individually moderate, a pattern of company-specific drops may indicate emerging D&amp;O litigation risk.</w:t>
      </w:r>
      <w:r>
        <w:rPr>
          <w:b/>
          <w:color w:val="EAB308"/>
          <w:sz w:val="18"/>
        </w:rPr>
        <w:t xml:space="preserve"> [ELEVATED]</w:t>
      </w:r>
    </w:p>
    <w:p>
      <w:pPr>
        <w:pStyle w:val="DOHeading2"/>
      </w:pPr>
      <w:r>
        <w:t>Insider Trading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Net Direction (12mo)</w:t>
            </w:r>
          </w:p>
        </w:tc>
        <w:tc>
          <w:tcPr>
            <w:tcW w:type="dxa" w:w="5040"/>
          </w:tcPr>
          <w:p>
            <w:r>
              <w:rPr>
                <w:rFonts w:ascii="Calibri" w:hAnsi="Calibri"/>
                <w:color w:val="333333"/>
                <w:sz w:val="18"/>
              </w:rPr>
              <w:t>NET_SELLING</w:t>
            </w:r>
          </w:p>
        </w:tc>
      </w:tr>
      <w:tr>
        <w:tc>
          <w:tcPr>
            <w:tcW w:type="dxa" w:w="5040"/>
            <w:shd w:fill="F2F4F8" w:val="clear"/>
          </w:tcPr>
          <w:p>
            <w:r>
              <w:rPr>
                <w:rFonts w:ascii="Calibri" w:hAnsi="Calibri"/>
                <w:color w:val="333333"/>
                <w:sz w:val="18"/>
              </w:rPr>
              <w:t>10b5-1 Plan %</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Buy Transactions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Sell Transactions</w:t>
            </w:r>
          </w:p>
        </w:tc>
        <w:tc>
          <w:tcPr>
            <w:tcW w:type="dxa" w:w="5040"/>
            <w:shd w:fill="F2F4F8" w:val="clear"/>
          </w:tcPr>
          <w:p>
            <w:r>
              <w:rPr>
                <w:rFonts w:ascii="Calibri" w:hAnsi="Calibri"/>
                <w:color w:val="333333"/>
                <w:sz w:val="18"/>
              </w:rPr>
              <w:t>7</w:t>
            </w:r>
          </w:p>
        </w:tc>
      </w:tr>
      <w:tr>
        <w:tc>
          <w:tcPr>
            <w:tcW w:type="dxa" w:w="5040"/>
          </w:tcPr>
          <w:p>
            <w:r>
              <w:rPr>
                <w:rFonts w:ascii="Calibri" w:hAnsi="Calibri"/>
                <w:color w:val="333333"/>
                <w:sz w:val="18"/>
              </w:rPr>
              <w:t>Cluster Events</w:t>
            </w:r>
          </w:p>
        </w:tc>
        <w:tc>
          <w:tcPr>
            <w:tcW w:type="dxa" w:w="5040"/>
          </w:tcPr>
          <w:p>
            <w:r>
              <w:rPr>
                <w:rFonts w:ascii="Calibri" w:hAnsi="Calibri"/>
                <w:color w:val="333333"/>
                <w:sz w:val="18"/>
              </w:rPr>
              <w:t>0</w:t>
            </w:r>
          </w:p>
        </w:tc>
      </w:tr>
    </w:tbl>
    <w:p>
      <w:pPr>
        <w:pStyle w:val="DOHeading3"/>
      </w:pPr>
      <w:r>
        <w:t>Transaction Detail</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Insider</w:t>
            </w:r>
          </w:p>
        </w:tc>
        <w:tc>
          <w:tcPr>
            <w:tcW w:type="dxa" w:w="1440"/>
            <w:shd w:fill="1A1446" w:val="clear"/>
          </w:tcPr>
          <w:p>
            <w:r>
              <w:rPr>
                <w:rFonts w:ascii="Calibri" w:hAnsi="Calibri"/>
                <w:b/>
                <w:color w:val="FFFFFF"/>
                <w:sz w:val="18"/>
              </w:rPr>
              <w:t>Title</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Shares</w:t>
            </w:r>
          </w:p>
        </w:tc>
        <w:tc>
          <w:tcPr>
            <w:tcW w:type="dxa" w:w="1440"/>
            <w:shd w:fill="1A1446" w:val="clear"/>
          </w:tcPr>
          <w:p>
            <w:r>
              <w:rPr>
                <w:rFonts w:ascii="Calibri" w:hAnsi="Calibri"/>
                <w:b/>
                <w:color w:val="FFFFFF"/>
                <w:sz w:val="18"/>
              </w:rPr>
              <w:t>Value</w:t>
            </w:r>
          </w:p>
        </w:tc>
        <w:tc>
          <w:tcPr>
            <w:tcW w:type="dxa" w:w="1440"/>
            <w:shd w:fill="1A1446" w:val="clear"/>
          </w:tcPr>
          <w:p>
            <w:r>
              <w:rPr>
                <w:rFonts w:ascii="Calibri" w:hAnsi="Calibri"/>
                <w:b/>
                <w:color w:val="FFFFFF"/>
                <w:sz w:val="18"/>
              </w:rPr>
              <w:t>10b5-1</w:t>
            </w:r>
          </w:p>
        </w:tc>
      </w:tr>
      <w:tr>
        <w:tc>
          <w:tcPr>
            <w:tcW w:type="dxa" w:w="1440"/>
          </w:tcPr>
          <w:p>
            <w:r>
              <w:rPr>
                <w:rFonts w:ascii="Calibri" w:hAnsi="Calibri"/>
                <w:color w:val="333333"/>
                <w:sz w:val="18"/>
              </w:rPr>
              <w:t>2026-03-16</w:t>
            </w:r>
          </w:p>
        </w:tc>
        <w:tc>
          <w:tcPr>
            <w:tcW w:type="dxa" w:w="1440"/>
          </w:tcPr>
          <w:p>
            <w:r>
              <w:rPr>
                <w:rFonts w:ascii="Calibri" w:hAnsi="Calibri"/>
                <w:color w:val="333333"/>
                <w:sz w:val="18"/>
              </w:rPr>
              <w:t>Talley Darrin L</w:t>
            </w:r>
          </w:p>
        </w:tc>
        <w:tc>
          <w:tcPr>
            <w:tcW w:type="dxa" w:w="1440"/>
          </w:tcPr>
          <w:p>
            <w:r>
              <w:rPr>
                <w:rFonts w:ascii="Calibri" w:hAnsi="Calibri"/>
                <w:color w:val="333333"/>
                <w:sz w:val="18"/>
              </w:rPr>
              <w:t>VP - Corp Strategic Planning</w:t>
            </w:r>
          </w:p>
        </w:tc>
        <w:tc>
          <w:tcPr>
            <w:tcW w:type="dxa" w:w="1440"/>
          </w:tcPr>
          <w:p>
            <w:r>
              <w:rPr>
                <w:rFonts w:ascii="Calibri" w:hAnsi="Calibri"/>
                <w:color w:val="333333"/>
                <w:sz w:val="18"/>
              </w:rPr>
              <w:t>SELL</w:t>
            </w:r>
          </w:p>
        </w:tc>
        <w:tc>
          <w:tcPr>
            <w:tcW w:type="dxa" w:w="1440"/>
          </w:tcPr>
          <w:p>
            <w:r>
              <w:rPr>
                <w:rFonts w:ascii="Calibri" w:hAnsi="Calibri"/>
                <w:color w:val="333333"/>
                <w:sz w:val="18"/>
              </w:rPr>
              <w:t>1,080</w:t>
            </w:r>
          </w:p>
        </w:tc>
        <w:tc>
          <w:tcPr>
            <w:tcW w:type="dxa" w:w="1440"/>
          </w:tcPr>
          <w:p>
            <w:r>
              <w:rPr>
                <w:rFonts w:ascii="Calibri" w:hAnsi="Calibri"/>
                <w:color w:val="333333"/>
                <w:sz w:val="18"/>
              </w:rPr>
              <w:t>$167.9K</w:t>
            </w:r>
          </w:p>
        </w:tc>
        <w:tc>
          <w:tcPr>
            <w:tcW w:type="dxa" w:w="1440"/>
            <w:shd w:fill="FFF3CD" w:val="clear"/>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2026-03-02</w:t>
            </w:r>
          </w:p>
        </w:tc>
        <w:tc>
          <w:tcPr>
            <w:tcW w:type="dxa" w:w="1440"/>
            <w:shd w:fill="F2F4F8" w:val="clear"/>
          </w:tcPr>
          <w:p>
            <w:r>
              <w:rPr>
                <w:rFonts w:ascii="Calibri" w:hAnsi="Calibri"/>
                <w:color w:val="333333"/>
                <w:sz w:val="18"/>
              </w:rPr>
              <w:t>Talley Darrin L</w:t>
            </w:r>
          </w:p>
        </w:tc>
        <w:tc>
          <w:tcPr>
            <w:tcW w:type="dxa" w:w="1440"/>
            <w:shd w:fill="F2F4F8" w:val="clear"/>
          </w:tcPr>
          <w:p>
            <w:r>
              <w:rPr>
                <w:rFonts w:ascii="Calibri" w:hAnsi="Calibri"/>
                <w:color w:val="333333"/>
                <w:sz w:val="18"/>
              </w:rPr>
              <w:t>VP - Corp Strategic Planning</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2,150</w:t>
            </w:r>
          </w:p>
        </w:tc>
        <w:tc>
          <w:tcPr>
            <w:tcW w:type="dxa" w:w="1440"/>
            <w:shd w:fill="F2F4F8" w:val="clear"/>
          </w:tcPr>
          <w:p>
            <w:r>
              <w:rPr>
                <w:rFonts w:ascii="Calibri" w:hAnsi="Calibri"/>
                <w:color w:val="333333"/>
                <w:sz w:val="18"/>
              </w:rPr>
              <w:t>$339.3K</w:t>
            </w:r>
          </w:p>
        </w:tc>
        <w:tc>
          <w:tcPr>
            <w:tcW w:type="dxa" w:w="1440"/>
            <w:shd w:fill="F2F4F8" w:val="clear"/>
            <w:shd w:fill="FFF3CD" w:val="clear"/>
          </w:tcPr>
          <w:p>
            <w:r>
              <w:rPr>
                <w:rFonts w:ascii="Calibri" w:hAnsi="Calibri"/>
                <w:color w:val="333333"/>
                <w:sz w:val="18"/>
              </w:rPr>
              <w:t>No (Discretionary)</w:t>
            </w:r>
          </w:p>
        </w:tc>
      </w:tr>
      <w:tr>
        <w:tc>
          <w:tcPr>
            <w:tcW w:type="dxa" w:w="1440"/>
          </w:tcPr>
          <w:p>
            <w:r>
              <w:rPr>
                <w:rFonts w:ascii="Calibri" w:hAnsi="Calibri"/>
                <w:color w:val="333333"/>
                <w:sz w:val="18"/>
              </w:rPr>
              <w:t>2026-02-09</w:t>
            </w:r>
          </w:p>
        </w:tc>
        <w:tc>
          <w:tcPr>
            <w:tcW w:type="dxa" w:w="1440"/>
          </w:tcPr>
          <w:p>
            <w:r>
              <w:rPr>
                <w:rFonts w:ascii="Calibri" w:hAnsi="Calibri"/>
                <w:color w:val="333333"/>
                <w:sz w:val="18"/>
              </w:rPr>
              <w:t>Talley Darrin L</w:t>
            </w:r>
          </w:p>
        </w:tc>
        <w:tc>
          <w:tcPr>
            <w:tcW w:type="dxa" w:w="1440"/>
          </w:tcPr>
          <w:p>
            <w:r>
              <w:rPr>
                <w:rFonts w:ascii="Calibri" w:hAnsi="Calibri"/>
                <w:color w:val="333333"/>
                <w:sz w:val="18"/>
              </w:rPr>
              <w:t>VP - Corp Strategic Planning</w:t>
            </w:r>
          </w:p>
        </w:tc>
        <w:tc>
          <w:tcPr>
            <w:tcW w:type="dxa" w:w="1440"/>
          </w:tcPr>
          <w:p>
            <w:r>
              <w:rPr>
                <w:rFonts w:ascii="Calibri" w:hAnsi="Calibri"/>
                <w:color w:val="333333"/>
                <w:sz w:val="18"/>
              </w:rPr>
              <w:t>SELL</w:t>
            </w:r>
          </w:p>
        </w:tc>
        <w:tc>
          <w:tcPr>
            <w:tcW w:type="dxa" w:w="1440"/>
          </w:tcPr>
          <w:p>
            <w:r>
              <w:rPr>
                <w:rFonts w:ascii="Calibri" w:hAnsi="Calibri"/>
                <w:color w:val="333333"/>
                <w:sz w:val="18"/>
              </w:rPr>
              <w:t>3,230</w:t>
            </w:r>
          </w:p>
        </w:tc>
        <w:tc>
          <w:tcPr>
            <w:tcW w:type="dxa" w:w="1440"/>
          </w:tcPr>
          <w:p>
            <w:r>
              <w:rPr>
                <w:rFonts w:ascii="Calibri" w:hAnsi="Calibri"/>
                <w:color w:val="333333"/>
                <w:sz w:val="18"/>
              </w:rPr>
              <w:t>$481.8K</w:t>
            </w:r>
          </w:p>
        </w:tc>
        <w:tc>
          <w:tcPr>
            <w:tcW w:type="dxa" w:w="1440"/>
            <w:shd w:fill="FFF3CD" w:val="clear"/>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2026-02-02</w:t>
            </w:r>
          </w:p>
        </w:tc>
        <w:tc>
          <w:tcPr>
            <w:tcW w:type="dxa" w:w="1440"/>
            <w:shd w:fill="F2F4F8" w:val="clear"/>
          </w:tcPr>
          <w:p>
            <w:r>
              <w:rPr>
                <w:rFonts w:ascii="Calibri" w:hAnsi="Calibri"/>
                <w:color w:val="333333"/>
                <w:sz w:val="18"/>
              </w:rPr>
              <w:t>Talley Darrin L</w:t>
            </w:r>
          </w:p>
        </w:tc>
        <w:tc>
          <w:tcPr>
            <w:tcW w:type="dxa" w:w="1440"/>
            <w:shd w:fill="F2F4F8" w:val="clear"/>
          </w:tcPr>
          <w:p>
            <w:r>
              <w:rPr>
                <w:rFonts w:ascii="Calibri" w:hAnsi="Calibri"/>
                <w:color w:val="333333"/>
                <w:sz w:val="18"/>
              </w:rPr>
              <w:t>VP - Corp Strategic Planning</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650</w:t>
            </w:r>
          </w:p>
        </w:tc>
        <w:tc>
          <w:tcPr>
            <w:tcW w:type="dxa" w:w="1440"/>
            <w:shd w:fill="F2F4F8" w:val="clear"/>
          </w:tcPr>
          <w:p>
            <w:r>
              <w:rPr>
                <w:rFonts w:ascii="Calibri" w:hAnsi="Calibri"/>
                <w:color w:val="333333"/>
                <w:sz w:val="18"/>
              </w:rPr>
              <w:t>$90.8K</w:t>
            </w:r>
          </w:p>
        </w:tc>
        <w:tc>
          <w:tcPr>
            <w:tcW w:type="dxa" w:w="1440"/>
            <w:shd w:fill="F2F4F8" w:val="clear"/>
            <w:shd w:fill="FFF3CD" w:val="clear"/>
          </w:tcPr>
          <w:p>
            <w:r>
              <w:rPr>
                <w:rFonts w:ascii="Calibri" w:hAnsi="Calibri"/>
                <w:color w:val="333333"/>
                <w:sz w:val="18"/>
              </w:rPr>
              <w:t>No (Discretionary)</w:t>
            </w:r>
          </w:p>
        </w:tc>
      </w:tr>
      <w:tr>
        <w:tc>
          <w:tcPr>
            <w:tcW w:type="dxa" w:w="1440"/>
          </w:tcPr>
          <w:p>
            <w:r>
              <w:rPr>
                <w:rFonts w:ascii="Calibri" w:hAnsi="Calibri"/>
                <w:color w:val="333333"/>
                <w:sz w:val="18"/>
              </w:rPr>
              <w:t>2026-02-02</w:t>
            </w:r>
          </w:p>
        </w:tc>
        <w:tc>
          <w:tcPr>
            <w:tcW w:type="dxa" w:w="1440"/>
          </w:tcPr>
          <w:p>
            <w:r>
              <w:rPr>
                <w:rFonts w:ascii="Calibri" w:hAnsi="Calibri"/>
                <w:color w:val="333333"/>
                <w:sz w:val="18"/>
              </w:rPr>
              <w:t>Talley Darrin L</w:t>
            </w:r>
          </w:p>
        </w:tc>
        <w:tc>
          <w:tcPr>
            <w:tcW w:type="dxa" w:w="1440"/>
          </w:tcPr>
          <w:p>
            <w:r>
              <w:rPr>
                <w:rFonts w:ascii="Calibri" w:hAnsi="Calibri"/>
                <w:color w:val="333333"/>
                <w:sz w:val="18"/>
              </w:rPr>
              <w:t>VP - Corp Strategic Planning</w:t>
            </w:r>
          </w:p>
        </w:tc>
        <w:tc>
          <w:tcPr>
            <w:tcW w:type="dxa" w:w="1440"/>
          </w:tcPr>
          <w:p>
            <w:r>
              <w:rPr>
                <w:rFonts w:ascii="Calibri" w:hAnsi="Calibri"/>
                <w:color w:val="333333"/>
                <w:sz w:val="18"/>
              </w:rPr>
              <w:t>SELL</w:t>
            </w:r>
          </w:p>
        </w:tc>
        <w:tc>
          <w:tcPr>
            <w:tcW w:type="dxa" w:w="1440"/>
          </w:tcPr>
          <w:p>
            <w:r>
              <w:rPr>
                <w:rFonts w:ascii="Calibri" w:hAnsi="Calibri"/>
                <w:color w:val="333333"/>
                <w:sz w:val="18"/>
              </w:rPr>
              <w:t>4,350</w:t>
            </w:r>
          </w:p>
        </w:tc>
        <w:tc>
          <w:tcPr>
            <w:tcW w:type="dxa" w:w="1440"/>
          </w:tcPr>
          <w:p>
            <w:r>
              <w:rPr>
                <w:rFonts w:ascii="Calibri" w:hAnsi="Calibri"/>
                <w:color w:val="333333"/>
                <w:sz w:val="18"/>
              </w:rPr>
              <w:t>$607.9K</w:t>
            </w:r>
          </w:p>
        </w:tc>
        <w:tc>
          <w:tcPr>
            <w:tcW w:type="dxa" w:w="1440"/>
            <w:shd w:fill="FFF3CD" w:val="clear"/>
          </w:tcPr>
          <w:p>
            <w:r>
              <w:rPr>
                <w:rFonts w:ascii="Calibri" w:hAnsi="Calibri"/>
                <w:color w:val="333333"/>
                <w:sz w:val="18"/>
              </w:rPr>
              <w:t>No (Discretionary)</w:t>
            </w:r>
          </w:p>
        </w:tc>
      </w:tr>
      <w:tr>
        <w:tc>
          <w:tcPr>
            <w:tcW w:type="dxa" w:w="1440"/>
            <w:shd w:fill="F2F4F8" w:val="clear"/>
          </w:tcPr>
          <w:p>
            <w:r>
              <w:rPr>
                <w:rFonts w:ascii="Calibri" w:hAnsi="Calibri"/>
                <w:color w:val="333333"/>
                <w:sz w:val="18"/>
              </w:rPr>
              <w:t>2026-01-02</w:t>
            </w:r>
          </w:p>
        </w:tc>
        <w:tc>
          <w:tcPr>
            <w:tcW w:type="dxa" w:w="1440"/>
            <w:shd w:fill="F2F4F8" w:val="clear"/>
          </w:tcPr>
          <w:p>
            <w:r>
              <w:rPr>
                <w:rFonts w:ascii="Calibri" w:hAnsi="Calibri"/>
                <w:color w:val="333333"/>
                <w:sz w:val="18"/>
              </w:rPr>
              <w:t>Angelakis Michael J</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2,500</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2026-01-02</w:t>
            </w:r>
          </w:p>
        </w:tc>
        <w:tc>
          <w:tcPr>
            <w:tcW w:type="dxa" w:w="1440"/>
          </w:tcPr>
          <w:p>
            <w:r>
              <w:rPr>
                <w:rFonts w:ascii="Calibri" w:hAnsi="Calibri"/>
                <w:color w:val="333333"/>
                <w:sz w:val="18"/>
              </w:rPr>
              <w:t>Braly Angela F</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2,500</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2026-01-02</w:t>
            </w:r>
          </w:p>
        </w:tc>
        <w:tc>
          <w:tcPr>
            <w:tcW w:type="dxa" w:w="1440"/>
            <w:shd w:fill="F2F4F8" w:val="clear"/>
          </w:tcPr>
          <w:p>
            <w:r>
              <w:rPr>
                <w:rFonts w:ascii="Calibri" w:hAnsi="Calibri"/>
                <w:color w:val="333333"/>
                <w:sz w:val="18"/>
              </w:rPr>
              <w:t>Dreyfus Maria S.</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2,500</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2026-01-02</w:t>
            </w:r>
          </w:p>
        </w:tc>
        <w:tc>
          <w:tcPr>
            <w:tcW w:type="dxa" w:w="1440"/>
          </w:tcPr>
          <w:p>
            <w:r>
              <w:rPr>
                <w:rFonts w:ascii="Calibri" w:hAnsi="Calibri"/>
                <w:color w:val="333333"/>
                <w:sz w:val="18"/>
              </w:rPr>
              <w:t>Garland Greg C.</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2,500</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2026-01-02</w:t>
            </w:r>
          </w:p>
        </w:tc>
        <w:tc>
          <w:tcPr>
            <w:tcW w:type="dxa" w:w="1440"/>
            <w:shd w:fill="F2F4F8" w:val="clear"/>
          </w:tcPr>
          <w:p>
            <w:r>
              <w:rPr>
                <w:rFonts w:ascii="Calibri" w:hAnsi="Calibri"/>
                <w:color w:val="333333"/>
                <w:sz w:val="18"/>
              </w:rPr>
              <w:t>HARRIS JOHN D</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2,500</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2026-01-02</w:t>
            </w:r>
          </w:p>
        </w:tc>
        <w:tc>
          <w:tcPr>
            <w:tcW w:type="dxa" w:w="1440"/>
          </w:tcPr>
          <w:p>
            <w:r>
              <w:rPr>
                <w:rFonts w:ascii="Calibri" w:hAnsi="Calibri"/>
                <w:color w:val="333333"/>
                <w:sz w:val="18"/>
              </w:rPr>
              <w:t>HOOLEY JOSEPH L</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2,500</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2026-01-02</w:t>
            </w:r>
          </w:p>
        </w:tc>
        <w:tc>
          <w:tcPr>
            <w:tcW w:type="dxa" w:w="1440"/>
            <w:shd w:fill="F2F4F8" w:val="clear"/>
          </w:tcPr>
          <w:p>
            <w:r>
              <w:rPr>
                <w:rFonts w:ascii="Calibri" w:hAnsi="Calibri"/>
                <w:color w:val="333333"/>
                <w:sz w:val="18"/>
              </w:rPr>
              <w:t>Karsner Alexander</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2,500</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2026-01-02</w:t>
            </w:r>
          </w:p>
        </w:tc>
        <w:tc>
          <w:tcPr>
            <w:tcW w:type="dxa" w:w="1440"/>
          </w:tcPr>
          <w:p>
            <w:r>
              <w:rPr>
                <w:rFonts w:ascii="Calibri" w:hAnsi="Calibri"/>
                <w:color w:val="333333"/>
                <w:sz w:val="18"/>
              </w:rPr>
              <w:t>Hietala Kaisa</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2,500</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2026-01-02</w:t>
            </w:r>
          </w:p>
        </w:tc>
        <w:tc>
          <w:tcPr>
            <w:tcW w:type="dxa" w:w="1440"/>
            <w:shd w:fill="F2F4F8" w:val="clear"/>
          </w:tcPr>
          <w:p>
            <w:r>
              <w:rPr>
                <w:rFonts w:ascii="Calibri" w:hAnsi="Calibri"/>
                <w:color w:val="333333"/>
                <w:sz w:val="18"/>
              </w:rPr>
              <w:t>KANDARIAN STEVEN A</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2,500</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2026-01-02</w:t>
            </w:r>
          </w:p>
        </w:tc>
        <w:tc>
          <w:tcPr>
            <w:tcW w:type="dxa" w:w="1440"/>
          </w:tcPr>
          <w:p>
            <w:r>
              <w:rPr>
                <w:rFonts w:ascii="Calibri" w:hAnsi="Calibri"/>
                <w:color w:val="333333"/>
                <w:sz w:val="18"/>
              </w:rPr>
              <w:t>KELLNER LAWRENCE W</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2,500</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2026-01-02</w:t>
            </w:r>
          </w:p>
        </w:tc>
        <w:tc>
          <w:tcPr>
            <w:tcW w:type="dxa" w:w="1440"/>
            <w:shd w:fill="F2F4F8" w:val="clear"/>
          </w:tcPr>
          <w:p>
            <w:r>
              <w:rPr>
                <w:rFonts w:ascii="Calibri" w:hAnsi="Calibri"/>
                <w:color w:val="333333"/>
                <w:sz w:val="18"/>
              </w:rPr>
              <w:t>Powell Dina H.</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2,500</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2026-01-02</w:t>
            </w:r>
          </w:p>
        </w:tc>
        <w:tc>
          <w:tcPr>
            <w:tcW w:type="dxa" w:w="1440"/>
          </w:tcPr>
          <w:p>
            <w:r>
              <w:rPr>
                <w:rFonts w:ascii="Calibri" w:hAnsi="Calibri"/>
                <w:color w:val="333333"/>
                <w:sz w:val="18"/>
              </w:rPr>
              <w:t>UBBEN JEFFREY W</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2,500</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2025-12-18</w:t>
            </w:r>
          </w:p>
        </w:tc>
        <w:tc>
          <w:tcPr>
            <w:tcW w:type="dxa" w:w="1440"/>
            <w:shd w:fill="F2F4F8" w:val="clear"/>
          </w:tcPr>
          <w:p>
            <w:r>
              <w:rPr>
                <w:rFonts w:ascii="Calibri" w:hAnsi="Calibri"/>
                <w:color w:val="333333"/>
                <w:sz w:val="18"/>
              </w:rPr>
              <w:t>Chapman Neil A</w:t>
            </w:r>
          </w:p>
        </w:tc>
        <w:tc>
          <w:tcPr>
            <w:tcW w:type="dxa" w:w="1440"/>
            <w:shd w:fill="F2F4F8" w:val="clear"/>
          </w:tcPr>
          <w:p>
            <w:r>
              <w:rPr>
                <w:rFonts w:ascii="Calibri" w:hAnsi="Calibri"/>
                <w:color w:val="333333"/>
                <w:sz w:val="18"/>
              </w:rPr>
              <w:t>Senior Vice President</w:t>
            </w:r>
          </w:p>
        </w:tc>
        <w:tc>
          <w:tcPr>
            <w:tcW w:type="dxa" w:w="1440"/>
            <w:shd w:fill="F2F4F8" w:val="clear"/>
          </w:tcPr>
          <w:p>
            <w:r>
              <w:rPr>
                <w:rFonts w:ascii="Calibri" w:hAnsi="Calibri"/>
                <w:color w:val="333333"/>
                <w:sz w:val="18"/>
              </w:rPr>
              <w:t>GIFT</w:t>
            </w:r>
          </w:p>
        </w:tc>
        <w:tc>
          <w:tcPr>
            <w:tcW w:type="dxa" w:w="1440"/>
            <w:shd w:fill="F2F4F8" w:val="clear"/>
          </w:tcPr>
          <w:p>
            <w:r>
              <w:rPr>
                <w:rFonts w:ascii="Calibri" w:hAnsi="Calibri"/>
                <w:color w:val="333333"/>
                <w:sz w:val="18"/>
              </w:rPr>
              <w:t>335</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2025-12-18</w:t>
            </w:r>
          </w:p>
        </w:tc>
        <w:tc>
          <w:tcPr>
            <w:tcW w:type="dxa" w:w="1440"/>
          </w:tcPr>
          <w:p>
            <w:r>
              <w:rPr>
                <w:rFonts w:ascii="Calibri" w:hAnsi="Calibri"/>
                <w:color w:val="333333"/>
                <w:sz w:val="18"/>
              </w:rPr>
              <w:t>Chapman Neil A</w:t>
            </w:r>
          </w:p>
        </w:tc>
        <w:tc>
          <w:tcPr>
            <w:tcW w:type="dxa" w:w="1440"/>
          </w:tcPr>
          <w:p>
            <w:r>
              <w:rPr>
                <w:rFonts w:ascii="Calibri" w:hAnsi="Calibri"/>
                <w:color w:val="333333"/>
                <w:sz w:val="18"/>
              </w:rPr>
              <w:t>Senior Vice President</w:t>
            </w:r>
          </w:p>
        </w:tc>
        <w:tc>
          <w:tcPr>
            <w:tcW w:type="dxa" w:w="1440"/>
          </w:tcPr>
          <w:p>
            <w:r>
              <w:rPr>
                <w:rFonts w:ascii="Calibri" w:hAnsi="Calibri"/>
                <w:color w:val="333333"/>
                <w:sz w:val="18"/>
              </w:rPr>
              <w:t>GIFT</w:t>
            </w:r>
          </w:p>
        </w:tc>
        <w:tc>
          <w:tcPr>
            <w:tcW w:type="dxa" w:w="1440"/>
          </w:tcPr>
          <w:p>
            <w:r>
              <w:rPr>
                <w:rFonts w:ascii="Calibri" w:hAnsi="Calibri"/>
                <w:color w:val="333333"/>
                <w:sz w:val="18"/>
              </w:rPr>
              <w:t>335</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2025-12-18</w:t>
            </w:r>
          </w:p>
        </w:tc>
        <w:tc>
          <w:tcPr>
            <w:tcW w:type="dxa" w:w="1440"/>
            <w:shd w:fill="F2F4F8" w:val="clear"/>
          </w:tcPr>
          <w:p>
            <w:r>
              <w:rPr>
                <w:rFonts w:ascii="Calibri" w:hAnsi="Calibri"/>
                <w:color w:val="333333"/>
                <w:sz w:val="18"/>
              </w:rPr>
              <w:t>Chapman Neil A</w:t>
            </w:r>
          </w:p>
        </w:tc>
        <w:tc>
          <w:tcPr>
            <w:tcW w:type="dxa" w:w="1440"/>
            <w:shd w:fill="F2F4F8" w:val="clear"/>
          </w:tcPr>
          <w:p>
            <w:r>
              <w:rPr>
                <w:rFonts w:ascii="Calibri" w:hAnsi="Calibri"/>
                <w:color w:val="333333"/>
                <w:sz w:val="18"/>
              </w:rPr>
              <w:t>Senior Vice President</w:t>
            </w:r>
          </w:p>
        </w:tc>
        <w:tc>
          <w:tcPr>
            <w:tcW w:type="dxa" w:w="1440"/>
            <w:shd w:fill="F2F4F8" w:val="clear"/>
          </w:tcPr>
          <w:p>
            <w:r>
              <w:rPr>
                <w:rFonts w:ascii="Calibri" w:hAnsi="Calibri"/>
                <w:color w:val="333333"/>
                <w:sz w:val="18"/>
              </w:rPr>
              <w:t>GIFT</w:t>
            </w:r>
          </w:p>
        </w:tc>
        <w:tc>
          <w:tcPr>
            <w:tcW w:type="dxa" w:w="1440"/>
            <w:shd w:fill="F2F4F8" w:val="clear"/>
          </w:tcPr>
          <w:p>
            <w:r>
              <w:rPr>
                <w:rFonts w:ascii="Calibri" w:hAnsi="Calibri"/>
                <w:color w:val="333333"/>
                <w:sz w:val="18"/>
              </w:rPr>
              <w:t>335</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bl>
    <w:p>
      <w:pPr>
        <w:pStyle w:val="DOHeading2"/>
      </w:pPr>
      <w:r>
        <w:t>Executive Departures</w:t>
      </w:r>
    </w:p>
    <w:p>
      <w:pPr>
        <w:pStyle w:val="DOBody"/>
      </w:pPr>
      <w:r>
        <w:t>No executive departures identified in the trailing 18 months.</w:t>
      </w:r>
    </w:p>
    <w:p>
      <w:pPr>
        <w:pStyle w:val="DOHeading2"/>
      </w:pPr>
      <w:r>
        <w:t>Capital Markets Activity</w:t>
      </w:r>
    </w:p>
    <w:p>
      <w:pPr>
        <w:pStyle w:val="DOBody"/>
      </w:pPr>
      <w:r>
        <w:t>No significant capital markets activity identified in the trailing 3-year period.</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Exxon's revenue declined 5% to $332.2 billion and net income fell 14% to $28.8 billion, a clear earnings contraction that will sharpen plaintiff focus on strategic disclosures around its long-term energy transition plans. Its pristine Altman Z-Score of 4.48 and safe Beneish M-Score of -3.28 provide a strong defense against going-concern allegations, but the grey Piotroski F-Score of 5 indicates mixed operational momentum that could fuel Section 10(b) claims if this trend of declining operating income (down $7.6 billion to $41.3 billion) persists. The company's rock-solid interest coverage of 68x and low 0.17 debt-to-equity ratio fundamentally undermine any financial distress narrative, shifting plaintiff theories squarely towards allegations of misrepresentations on project economics or climate commitments. With operating income down 16% and EPS falling from $7.84 to $6.70, any guidance miss or capex write-down could trigger a restatement claim under Section 11, despite EY's 92-year audit tenure and the absence of a material weakness. The 1.15 current ratio shows adequate but tightening liquidity, which, combined with the 14% earnings decline, increases the likelihood of shareholder challenges to capital allocation decisions under a waste of corporate assets theory.</w:t>
      </w:r>
    </w:p>
    <w:p>
      <w:pPr>
        <w:pStyle w:val="DOHeading1"/>
      </w:pPr>
      <w:r>
        <w:t>Section 3: Financial Health</w:t>
      </w:r>
    </w:p>
    <w:p>
      <w:pPr>
        <w:pStyle w:val="DOBody"/>
      </w:pPr>
      <w:r>
        <w:t>The company reported revenue of $332.2B and net income of $28.8B (per FY2025 10-K, Company Facts API CIK34088). Revenue declined 5.0% year-over-year (from $349.6B). Both distress models indicate stability: Z-Score 4.48 (safe above 2.99) and O-Score 0.00 (safe below 0.5). Capital structure is conservative with D/E ratio of 0.17, providing meaningful headroom against financial covenant triggers. Earnings quality is healthy (OCF/NI: 1.80), indicating reported income is well-supported by operating cash flows -- reducing restatement risk. Auditor: Ernst &amp; Young (Big 4), tenure: 92 years -- extended tenure may raise independence concerns. From a D&amp;O perspective, the financial profile supports standard underwriting terms.</w:t>
      </w:r>
    </w:p>
    <w:p>
      <w:pPr>
        <w:pStyle w:val="DOHeading2"/>
      </w:pPr>
      <w:r>
        <w:t>Income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revenue / net sales</w:t>
            </w:r>
          </w:p>
        </w:tc>
        <w:tc>
          <w:tcPr>
            <w:tcW w:type="dxa" w:w="2520"/>
          </w:tcPr>
          <w:p>
            <w:r>
              <w:rPr>
                <w:rFonts w:ascii="Calibri" w:hAnsi="Calibri"/>
                <w:color w:val="333333"/>
                <w:sz w:val="18"/>
              </w:rPr>
              <w:t>$349.6B</w:t>
            </w:r>
          </w:p>
        </w:tc>
        <w:tc>
          <w:tcPr>
            <w:tcW w:type="dxa" w:w="2520"/>
          </w:tcPr>
          <w:p>
            <w:r>
              <w:rPr>
                <w:rFonts w:ascii="Calibri" w:hAnsi="Calibri"/>
                <w:color w:val="333333"/>
                <w:sz w:val="18"/>
              </w:rPr>
              <w:t>$332.2B</w:t>
            </w:r>
          </w:p>
        </w:tc>
        <w:tc>
          <w:tcPr>
            <w:tcW w:type="dxa" w:w="2520"/>
            <w:shd w:fill="FFF3CD" w:val="clear"/>
          </w:tcPr>
          <w:p>
            <w:r>
              <w:rPr>
                <w:rFonts w:ascii="Calibri" w:hAnsi="Calibri"/>
                <w:color w:val="333333"/>
                <w:sz w:val="18"/>
              </w:rPr>
              <w:t>-5.0%</w:t>
            </w:r>
          </w:p>
        </w:tc>
      </w:tr>
      <w:tr>
        <w:tc>
          <w:tcPr>
            <w:tcW w:type="dxa" w:w="2520"/>
            <w:shd w:fill="F2F4F8" w:val="clear"/>
          </w:tcPr>
          <w:p>
            <w:r>
              <w:rPr>
                <w:rFonts w:ascii="Calibri" w:hAnsi="Calibri"/>
                <w:color w:val="333333"/>
                <w:sz w:val="18"/>
              </w:rPr>
              <w:t>Operating income / loss</w:t>
            </w:r>
          </w:p>
        </w:tc>
        <w:tc>
          <w:tcPr>
            <w:tcW w:type="dxa" w:w="2520"/>
            <w:shd w:fill="F2F4F8" w:val="clear"/>
          </w:tcPr>
          <w:p>
            <w:r>
              <w:rPr>
                <w:rFonts w:ascii="Calibri" w:hAnsi="Calibri"/>
                <w:color w:val="333333"/>
                <w:sz w:val="18"/>
              </w:rPr>
              <w:t>$48.9B</w:t>
            </w:r>
          </w:p>
        </w:tc>
        <w:tc>
          <w:tcPr>
            <w:tcW w:type="dxa" w:w="2520"/>
            <w:shd w:fill="F2F4F8" w:val="clear"/>
          </w:tcPr>
          <w:p>
            <w:r>
              <w:rPr>
                <w:rFonts w:ascii="Calibri" w:hAnsi="Calibri"/>
                <w:color w:val="333333"/>
                <w:sz w:val="18"/>
              </w:rPr>
              <w:t>$41.3B</w:t>
            </w:r>
          </w:p>
        </w:tc>
        <w:tc>
          <w:tcPr>
            <w:tcW w:type="dxa" w:w="2520"/>
            <w:shd w:fill="F2F4F8" w:val="clear"/>
            <w:shd w:fill="FCE8E6" w:val="clear"/>
          </w:tcPr>
          <w:p>
            <w:r>
              <w:rPr>
                <w:rFonts w:ascii="Calibri" w:hAnsi="Calibri"/>
                <w:color w:val="333333"/>
                <w:sz w:val="18"/>
              </w:rPr>
              <w:t>-15.6%</w:t>
            </w:r>
          </w:p>
        </w:tc>
      </w:tr>
      <w:tr>
        <w:tc>
          <w:tcPr>
            <w:tcW w:type="dxa" w:w="2520"/>
          </w:tcPr>
          <w:p>
            <w:r>
              <w:rPr>
                <w:rFonts w:ascii="Calibri" w:hAnsi="Calibri"/>
                <w:color w:val="333333"/>
                <w:sz w:val="18"/>
              </w:rPr>
              <w:t>Net income / net loss</w:t>
            </w:r>
          </w:p>
        </w:tc>
        <w:tc>
          <w:tcPr>
            <w:tcW w:type="dxa" w:w="2520"/>
          </w:tcPr>
          <w:p>
            <w:r>
              <w:rPr>
                <w:rFonts w:ascii="Calibri" w:hAnsi="Calibri"/>
                <w:color w:val="333333"/>
                <w:sz w:val="18"/>
              </w:rPr>
              <w:t>$33.7B</w:t>
            </w:r>
          </w:p>
        </w:tc>
        <w:tc>
          <w:tcPr>
            <w:tcW w:type="dxa" w:w="2520"/>
          </w:tcPr>
          <w:p>
            <w:r>
              <w:rPr>
                <w:rFonts w:ascii="Calibri" w:hAnsi="Calibri"/>
                <w:color w:val="333333"/>
                <w:sz w:val="18"/>
              </w:rPr>
              <w:t>$28.8B</w:t>
            </w:r>
          </w:p>
        </w:tc>
        <w:tc>
          <w:tcPr>
            <w:tcW w:type="dxa" w:w="2520"/>
            <w:shd w:fill="FCE8E6" w:val="clear"/>
          </w:tcPr>
          <w:p>
            <w:r>
              <w:rPr>
                <w:rFonts w:ascii="Calibri" w:hAnsi="Calibri"/>
                <w:color w:val="333333"/>
                <w:sz w:val="18"/>
              </w:rPr>
              <w:t>-14.4%</w:t>
            </w:r>
          </w:p>
        </w:tc>
      </w:tr>
      <w:tr>
        <w:tc>
          <w:tcPr>
            <w:tcW w:type="dxa" w:w="2520"/>
            <w:shd w:fill="F2F4F8" w:val="clear"/>
          </w:tcPr>
          <w:p>
            <w:r>
              <w:rPr>
                <w:rFonts w:ascii="Calibri" w:hAnsi="Calibri"/>
                <w:color w:val="333333"/>
                <w:sz w:val="18"/>
              </w:rPr>
              <w:t>Basic earnings per share</w:t>
            </w:r>
          </w:p>
        </w:tc>
        <w:tc>
          <w:tcPr>
            <w:tcW w:type="dxa" w:w="2520"/>
            <w:shd w:fill="F2F4F8" w:val="clear"/>
          </w:tcPr>
          <w:p>
            <w:r>
              <w:rPr>
                <w:rFonts w:ascii="Calibri" w:hAnsi="Calibri"/>
                <w:color w:val="333333"/>
                <w:sz w:val="18"/>
              </w:rPr>
              <w:t>$7.84</w:t>
            </w:r>
          </w:p>
        </w:tc>
        <w:tc>
          <w:tcPr>
            <w:tcW w:type="dxa" w:w="2520"/>
            <w:shd w:fill="F2F4F8" w:val="clear"/>
          </w:tcPr>
          <w:p>
            <w:r>
              <w:rPr>
                <w:rFonts w:ascii="Calibri" w:hAnsi="Calibri"/>
                <w:color w:val="333333"/>
                <w:sz w:val="18"/>
              </w:rPr>
              <w:t>$6.70</w:t>
            </w:r>
          </w:p>
        </w:tc>
        <w:tc>
          <w:tcPr>
            <w:tcW w:type="dxa" w:w="2520"/>
            <w:shd w:fill="F2F4F8" w:val="clear"/>
            <w:shd w:fill="FCE8E6" w:val="clear"/>
          </w:tcPr>
          <w:p>
            <w:r>
              <w:rPr>
                <w:rFonts w:ascii="Calibri" w:hAnsi="Calibri"/>
                <w:color w:val="333333"/>
                <w:sz w:val="18"/>
              </w:rPr>
              <w:t>-14.5%</w:t>
            </w:r>
          </w:p>
        </w:tc>
      </w:tr>
      <w:tr>
        <w:tc>
          <w:tcPr>
            <w:tcW w:type="dxa" w:w="2520"/>
          </w:tcPr>
          <w:p>
            <w:r>
              <w:rPr>
                <w:rFonts w:ascii="Calibri" w:hAnsi="Calibri"/>
                <w:color w:val="333333"/>
                <w:sz w:val="18"/>
              </w:rPr>
              <w:t>Diluted earnings per share</w:t>
            </w:r>
          </w:p>
        </w:tc>
        <w:tc>
          <w:tcPr>
            <w:tcW w:type="dxa" w:w="2520"/>
          </w:tcPr>
          <w:p>
            <w:r>
              <w:rPr>
                <w:rFonts w:ascii="Calibri" w:hAnsi="Calibri"/>
                <w:color w:val="333333"/>
                <w:sz w:val="18"/>
              </w:rPr>
              <w:t>$7.84</w:t>
            </w:r>
          </w:p>
        </w:tc>
        <w:tc>
          <w:tcPr>
            <w:tcW w:type="dxa" w:w="2520"/>
          </w:tcPr>
          <w:p>
            <w:r>
              <w:rPr>
                <w:rFonts w:ascii="Calibri" w:hAnsi="Calibri"/>
                <w:color w:val="333333"/>
                <w:sz w:val="18"/>
              </w:rPr>
              <w:t>$6.70</w:t>
            </w:r>
          </w:p>
        </w:tc>
        <w:tc>
          <w:tcPr>
            <w:tcW w:type="dxa" w:w="2520"/>
            <w:shd w:fill="FCE8E6" w:val="clear"/>
          </w:tcPr>
          <w:p>
            <w:r>
              <w:rPr>
                <w:rFonts w:ascii="Calibri" w:hAnsi="Calibri"/>
                <w:color w:val="333333"/>
                <w:sz w:val="18"/>
              </w:rPr>
              <w:t>-14.5%</w:t>
            </w:r>
          </w:p>
        </w:tc>
      </w:tr>
      <w:tr>
        <w:tc>
          <w:tcPr>
            <w:tcW w:type="dxa" w:w="2520"/>
            <w:shd w:fill="F2F4F8" w:val="clear"/>
          </w:tcPr>
          <w:p>
            <w:r>
              <w:rPr>
                <w:rFonts w:ascii="Calibri" w:hAnsi="Calibri"/>
                <w:color w:val="333333"/>
                <w:sz w:val="18"/>
              </w:rPr>
              <w:t>Interest expense</w:t>
            </w:r>
          </w:p>
        </w:tc>
        <w:tc>
          <w:tcPr>
            <w:tcW w:type="dxa" w:w="2520"/>
            <w:shd w:fill="F2F4F8" w:val="clear"/>
          </w:tcPr>
          <w:p>
            <w:r>
              <w:rPr>
                <w:rFonts w:ascii="Calibri" w:hAnsi="Calibri"/>
                <w:color w:val="333333"/>
                <w:sz w:val="18"/>
              </w:rPr>
              <w:t>$996.0M</w:t>
            </w:r>
          </w:p>
        </w:tc>
        <w:tc>
          <w:tcPr>
            <w:tcW w:type="dxa" w:w="2520"/>
            <w:shd w:fill="F2F4F8" w:val="clear"/>
          </w:tcPr>
          <w:p>
            <w:r>
              <w:rPr>
                <w:rFonts w:ascii="Calibri" w:hAnsi="Calibri"/>
                <w:color w:val="333333"/>
                <w:sz w:val="18"/>
              </w:rPr>
              <w:t>$603.0M</w:t>
            </w:r>
          </w:p>
        </w:tc>
        <w:tc>
          <w:tcPr>
            <w:tcW w:type="dxa" w:w="2520"/>
            <w:shd w:fill="F2F4F8" w:val="clear"/>
            <w:shd w:fill="FCE8E6" w:val="clear"/>
          </w:tcPr>
          <w:p>
            <w:r>
              <w:rPr>
                <w:rFonts w:ascii="Calibri" w:hAnsi="Calibri"/>
                <w:color w:val="333333"/>
                <w:sz w:val="18"/>
              </w:rPr>
              <w:t>-39.5%</w:t>
            </w:r>
          </w:p>
        </w:tc>
      </w:tr>
      <w:tr>
        <w:tc>
          <w:tcPr>
            <w:tcW w:type="dxa" w:w="2520"/>
          </w:tcPr>
          <w:p>
            <w:r>
              <w:rPr>
                <w:rFonts w:ascii="Calibri" w:hAnsi="Calibri"/>
                <w:color w:val="333333"/>
                <w:sz w:val="18"/>
              </w:rPr>
              <w:t>Income tax expense / benefit</w:t>
            </w:r>
          </w:p>
        </w:tc>
        <w:tc>
          <w:tcPr>
            <w:tcW w:type="dxa" w:w="2520"/>
          </w:tcPr>
          <w:p>
            <w:r>
              <w:rPr>
                <w:rFonts w:ascii="Calibri" w:hAnsi="Calibri"/>
                <w:color w:val="333333"/>
                <w:sz w:val="18"/>
              </w:rPr>
              <w:t>$13.8B</w:t>
            </w:r>
          </w:p>
        </w:tc>
        <w:tc>
          <w:tcPr>
            <w:tcW w:type="dxa" w:w="2520"/>
          </w:tcPr>
          <w:p>
            <w:r>
              <w:rPr>
                <w:rFonts w:ascii="Calibri" w:hAnsi="Calibri"/>
                <w:color w:val="333333"/>
                <w:sz w:val="18"/>
              </w:rPr>
              <w:t>$11.5B</w:t>
            </w:r>
          </w:p>
        </w:tc>
        <w:tc>
          <w:tcPr>
            <w:tcW w:type="dxa" w:w="2520"/>
            <w:shd w:fill="FCE8E6" w:val="clear"/>
          </w:tcPr>
          <w:p>
            <w:r>
              <w:rPr>
                <w:rFonts w:ascii="Calibri" w:hAnsi="Calibri"/>
                <w:color w:val="333333"/>
                <w:sz w:val="18"/>
              </w:rPr>
              <w:t>-16.7%</w:t>
            </w:r>
          </w:p>
        </w:tc>
      </w:tr>
      <w:tr>
        <w:tc>
          <w:tcPr>
            <w:tcW w:type="dxa" w:w="2520"/>
            <w:shd w:fill="F2F4F8" w:val="clear"/>
          </w:tcPr>
          <w:p>
            <w:r>
              <w:rPr>
                <w:rFonts w:ascii="Calibri" w:hAnsi="Calibri"/>
                <w:color w:val="333333"/>
                <w:sz w:val="18"/>
              </w:rPr>
              <w:t>Research and development expense</w:t>
            </w:r>
          </w:p>
        </w:tc>
        <w:tc>
          <w:tcPr>
            <w:tcW w:type="dxa" w:w="2520"/>
            <w:shd w:fill="F2F4F8" w:val="clear"/>
          </w:tcPr>
          <w:p>
            <w:r>
              <w:rPr>
                <w:rFonts w:ascii="Calibri" w:hAnsi="Calibri"/>
                <w:color w:val="333333"/>
                <w:sz w:val="18"/>
              </w:rPr>
              <w:t>$987.0M</w:t>
            </w:r>
          </w:p>
        </w:tc>
        <w:tc>
          <w:tcPr>
            <w:tcW w:type="dxa" w:w="2520"/>
            <w:shd w:fill="F2F4F8" w:val="clear"/>
          </w:tcPr>
          <w:p>
            <w:r>
              <w:rPr>
                <w:rFonts w:ascii="Calibri" w:hAnsi="Calibri"/>
                <w:color w:val="333333"/>
                <w:sz w:val="18"/>
              </w:rPr>
              <w:t>$1.2B</w:t>
            </w:r>
          </w:p>
        </w:tc>
        <w:tc>
          <w:tcPr>
            <w:tcW w:type="dxa" w:w="2520"/>
            <w:shd w:fill="F2F4F8" w:val="clear"/>
            <w:shd w:fill="DCEEF8" w:val="clear"/>
          </w:tcPr>
          <w:p>
            <w:r>
              <w:rPr>
                <w:rFonts w:ascii="Calibri" w:hAnsi="Calibri"/>
                <w:color w:val="333333"/>
                <w:sz w:val="18"/>
              </w:rPr>
              <w:t>21.6%</w:t>
            </w:r>
          </w:p>
        </w:tc>
      </w:tr>
      <w:tr>
        <w:tc>
          <w:tcPr>
            <w:tcW w:type="dxa" w:w="2520"/>
          </w:tcPr>
          <w:p>
            <w:r>
              <w:rPr>
                <w:rFonts w:ascii="Calibri" w:hAnsi="Calibri"/>
                <w:color w:val="333333"/>
                <w:sz w:val="18"/>
              </w:rPr>
              <w:t>Selling, general and administrative expense</w:t>
            </w:r>
          </w:p>
        </w:tc>
        <w:tc>
          <w:tcPr>
            <w:tcW w:type="dxa" w:w="2520"/>
          </w:tcPr>
          <w:p>
            <w:r>
              <w:rPr>
                <w:rFonts w:ascii="Calibri" w:hAnsi="Calibri"/>
                <w:color w:val="333333"/>
                <w:sz w:val="18"/>
              </w:rPr>
              <w:t>$10.0B</w:t>
            </w:r>
          </w:p>
        </w:tc>
        <w:tc>
          <w:tcPr>
            <w:tcW w:type="dxa" w:w="2520"/>
          </w:tcPr>
          <w:p>
            <w:r>
              <w:rPr>
                <w:rFonts w:ascii="Calibri" w:hAnsi="Calibri"/>
                <w:color w:val="333333"/>
                <w:sz w:val="18"/>
              </w:rPr>
              <w:t>$11.1B</w:t>
            </w:r>
          </w:p>
        </w:tc>
        <w:tc>
          <w:tcPr>
            <w:tcW w:type="dxa" w:w="2520"/>
            <w:shd w:fill="DCEEF8" w:val="clear"/>
          </w:tcPr>
          <w:p>
            <w:r>
              <w:rPr>
                <w:rFonts w:ascii="Calibri" w:hAnsi="Calibri"/>
                <w:color w:val="333333"/>
                <w:sz w:val="18"/>
              </w:rPr>
              <w:t>11.6%</w:t>
            </w:r>
          </w:p>
        </w:tc>
      </w:tr>
      <w:tr>
        <w:tc>
          <w:tcPr>
            <w:tcW w:type="dxa" w:w="2520"/>
            <w:shd w:fill="F2F4F8" w:val="clear"/>
          </w:tcPr>
          <w:p>
            <w:r>
              <w:rPr>
                <w:rFonts w:ascii="Calibri" w:hAnsi="Calibri"/>
                <w:color w:val="333333"/>
                <w:sz w:val="18"/>
              </w:rPr>
              <w:t>Weighted average shares outstanding (basic)</w:t>
            </w:r>
          </w:p>
        </w:tc>
        <w:tc>
          <w:tcPr>
            <w:tcW w:type="dxa" w:w="2520"/>
            <w:shd w:fill="F2F4F8" w:val="clear"/>
          </w:tcPr>
          <w:p>
            <w:r>
              <w:rPr>
                <w:rFonts w:ascii="Calibri" w:hAnsi="Calibri"/>
                <w:color w:val="333333"/>
                <w:sz w:val="18"/>
              </w:rPr>
              <w:t>4.3B</w:t>
            </w:r>
          </w:p>
        </w:tc>
        <w:tc>
          <w:tcPr>
            <w:tcW w:type="dxa" w:w="2520"/>
            <w:shd w:fill="F2F4F8" w:val="clear"/>
          </w:tcPr>
          <w:p>
            <w:r>
              <w:rPr>
                <w:rFonts w:ascii="Calibri" w:hAnsi="Calibri"/>
                <w:color w:val="333333"/>
                <w:sz w:val="18"/>
              </w:rPr>
              <w:t>4.3B</w:t>
            </w:r>
          </w:p>
        </w:tc>
        <w:tc>
          <w:tcPr>
            <w:tcW w:type="dxa" w:w="2520"/>
            <w:shd w:fill="F2F4F8" w:val="clear"/>
          </w:tcPr>
          <w:p>
            <w:r>
              <w:rPr>
                <w:rFonts w:ascii="Calibri" w:hAnsi="Calibri"/>
                <w:color w:val="333333"/>
                <w:sz w:val="18"/>
              </w:rPr>
              <w:t>0.2%</w:t>
            </w:r>
          </w:p>
        </w:tc>
      </w:tr>
      <w:tr>
        <w:tc>
          <w:tcPr>
            <w:tcW w:type="dxa" w:w="2520"/>
          </w:tcPr>
          <w:p>
            <w:r>
              <w:rPr>
                <w:rFonts w:ascii="Calibri" w:hAnsi="Calibri"/>
                <w:color w:val="333333"/>
                <w:sz w:val="18"/>
              </w:rPr>
              <w:t>Total comprehensive income / loss</w:t>
            </w:r>
          </w:p>
        </w:tc>
        <w:tc>
          <w:tcPr>
            <w:tcW w:type="dxa" w:w="2520"/>
          </w:tcPr>
          <w:p>
            <w:r>
              <w:rPr>
                <w:rFonts w:ascii="Calibri" w:hAnsi="Calibri"/>
                <w:color w:val="333333"/>
                <w:sz w:val="18"/>
              </w:rPr>
              <w:t>$31.1B</w:t>
            </w:r>
          </w:p>
        </w:tc>
        <w:tc>
          <w:tcPr>
            <w:tcW w:type="dxa" w:w="2520"/>
          </w:tcPr>
          <w:p>
            <w:r>
              <w:rPr>
                <w:rFonts w:ascii="Calibri" w:hAnsi="Calibri"/>
                <w:color w:val="333333"/>
                <w:sz w:val="18"/>
              </w:rPr>
              <w:t>$32.6B</w:t>
            </w:r>
          </w:p>
        </w:tc>
        <w:tc>
          <w:tcPr>
            <w:tcW w:type="dxa" w:w="2520"/>
            <w:shd w:fill="FFF3CD" w:val="clear"/>
          </w:tcPr>
          <w:p>
            <w:r>
              <w:rPr>
                <w:rFonts w:ascii="Calibri" w:hAnsi="Calibri"/>
                <w:color w:val="333333"/>
                <w:sz w:val="18"/>
              </w:rPr>
              <w:t>5.0%</w:t>
            </w:r>
          </w:p>
        </w:tc>
      </w:tr>
      <w:tr>
        <w:tc>
          <w:tcPr>
            <w:tcW w:type="dxa" w:w="2520"/>
            <w:shd w:fill="F2F4F8" w:val="clear"/>
          </w:tcPr>
          <w:p>
            <w:r>
              <w:rPr>
                <w:rFonts w:ascii="Calibri" w:hAnsi="Calibri"/>
                <w:color w:val="333333"/>
                <w:sz w:val="18"/>
              </w:rPr>
              <w:t>Impairment charges (goodwill, intangibles, long-lived assets)</w:t>
            </w:r>
          </w:p>
        </w:tc>
        <w:tc>
          <w:tcPr>
            <w:tcW w:type="dxa" w:w="2520"/>
            <w:shd w:fill="F2F4F8" w:val="clear"/>
          </w:tcPr>
          <w:p>
            <w:r>
              <w:rPr>
                <w:rFonts w:ascii="Calibri" w:hAnsi="Calibri"/>
                <w:color w:val="333333"/>
                <w:sz w:val="18"/>
              </w:rPr>
              <w:t>$3.3B</w:t>
            </w:r>
          </w:p>
        </w:tc>
        <w:tc>
          <w:tcPr>
            <w:tcW w:type="dxa" w:w="2520"/>
            <w:shd w:fill="F2F4F8" w:val="clear"/>
          </w:tcPr>
          <w:p>
            <w:r>
              <w:rPr>
                <w:rFonts w:ascii="Calibri" w:hAnsi="Calibri"/>
                <w:color w:val="333333"/>
                <w:sz w:val="18"/>
              </w:rPr>
              <w:t>$3.3B</w:t>
            </w:r>
          </w:p>
        </w:tc>
        <w:tc>
          <w:tcPr>
            <w:tcW w:type="dxa" w:w="2520"/>
            <w:shd w:fill="F2F4F8" w:val="clear"/>
          </w:tcPr>
          <w:p>
            <w:r>
              <w:rPr>
                <w:rFonts w:ascii="Calibri" w:hAnsi="Calibri"/>
                <w:color w:val="333333"/>
                <w:sz w:val="18"/>
              </w:rPr>
              <w:t>0.0%</w:t>
            </w:r>
          </w:p>
        </w:tc>
      </w:tr>
      <w:tr>
        <w:tc>
          <w:tcPr>
            <w:tcW w:type="dxa" w:w="2520"/>
          </w:tcPr>
          <w:p>
            <w:r>
              <w:rPr>
                <w:rFonts w:ascii="Calibri" w:hAnsi="Calibri"/>
                <w:color w:val="333333"/>
                <w:sz w:val="18"/>
              </w:rPr>
              <w:t>Income from operations</w:t>
            </w:r>
          </w:p>
        </w:tc>
        <w:tc>
          <w:tcPr>
            <w:tcW w:type="dxa" w:w="2520"/>
          </w:tcPr>
          <w:p>
            <w:r>
              <w:rPr>
                <w:rFonts w:ascii="Calibri" w:hAnsi="Calibri"/>
                <w:color w:val="333333"/>
                <w:sz w:val="18"/>
              </w:rPr>
              <w:t>$48.9B</w:t>
            </w:r>
          </w:p>
        </w:tc>
        <w:tc>
          <w:tcPr>
            <w:tcW w:type="dxa" w:w="2520"/>
          </w:tcPr>
          <w:p>
            <w:r>
              <w:rPr>
                <w:rFonts w:ascii="Calibri" w:hAnsi="Calibri"/>
                <w:color w:val="333333"/>
                <w:sz w:val="18"/>
              </w:rPr>
              <w:t>$41.3B</w:t>
            </w:r>
          </w:p>
        </w:tc>
        <w:tc>
          <w:tcPr>
            <w:tcW w:type="dxa" w:w="2520"/>
            <w:shd w:fill="FCE8E6" w:val="clear"/>
          </w:tcPr>
          <w:p>
            <w:r>
              <w:rPr>
                <w:rFonts w:ascii="Calibri" w:hAnsi="Calibri"/>
                <w:color w:val="333333"/>
                <w:sz w:val="18"/>
              </w:rPr>
              <w:t>-15.6%</w:t>
            </w:r>
          </w:p>
        </w:tc>
      </w:tr>
      <w:tr>
        <w:tc>
          <w:tcPr>
            <w:tcW w:type="dxa" w:w="2520"/>
            <w:shd w:fill="F2F4F8" w:val="clear"/>
          </w:tcPr>
          <w:p>
            <w:r>
              <w:rPr>
                <w:rFonts w:ascii="Calibri" w:hAnsi="Calibri"/>
                <w:color w:val="333333"/>
                <w:sz w:val="18"/>
              </w:rPr>
              <w:t>Pre-tax income</w:t>
            </w:r>
          </w:p>
        </w:tc>
        <w:tc>
          <w:tcPr>
            <w:tcW w:type="dxa" w:w="2520"/>
            <w:shd w:fill="F2F4F8" w:val="clear"/>
          </w:tcPr>
          <w:p>
            <w:r>
              <w:rPr>
                <w:rFonts w:ascii="Calibri" w:hAnsi="Calibri"/>
                <w:color w:val="333333"/>
                <w:sz w:val="18"/>
              </w:rPr>
              <w:t>$48.9B</w:t>
            </w:r>
          </w:p>
        </w:tc>
        <w:tc>
          <w:tcPr>
            <w:tcW w:type="dxa" w:w="2520"/>
            <w:shd w:fill="F2F4F8" w:val="clear"/>
          </w:tcPr>
          <w:p>
            <w:r>
              <w:rPr>
                <w:rFonts w:ascii="Calibri" w:hAnsi="Calibri"/>
                <w:color w:val="333333"/>
                <w:sz w:val="18"/>
              </w:rPr>
              <w:t>$41.3B</w:t>
            </w:r>
          </w:p>
        </w:tc>
        <w:tc>
          <w:tcPr>
            <w:tcW w:type="dxa" w:w="2520"/>
            <w:shd w:fill="F2F4F8" w:val="clear"/>
            <w:shd w:fill="FCE8E6" w:val="clear"/>
          </w:tcPr>
          <w:p>
            <w:r>
              <w:rPr>
                <w:rFonts w:ascii="Calibri" w:hAnsi="Calibri"/>
                <w:color w:val="333333"/>
                <w:sz w:val="18"/>
              </w:rPr>
              <w:t>-15.6%</w:t>
            </w:r>
          </w:p>
        </w:tc>
      </w:tr>
      <w:tr>
        <w:tc>
          <w:tcPr>
            <w:tcW w:type="dxa" w:w="2520"/>
          </w:tcPr>
          <w:p>
            <w:r>
              <w:rPr>
                <w:rFonts w:ascii="Calibri" w:hAnsi="Calibri"/>
                <w:color w:val="333333"/>
                <w:sz w:val="18"/>
              </w:rPr>
              <w:t>Income before income taxes</w:t>
            </w:r>
          </w:p>
        </w:tc>
        <w:tc>
          <w:tcPr>
            <w:tcW w:type="dxa" w:w="2520"/>
          </w:tcPr>
          <w:p>
            <w:r>
              <w:rPr>
                <w:rFonts w:ascii="Calibri" w:hAnsi="Calibri"/>
                <w:color w:val="333333"/>
                <w:sz w:val="18"/>
              </w:rPr>
              <w:t>$48.9B</w:t>
            </w:r>
          </w:p>
        </w:tc>
        <w:tc>
          <w:tcPr>
            <w:tcW w:type="dxa" w:w="2520"/>
          </w:tcPr>
          <w:p>
            <w:r>
              <w:rPr>
                <w:rFonts w:ascii="Calibri" w:hAnsi="Calibri"/>
                <w:color w:val="333333"/>
                <w:sz w:val="18"/>
              </w:rPr>
              <w:t>$41.3B</w:t>
            </w:r>
          </w:p>
        </w:tc>
        <w:tc>
          <w:tcPr>
            <w:tcW w:type="dxa" w:w="2520"/>
            <w:shd w:fill="FCE8E6" w:val="clear"/>
          </w:tcPr>
          <w:p>
            <w:r>
              <w:rPr>
                <w:rFonts w:ascii="Calibri" w:hAnsi="Calibri"/>
                <w:color w:val="333333"/>
                <w:sz w:val="18"/>
              </w:rPr>
              <w:t>-15.6%</w:t>
            </w:r>
          </w:p>
        </w:tc>
      </w:tr>
      <w:tr>
        <w:tc>
          <w:tcPr>
            <w:tcW w:type="dxa" w:w="2520"/>
            <w:shd w:fill="F2F4F8" w:val="clear"/>
          </w:tcPr>
          <w:p>
            <w:r>
              <w:rPr>
                <w:rFonts w:ascii="Calibri" w:hAnsi="Calibri"/>
                <w:color w:val="333333"/>
                <w:sz w:val="18"/>
              </w:rPr>
              <w:t>Gain/loss on sale of assets</w:t>
            </w:r>
          </w:p>
        </w:tc>
        <w:tc>
          <w:tcPr>
            <w:tcW w:type="dxa" w:w="2520"/>
            <w:shd w:fill="F2F4F8" w:val="clear"/>
          </w:tcPr>
          <w:p>
            <w:r>
              <w:rPr>
                <w:rFonts w:ascii="Calibri" w:hAnsi="Calibri"/>
                <w:color w:val="333333"/>
                <w:sz w:val="18"/>
              </w:rPr>
              <w:t>$1.2B</w:t>
            </w:r>
          </w:p>
        </w:tc>
        <w:tc>
          <w:tcPr>
            <w:tcW w:type="dxa" w:w="2520"/>
            <w:shd w:fill="F2F4F8" w:val="clear"/>
          </w:tcPr>
          <w:p>
            <w:r>
              <w:rPr>
                <w:rFonts w:ascii="Calibri" w:hAnsi="Calibri"/>
                <w:color w:val="333333"/>
                <w:sz w:val="18"/>
              </w:rPr>
              <w:t>$1.1B</w:t>
            </w:r>
          </w:p>
        </w:tc>
        <w:tc>
          <w:tcPr>
            <w:tcW w:type="dxa" w:w="2520"/>
            <w:shd w:fill="F2F4F8" w:val="clear"/>
            <w:shd w:fill="FFF3CD" w:val="clear"/>
          </w:tcPr>
          <w:p>
            <w:r>
              <w:rPr>
                <w:rFonts w:ascii="Calibri" w:hAnsi="Calibri"/>
                <w:color w:val="333333"/>
                <w:sz w:val="18"/>
              </w:rPr>
              <w:t>-9.0%</w:t>
            </w:r>
          </w:p>
        </w:tc>
      </w:tr>
      <w:tr>
        <w:tc>
          <w:tcPr>
            <w:tcW w:type="dxa" w:w="2520"/>
          </w:tcPr>
          <w:p>
            <w:r>
              <w:rPr>
                <w:rFonts w:ascii="Calibri" w:hAnsi="Calibri"/>
                <w:color w:val="333333"/>
                <w:sz w:val="18"/>
              </w:rPr>
              <w:t>Other comprehensive income/loss, net of tax</w:t>
            </w:r>
          </w:p>
        </w:tc>
        <w:tc>
          <w:tcPr>
            <w:tcW w:type="dxa" w:w="2520"/>
          </w:tcPr>
          <w:p>
            <w:r>
              <w:rPr>
                <w:rFonts w:ascii="Calibri" w:hAnsi="Calibri"/>
                <w:color w:val="333333"/>
                <w:sz w:val="18"/>
              </w:rPr>
              <w:t>$-3.0B</w:t>
            </w:r>
          </w:p>
        </w:tc>
        <w:tc>
          <w:tcPr>
            <w:tcW w:type="dxa" w:w="2520"/>
          </w:tcPr>
          <w:p>
            <w:r>
              <w:rPr>
                <w:rFonts w:ascii="Calibri" w:hAnsi="Calibri"/>
                <w:color w:val="333333"/>
                <w:sz w:val="18"/>
              </w:rPr>
              <w:t>$4.1B</w:t>
            </w:r>
          </w:p>
        </w:tc>
        <w:tc>
          <w:tcPr>
            <w:tcW w:type="dxa" w:w="2520"/>
            <w:shd w:fill="DCEEF8" w:val="clear"/>
          </w:tcPr>
          <w:p>
            <w:r>
              <w:rPr>
                <w:rFonts w:ascii="Calibri" w:hAnsi="Calibri"/>
                <w:color w:val="333333"/>
                <w:sz w:val="18"/>
              </w:rPr>
              <w:t>237.9%</w:t>
            </w:r>
          </w:p>
        </w:tc>
      </w:tr>
      <w:tr>
        <w:tc>
          <w:tcPr>
            <w:tcW w:type="dxa" w:w="2520"/>
            <w:shd w:fill="F2F4F8" w:val="clear"/>
          </w:tcPr>
          <w:p>
            <w:r>
              <w:rPr>
                <w:rFonts w:ascii="Calibri" w:hAnsi="Calibri"/>
                <w:color w:val="333333"/>
                <w:sz w:val="18"/>
              </w:rPr>
              <w:t>Total operating expenses</w:t>
            </w:r>
          </w:p>
        </w:tc>
        <w:tc>
          <w:tcPr>
            <w:tcW w:type="dxa" w:w="2520"/>
            <w:shd w:fill="F2F4F8" w:val="clear"/>
          </w:tcPr>
          <w:p>
            <w:r>
              <w:rPr>
                <w:rFonts w:ascii="Calibri" w:hAnsi="Calibri"/>
                <w:color w:val="333333"/>
                <w:sz w:val="18"/>
              </w:rPr>
              <w:t>$300.7B</w:t>
            </w:r>
          </w:p>
        </w:tc>
        <w:tc>
          <w:tcPr>
            <w:tcW w:type="dxa" w:w="2520"/>
            <w:shd w:fill="F2F4F8" w:val="clear"/>
          </w:tcPr>
          <w:p>
            <w:r>
              <w:rPr>
                <w:rFonts w:ascii="Calibri" w:hAnsi="Calibri"/>
                <w:color w:val="333333"/>
                <w:sz w:val="18"/>
              </w:rPr>
              <w:t>$291.0B</w:t>
            </w:r>
          </w:p>
        </w:tc>
        <w:tc>
          <w:tcPr>
            <w:tcW w:type="dxa" w:w="2520"/>
            <w:shd w:fill="F2F4F8" w:val="clear"/>
            <w:shd w:fill="FFF3CD" w:val="clear"/>
          </w:tcPr>
          <w:p>
            <w:r>
              <w:rPr>
                <w:rFonts w:ascii="Calibri" w:hAnsi="Calibri"/>
                <w:color w:val="333333"/>
                <w:sz w:val="18"/>
              </w:rPr>
              <w:t>-3.2%</w:t>
            </w:r>
          </w:p>
        </w:tc>
      </w:tr>
      <w:tr>
        <w:tc>
          <w:tcPr>
            <w:tcW w:type="dxa" w:w="2520"/>
          </w:tcPr>
          <w:p>
            <w:r>
              <w:rPr>
                <w:rFonts w:ascii="Calibri" w:hAnsi="Calibri"/>
                <w:color w:val="333333"/>
                <w:sz w:val="18"/>
              </w:rPr>
              <w:t>Total costs and expenses</w:t>
            </w:r>
          </w:p>
        </w:tc>
        <w:tc>
          <w:tcPr>
            <w:tcW w:type="dxa" w:w="2520"/>
          </w:tcPr>
          <w:p>
            <w:r>
              <w:rPr>
                <w:rFonts w:ascii="Calibri" w:hAnsi="Calibri"/>
                <w:color w:val="333333"/>
                <w:sz w:val="18"/>
              </w:rPr>
              <w:t>$300.7B</w:t>
            </w:r>
          </w:p>
        </w:tc>
        <w:tc>
          <w:tcPr>
            <w:tcW w:type="dxa" w:w="2520"/>
          </w:tcPr>
          <w:p>
            <w:r>
              <w:rPr>
                <w:rFonts w:ascii="Calibri" w:hAnsi="Calibri"/>
                <w:color w:val="333333"/>
                <w:sz w:val="18"/>
              </w:rPr>
              <w:t>$291.0B</w:t>
            </w:r>
          </w:p>
        </w:tc>
        <w:tc>
          <w:tcPr>
            <w:tcW w:type="dxa" w:w="2520"/>
            <w:shd w:fill="FFF3CD" w:val="clear"/>
          </w:tcPr>
          <w:p>
            <w:r>
              <w:rPr>
                <w:rFonts w:ascii="Calibri" w:hAnsi="Calibri"/>
                <w:color w:val="333333"/>
                <w:sz w:val="18"/>
              </w:rPr>
              <w:t>-3.2%</w:t>
            </w:r>
          </w:p>
        </w:tc>
      </w:tr>
      <w:tr>
        <w:tc>
          <w:tcPr>
            <w:tcW w:type="dxa" w:w="2520"/>
            <w:shd w:fill="F2F4F8" w:val="clear"/>
          </w:tcPr>
          <w:p>
            <w:r>
              <w:rPr>
                <w:rFonts w:ascii="Calibri" w:hAnsi="Calibri"/>
                <w:color w:val="333333"/>
                <w:sz w:val="18"/>
              </w:rPr>
              <w:t>Asset impairment charges (long-lived assets)</w:t>
            </w:r>
          </w:p>
        </w:tc>
        <w:tc>
          <w:tcPr>
            <w:tcW w:type="dxa" w:w="2520"/>
            <w:shd w:fill="F2F4F8" w:val="clear"/>
          </w:tcPr>
          <w:p>
            <w:r>
              <w:rPr>
                <w:rFonts w:ascii="Calibri" w:hAnsi="Calibri"/>
                <w:color w:val="333333"/>
                <w:sz w:val="18"/>
              </w:rPr>
              <w:t>$3.3B</w:t>
            </w:r>
          </w:p>
        </w:tc>
        <w:tc>
          <w:tcPr>
            <w:tcW w:type="dxa" w:w="2520"/>
            <w:shd w:fill="F2F4F8" w:val="clear"/>
          </w:tcPr>
          <w:p>
            <w:r>
              <w:rPr>
                <w:rFonts w:ascii="Calibri" w:hAnsi="Calibri"/>
                <w:color w:val="333333"/>
                <w:sz w:val="18"/>
              </w:rPr>
              <w:t>$3.3B</w:t>
            </w:r>
          </w:p>
        </w:tc>
        <w:tc>
          <w:tcPr>
            <w:tcW w:type="dxa" w:w="2520"/>
            <w:shd w:fill="F2F4F8" w:val="clear"/>
          </w:tcPr>
          <w:p>
            <w:r>
              <w:rPr>
                <w:rFonts w:ascii="Calibri" w:hAnsi="Calibri"/>
                <w:color w:val="333333"/>
                <w:sz w:val="18"/>
              </w:rPr>
              <w:t>0.0%</w:t>
            </w:r>
          </w:p>
        </w:tc>
      </w:tr>
      <w:tr>
        <w:tc>
          <w:tcPr>
            <w:tcW w:type="dxa" w:w="2520"/>
          </w:tcPr>
          <w:p>
            <w:r>
              <w:rPr>
                <w:rFonts w:ascii="Calibri" w:hAnsi="Calibri"/>
                <w:color w:val="333333"/>
                <w:sz w:val="18"/>
              </w:rPr>
              <w:t>Deferred federal income tax expense / benefit</w:t>
            </w:r>
          </w:p>
        </w:tc>
        <w:tc>
          <w:tcPr>
            <w:tcW w:type="dxa" w:w="2520"/>
          </w:tcPr>
          <w:p>
            <w:r>
              <w:rPr>
                <w:rFonts w:ascii="Calibri" w:hAnsi="Calibri"/>
                <w:color w:val="333333"/>
                <w:sz w:val="18"/>
              </w:rPr>
              <w:t>$-830.0M</w:t>
            </w:r>
          </w:p>
        </w:tc>
        <w:tc>
          <w:tcPr>
            <w:tcW w:type="dxa" w:w="2520"/>
          </w:tcPr>
          <w:p>
            <w:r>
              <w:rPr>
                <w:rFonts w:ascii="Calibri" w:hAnsi="Calibri"/>
                <w:color w:val="333333"/>
                <w:sz w:val="18"/>
              </w:rPr>
              <w:t>$968.0M</w:t>
            </w:r>
          </w:p>
        </w:tc>
        <w:tc>
          <w:tcPr>
            <w:tcW w:type="dxa" w:w="2520"/>
            <w:shd w:fill="DCEEF8" w:val="clear"/>
          </w:tcPr>
          <w:p>
            <w:r>
              <w:rPr>
                <w:rFonts w:ascii="Calibri" w:hAnsi="Calibri"/>
                <w:color w:val="333333"/>
                <w:sz w:val="18"/>
              </w:rPr>
              <w:t>216.6%</w:t>
            </w:r>
          </w:p>
        </w:tc>
      </w:tr>
      <w:tr>
        <w:tc>
          <w:tcPr>
            <w:tcW w:type="dxa" w:w="2520"/>
            <w:shd w:fill="F2F4F8" w:val="clear"/>
          </w:tcPr>
          <w:p>
            <w:r>
              <w:rPr>
                <w:rFonts w:ascii="Calibri" w:hAnsi="Calibri"/>
                <w:color w:val="333333"/>
                <w:sz w:val="18"/>
              </w:rPr>
              <w:t>RSU/restricted stock units granted in period</w:t>
            </w:r>
          </w:p>
        </w:tc>
        <w:tc>
          <w:tcPr>
            <w:tcW w:type="dxa" w:w="2520"/>
            <w:shd w:fill="F2F4F8" w:val="clear"/>
          </w:tcPr>
          <w:p>
            <w:r>
              <w:rPr>
                <w:rFonts w:ascii="Calibri" w:hAnsi="Calibri"/>
                <w:color w:val="333333"/>
                <w:sz w:val="18"/>
              </w:rPr>
              <w:t>$10.5M</w:t>
            </w:r>
          </w:p>
        </w:tc>
        <w:tc>
          <w:tcPr>
            <w:tcW w:type="dxa" w:w="2520"/>
            <w:shd w:fill="F2F4F8" w:val="clear"/>
          </w:tcPr>
          <w:p>
            <w:r>
              <w:rPr>
                <w:rFonts w:ascii="Calibri" w:hAnsi="Calibri"/>
                <w:color w:val="333333"/>
                <w:sz w:val="18"/>
              </w:rPr>
              <w:t>$10.3M</w:t>
            </w:r>
          </w:p>
        </w:tc>
        <w:tc>
          <w:tcPr>
            <w:tcW w:type="dxa" w:w="2520"/>
            <w:shd w:fill="F2F4F8" w:val="clear"/>
            <w:shd w:fill="FFF3CD" w:val="clear"/>
          </w:tcPr>
          <w:p>
            <w:r>
              <w:rPr>
                <w:rFonts w:ascii="Calibri" w:hAnsi="Calibri"/>
                <w:color w:val="333333"/>
                <w:sz w:val="18"/>
              </w:rPr>
              <w:t>-1.6%</w:t>
            </w:r>
          </w:p>
        </w:tc>
      </w:tr>
      <w:tr>
        <w:tc>
          <w:tcPr>
            <w:tcW w:type="dxa" w:w="2520"/>
          </w:tcPr>
          <w:p>
            <w:r>
              <w:rPr>
                <w:rFonts w:ascii="Calibri" w:hAnsi="Calibri"/>
                <w:color w:val="333333"/>
                <w:sz w:val="18"/>
              </w:rPr>
              <w:t>Operating margin percentage</w:t>
            </w:r>
          </w:p>
        </w:tc>
        <w:tc>
          <w:tcPr>
            <w:tcW w:type="dxa" w:w="2520"/>
          </w:tcPr>
          <w:p>
            <w:r>
              <w:rPr>
                <w:rFonts w:ascii="Calibri" w:hAnsi="Calibri"/>
                <w:color w:val="333333"/>
                <w:sz w:val="18"/>
              </w:rPr>
              <w:t>14.0%</w:t>
            </w:r>
          </w:p>
        </w:tc>
        <w:tc>
          <w:tcPr>
            <w:tcW w:type="dxa" w:w="2520"/>
          </w:tcPr>
          <w:p>
            <w:r>
              <w:rPr>
                <w:rFonts w:ascii="Calibri" w:hAnsi="Calibri"/>
                <w:color w:val="333333"/>
                <w:sz w:val="18"/>
              </w:rPr>
              <w:t>12.4%</w:t>
            </w:r>
          </w:p>
        </w:tc>
        <w:tc>
          <w:tcPr>
            <w:tcW w:type="dxa" w:w="2520"/>
            <w:shd w:fill="FCE8E6" w:val="clear"/>
          </w:tcPr>
          <w:p>
            <w:r>
              <w:rPr>
                <w:rFonts w:ascii="Calibri" w:hAnsi="Calibri"/>
                <w:color w:val="333333"/>
                <w:sz w:val="18"/>
              </w:rPr>
              <w:t>-11.2%</w:t>
            </w:r>
          </w:p>
        </w:tc>
      </w:tr>
      <w:tr>
        <w:tc>
          <w:tcPr>
            <w:tcW w:type="dxa" w:w="2520"/>
            <w:shd w:fill="F2F4F8" w:val="clear"/>
          </w:tcPr>
          <w:p>
            <w:r>
              <w:rPr>
                <w:rFonts w:ascii="Calibri" w:hAnsi="Calibri"/>
                <w:color w:val="333333"/>
                <w:sz w:val="18"/>
              </w:rPr>
              <w:t>Net margin percentage</w:t>
            </w:r>
          </w:p>
        </w:tc>
        <w:tc>
          <w:tcPr>
            <w:tcW w:type="dxa" w:w="2520"/>
            <w:shd w:fill="F2F4F8" w:val="clear"/>
          </w:tcPr>
          <w:p>
            <w:r>
              <w:rPr>
                <w:rFonts w:ascii="Calibri" w:hAnsi="Calibri"/>
                <w:color w:val="333333"/>
                <w:sz w:val="18"/>
              </w:rPr>
              <w:t>9.6%</w:t>
            </w:r>
          </w:p>
        </w:tc>
        <w:tc>
          <w:tcPr>
            <w:tcW w:type="dxa" w:w="2520"/>
            <w:shd w:fill="F2F4F8" w:val="clear"/>
          </w:tcPr>
          <w:p>
            <w:r>
              <w:rPr>
                <w:rFonts w:ascii="Calibri" w:hAnsi="Calibri"/>
                <w:color w:val="333333"/>
                <w:sz w:val="18"/>
              </w:rPr>
              <w:t>8.7%</w:t>
            </w:r>
          </w:p>
        </w:tc>
        <w:tc>
          <w:tcPr>
            <w:tcW w:type="dxa" w:w="2520"/>
            <w:shd w:fill="F2F4F8" w:val="clear"/>
            <w:shd w:fill="FFF3CD" w:val="clear"/>
          </w:tcPr>
          <w:p>
            <w:r>
              <w:rPr>
                <w:rFonts w:ascii="Calibri" w:hAnsi="Calibri"/>
                <w:color w:val="333333"/>
                <w:sz w:val="18"/>
              </w:rPr>
              <w:t>-9.9%</w:t>
            </w:r>
          </w:p>
        </w:tc>
      </w:tr>
      <w:tr>
        <w:tc>
          <w:tcPr>
            <w:tcW w:type="dxa" w:w="2520"/>
          </w:tcPr>
          <w:p>
            <w:r>
              <w:rPr>
                <w:rFonts w:ascii="Calibri" w:hAnsi="Calibri"/>
                <w:color w:val="333333"/>
                <w:sz w:val="18"/>
              </w:rPr>
              <w:t>EBITDA margin percentage</w:t>
            </w:r>
          </w:p>
        </w:tc>
        <w:tc>
          <w:tcPr>
            <w:tcW w:type="dxa" w:w="2520"/>
          </w:tcPr>
          <w:p>
            <w:r>
              <w:rPr>
                <w:rFonts w:ascii="Calibri" w:hAnsi="Calibri"/>
                <w:color w:val="333333"/>
                <w:sz w:val="18"/>
              </w:rPr>
              <w:t>20.7%</w:t>
            </w:r>
          </w:p>
        </w:tc>
        <w:tc>
          <w:tcPr>
            <w:tcW w:type="dxa" w:w="2520"/>
          </w:tcPr>
          <w:p>
            <w:r>
              <w:rPr>
                <w:rFonts w:ascii="Calibri" w:hAnsi="Calibri"/>
                <w:color w:val="333333"/>
                <w:sz w:val="18"/>
              </w:rPr>
              <w:t>20.2%</w:t>
            </w:r>
          </w:p>
        </w:tc>
        <w:tc>
          <w:tcPr>
            <w:tcW w:type="dxa" w:w="2520"/>
            <w:shd w:fill="FFF3CD" w:val="clear"/>
          </w:tcPr>
          <w:p>
            <w:r>
              <w:rPr>
                <w:rFonts w:ascii="Calibri" w:hAnsi="Calibri"/>
                <w:color w:val="333333"/>
                <w:sz w:val="18"/>
              </w:rPr>
              <w:t>-2.2%</w:t>
            </w:r>
          </w:p>
        </w:tc>
      </w:tr>
      <w:tr>
        <w:tc>
          <w:tcPr>
            <w:tcW w:type="dxa" w:w="2520"/>
            <w:shd w:fill="F2F4F8" w:val="clear"/>
          </w:tcPr>
          <w:p>
            <w:r>
              <w:rPr>
                <w:rFonts w:ascii="Calibri" w:hAnsi="Calibri"/>
                <w:color w:val="333333"/>
                <w:sz w:val="18"/>
              </w:rPr>
              <w:t>Effective tax rate</w:t>
            </w:r>
          </w:p>
        </w:tc>
        <w:tc>
          <w:tcPr>
            <w:tcW w:type="dxa" w:w="2520"/>
            <w:shd w:fill="F2F4F8" w:val="clear"/>
          </w:tcPr>
          <w:p>
            <w:r>
              <w:rPr>
                <w:rFonts w:ascii="Calibri" w:hAnsi="Calibri"/>
                <w:color w:val="333333"/>
                <w:sz w:val="18"/>
              </w:rPr>
              <w:t>$28</w:t>
            </w:r>
          </w:p>
        </w:tc>
        <w:tc>
          <w:tcPr>
            <w:tcW w:type="dxa" w:w="2520"/>
            <w:shd w:fill="F2F4F8" w:val="clear"/>
          </w:tcPr>
          <w:p>
            <w:r>
              <w:rPr>
                <w:rFonts w:ascii="Calibri" w:hAnsi="Calibri"/>
                <w:color w:val="333333"/>
                <w:sz w:val="18"/>
              </w:rPr>
              <w:t>$28</w:t>
            </w:r>
          </w:p>
        </w:tc>
        <w:tc>
          <w:tcPr>
            <w:tcW w:type="dxa" w:w="2520"/>
            <w:shd w:fill="F2F4F8" w:val="clear"/>
            <w:shd w:fill="FFF3CD" w:val="clear"/>
          </w:tcPr>
          <w:p>
            <w:r>
              <w:rPr>
                <w:rFonts w:ascii="Calibri" w:hAnsi="Calibri"/>
                <w:color w:val="333333"/>
                <w:sz w:val="18"/>
              </w:rPr>
              <w:t>-1.3%</w:t>
            </w:r>
          </w:p>
        </w:tc>
      </w:tr>
      <w:tr>
        <w:tc>
          <w:tcPr>
            <w:tcW w:type="dxa" w:w="2520"/>
          </w:tcPr>
          <w:p>
            <w:r>
              <w:rPr>
                <w:rFonts w:ascii="Calibri" w:hAnsi="Calibri"/>
                <w:color w:val="333333"/>
                <w:sz w:val="18"/>
              </w:rPr>
              <w:t>Interest coverage ratio</w:t>
            </w:r>
          </w:p>
        </w:tc>
        <w:tc>
          <w:tcPr>
            <w:tcW w:type="dxa" w:w="2520"/>
          </w:tcPr>
          <w:p>
            <w:r>
              <w:rPr>
                <w:rFonts w:ascii="Calibri" w:hAnsi="Calibri"/>
                <w:color w:val="333333"/>
                <w:sz w:val="18"/>
              </w:rPr>
              <w:t>$49</w:t>
            </w:r>
          </w:p>
        </w:tc>
        <w:tc>
          <w:tcPr>
            <w:tcW w:type="dxa" w:w="2520"/>
          </w:tcPr>
          <w:p>
            <w:r>
              <w:rPr>
                <w:rFonts w:ascii="Calibri" w:hAnsi="Calibri"/>
                <w:color w:val="333333"/>
                <w:sz w:val="18"/>
              </w:rPr>
              <w:t>$68</w:t>
            </w:r>
          </w:p>
        </w:tc>
        <w:tc>
          <w:tcPr>
            <w:tcW w:type="dxa" w:w="2520"/>
            <w:shd w:fill="DCEEF8" w:val="clear"/>
          </w:tcPr>
          <w:p>
            <w:r>
              <w:rPr>
                <w:rFonts w:ascii="Calibri" w:hAnsi="Calibri"/>
                <w:color w:val="333333"/>
                <w:sz w:val="18"/>
              </w:rPr>
              <w:t>39.5%</w:t>
            </w:r>
          </w:p>
        </w:tc>
      </w:tr>
    </w:tbl>
    <w:p>
      <w:pPr>
        <w:pStyle w:val="DOHeading2"/>
      </w:pPr>
      <w:r>
        <w:t>Balance Sheet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assets</w:t>
            </w:r>
          </w:p>
        </w:tc>
        <w:tc>
          <w:tcPr>
            <w:tcW w:type="dxa" w:w="2520"/>
          </w:tcPr>
          <w:p>
            <w:r>
              <w:rPr>
                <w:rFonts w:ascii="Calibri" w:hAnsi="Calibri"/>
                <w:color w:val="333333"/>
                <w:sz w:val="18"/>
              </w:rPr>
              <w:t>$453.5B</w:t>
            </w:r>
          </w:p>
        </w:tc>
        <w:tc>
          <w:tcPr>
            <w:tcW w:type="dxa" w:w="2520"/>
          </w:tcPr>
          <w:p>
            <w:r>
              <w:rPr>
                <w:rFonts w:ascii="Calibri" w:hAnsi="Calibri"/>
                <w:color w:val="333333"/>
                <w:sz w:val="18"/>
              </w:rPr>
              <w:t>$449.0B</w:t>
            </w:r>
          </w:p>
        </w:tc>
        <w:tc>
          <w:tcPr>
            <w:tcW w:type="dxa" w:w="2520"/>
          </w:tcPr>
          <w:p>
            <w:r>
              <w:rPr>
                <w:rFonts w:ascii="Calibri" w:hAnsi="Calibri"/>
                <w:color w:val="333333"/>
                <w:sz w:val="18"/>
              </w:rPr>
              <w:t>-1.0%</w:t>
            </w:r>
          </w:p>
        </w:tc>
      </w:tr>
      <w:tr>
        <w:tc>
          <w:tcPr>
            <w:tcW w:type="dxa" w:w="2520"/>
            <w:shd w:fill="F2F4F8" w:val="clear"/>
          </w:tcPr>
          <w:p>
            <w:r>
              <w:rPr>
                <w:rFonts w:ascii="Calibri" w:hAnsi="Calibri"/>
                <w:color w:val="333333"/>
                <w:sz w:val="18"/>
              </w:rPr>
              <w:t>Total liabilities</w:t>
            </w:r>
          </w:p>
        </w:tc>
        <w:tc>
          <w:tcPr>
            <w:tcW w:type="dxa" w:w="2520"/>
            <w:shd w:fill="F2F4F8" w:val="clear"/>
          </w:tcPr>
          <w:p>
            <w:r>
              <w:rPr>
                <w:rFonts w:ascii="Calibri" w:hAnsi="Calibri"/>
                <w:color w:val="333333"/>
                <w:sz w:val="18"/>
              </w:rPr>
              <w:t>$182.9B</w:t>
            </w:r>
          </w:p>
        </w:tc>
        <w:tc>
          <w:tcPr>
            <w:tcW w:type="dxa" w:w="2520"/>
            <w:shd w:fill="F2F4F8" w:val="clear"/>
          </w:tcPr>
          <w:p>
            <w:r>
              <w:rPr>
                <w:rFonts w:ascii="Calibri" w:hAnsi="Calibri"/>
                <w:color w:val="333333"/>
                <w:sz w:val="18"/>
              </w:rPr>
              <w:t>$182.4B</w:t>
            </w:r>
          </w:p>
        </w:tc>
        <w:tc>
          <w:tcPr>
            <w:tcW w:type="dxa" w:w="2520"/>
            <w:shd w:fill="F2F4F8" w:val="clear"/>
          </w:tcPr>
          <w:p>
            <w:r>
              <w:rPr>
                <w:rFonts w:ascii="Calibri" w:hAnsi="Calibri"/>
                <w:color w:val="333333"/>
                <w:sz w:val="18"/>
              </w:rPr>
              <w:t>-0.3%</w:t>
            </w:r>
          </w:p>
        </w:tc>
      </w:tr>
      <w:tr>
        <w:tc>
          <w:tcPr>
            <w:tcW w:type="dxa" w:w="2520"/>
          </w:tcPr>
          <w:p>
            <w:r>
              <w:rPr>
                <w:rFonts w:ascii="Calibri" w:hAnsi="Calibri"/>
                <w:color w:val="333333"/>
                <w:sz w:val="18"/>
              </w:rPr>
              <w:t>Total stockholders' equity</w:t>
            </w:r>
          </w:p>
        </w:tc>
        <w:tc>
          <w:tcPr>
            <w:tcW w:type="dxa" w:w="2520"/>
          </w:tcPr>
          <w:p>
            <w:r>
              <w:rPr>
                <w:rFonts w:ascii="Calibri" w:hAnsi="Calibri"/>
                <w:color w:val="333333"/>
                <w:sz w:val="18"/>
              </w:rPr>
              <w:t>$263.7B</w:t>
            </w:r>
          </w:p>
        </w:tc>
        <w:tc>
          <w:tcPr>
            <w:tcW w:type="dxa" w:w="2520"/>
          </w:tcPr>
          <w:p>
            <w:r>
              <w:rPr>
                <w:rFonts w:ascii="Calibri" w:hAnsi="Calibri"/>
                <w:color w:val="333333"/>
                <w:sz w:val="18"/>
              </w:rPr>
              <w:t>$259.4B</w:t>
            </w:r>
          </w:p>
        </w:tc>
        <w:tc>
          <w:tcPr>
            <w:tcW w:type="dxa" w:w="2520"/>
            <w:shd w:fill="FFF3CD" w:val="clear"/>
          </w:tcPr>
          <w:p>
            <w:r>
              <w:rPr>
                <w:rFonts w:ascii="Calibri" w:hAnsi="Calibri"/>
                <w:color w:val="333333"/>
                <w:sz w:val="18"/>
              </w:rPr>
              <w:t>-1.6%</w:t>
            </w:r>
          </w:p>
        </w:tc>
      </w:tr>
      <w:tr>
        <w:tc>
          <w:tcPr>
            <w:tcW w:type="dxa" w:w="2520"/>
            <w:shd w:fill="F2F4F8" w:val="clear"/>
          </w:tcPr>
          <w:p>
            <w:r>
              <w:rPr>
                <w:rFonts w:ascii="Calibri" w:hAnsi="Calibri"/>
                <w:color w:val="333333"/>
                <w:sz w:val="18"/>
              </w:rPr>
              <w:t>Total current assets</w:t>
            </w:r>
          </w:p>
        </w:tc>
        <w:tc>
          <w:tcPr>
            <w:tcW w:type="dxa" w:w="2520"/>
            <w:shd w:fill="F2F4F8" w:val="clear"/>
          </w:tcPr>
          <w:p>
            <w:r>
              <w:rPr>
                <w:rFonts w:ascii="Calibri" w:hAnsi="Calibri"/>
                <w:color w:val="333333"/>
                <w:sz w:val="18"/>
              </w:rPr>
              <w:t>$92.0B</w:t>
            </w:r>
          </w:p>
        </w:tc>
        <w:tc>
          <w:tcPr>
            <w:tcW w:type="dxa" w:w="2520"/>
            <w:shd w:fill="F2F4F8" w:val="clear"/>
          </w:tcPr>
          <w:p>
            <w:r>
              <w:rPr>
                <w:rFonts w:ascii="Calibri" w:hAnsi="Calibri"/>
                <w:color w:val="333333"/>
                <w:sz w:val="18"/>
              </w:rPr>
              <w:t>$83.4B</w:t>
            </w:r>
          </w:p>
        </w:tc>
        <w:tc>
          <w:tcPr>
            <w:tcW w:type="dxa" w:w="2520"/>
            <w:shd w:fill="F2F4F8" w:val="clear"/>
            <w:shd w:fill="FFF3CD" w:val="clear"/>
          </w:tcPr>
          <w:p>
            <w:r>
              <w:rPr>
                <w:rFonts w:ascii="Calibri" w:hAnsi="Calibri"/>
                <w:color w:val="333333"/>
                <w:sz w:val="18"/>
              </w:rPr>
              <w:t>-9.4%</w:t>
            </w:r>
          </w:p>
        </w:tc>
      </w:tr>
      <w:tr>
        <w:tc>
          <w:tcPr>
            <w:tcW w:type="dxa" w:w="2520"/>
          </w:tcPr>
          <w:p>
            <w:r>
              <w:rPr>
                <w:rFonts w:ascii="Calibri" w:hAnsi="Calibri"/>
                <w:color w:val="333333"/>
                <w:sz w:val="18"/>
              </w:rPr>
              <w:t>Total current liabilities</w:t>
            </w:r>
          </w:p>
        </w:tc>
        <w:tc>
          <w:tcPr>
            <w:tcW w:type="dxa" w:w="2520"/>
          </w:tcPr>
          <w:p>
            <w:r>
              <w:rPr>
                <w:rFonts w:ascii="Calibri" w:hAnsi="Calibri"/>
                <w:color w:val="333333"/>
                <w:sz w:val="18"/>
              </w:rPr>
              <w:t>$70.3B</w:t>
            </w:r>
          </w:p>
        </w:tc>
        <w:tc>
          <w:tcPr>
            <w:tcW w:type="dxa" w:w="2520"/>
          </w:tcPr>
          <w:p>
            <w:r>
              <w:rPr>
                <w:rFonts w:ascii="Calibri" w:hAnsi="Calibri"/>
                <w:color w:val="333333"/>
                <w:sz w:val="18"/>
              </w:rPr>
              <w:t>$72.3B</w:t>
            </w:r>
          </w:p>
        </w:tc>
        <w:tc>
          <w:tcPr>
            <w:tcW w:type="dxa" w:w="2520"/>
            <w:shd w:fill="FFF3CD" w:val="clear"/>
          </w:tcPr>
          <w:p>
            <w:r>
              <w:rPr>
                <w:rFonts w:ascii="Calibri" w:hAnsi="Calibri"/>
                <w:color w:val="333333"/>
                <w:sz w:val="18"/>
              </w:rPr>
              <w:t>2.9%</w:t>
            </w:r>
          </w:p>
        </w:tc>
      </w:tr>
      <w:tr>
        <w:tc>
          <w:tcPr>
            <w:tcW w:type="dxa" w:w="2520"/>
            <w:shd w:fill="F2F4F8" w:val="clear"/>
          </w:tcPr>
          <w:p>
            <w:r>
              <w:rPr>
                <w:rFonts w:ascii="Calibri" w:hAnsi="Calibri"/>
                <w:color w:val="333333"/>
                <w:sz w:val="18"/>
              </w:rPr>
              <w:t>Cash and cash equivalents</w:t>
            </w:r>
          </w:p>
        </w:tc>
        <w:tc>
          <w:tcPr>
            <w:tcW w:type="dxa" w:w="2520"/>
            <w:shd w:fill="F2F4F8" w:val="clear"/>
          </w:tcPr>
          <w:p>
            <w:r>
              <w:rPr>
                <w:rFonts w:ascii="Calibri" w:hAnsi="Calibri"/>
                <w:color w:val="333333"/>
                <w:sz w:val="18"/>
              </w:rPr>
              <w:t>$23.0B</w:t>
            </w:r>
          </w:p>
        </w:tc>
        <w:tc>
          <w:tcPr>
            <w:tcW w:type="dxa" w:w="2520"/>
            <w:shd w:fill="F2F4F8" w:val="clear"/>
          </w:tcPr>
          <w:p>
            <w:r>
              <w:rPr>
                <w:rFonts w:ascii="Calibri" w:hAnsi="Calibri"/>
                <w:color w:val="333333"/>
                <w:sz w:val="18"/>
              </w:rPr>
              <w:t>$10.7B</w:t>
            </w:r>
          </w:p>
        </w:tc>
        <w:tc>
          <w:tcPr>
            <w:tcW w:type="dxa" w:w="2520"/>
            <w:shd w:fill="F2F4F8" w:val="clear"/>
            <w:shd w:fill="FCE8E6" w:val="clear"/>
          </w:tcPr>
          <w:p>
            <w:r>
              <w:rPr>
                <w:rFonts w:ascii="Calibri" w:hAnsi="Calibri"/>
                <w:color w:val="333333"/>
                <w:sz w:val="18"/>
              </w:rPr>
              <w:t>-53.6%</w:t>
            </w:r>
          </w:p>
        </w:tc>
      </w:tr>
      <w:tr>
        <w:tc>
          <w:tcPr>
            <w:tcW w:type="dxa" w:w="2520"/>
          </w:tcPr>
          <w:p>
            <w:r>
              <w:rPr>
                <w:rFonts w:ascii="Calibri" w:hAnsi="Calibri"/>
                <w:color w:val="333333"/>
                <w:sz w:val="18"/>
              </w:rPr>
              <w:t>Accounts receivable, net</w:t>
            </w:r>
          </w:p>
        </w:tc>
        <w:tc>
          <w:tcPr>
            <w:tcW w:type="dxa" w:w="2520"/>
          </w:tcPr>
          <w:p>
            <w:r>
              <w:rPr>
                <w:rFonts w:ascii="Calibri" w:hAnsi="Calibri"/>
                <w:color w:val="333333"/>
                <w:sz w:val="18"/>
              </w:rPr>
              <w:t>$35.3B</w:t>
            </w:r>
          </w:p>
        </w:tc>
        <w:tc>
          <w:tcPr>
            <w:tcW w:type="dxa" w:w="2520"/>
          </w:tcPr>
          <w:p>
            <w:r>
              <w:rPr>
                <w:rFonts w:ascii="Calibri" w:hAnsi="Calibri"/>
                <w:color w:val="333333"/>
                <w:sz w:val="18"/>
              </w:rPr>
              <w:t>$35.7B</w:t>
            </w:r>
          </w:p>
        </w:tc>
        <w:tc>
          <w:tcPr>
            <w:tcW w:type="dxa" w:w="2520"/>
            <w:shd w:fill="FFF3CD" w:val="clear"/>
          </w:tcPr>
          <w:p>
            <w:r>
              <w:rPr>
                <w:rFonts w:ascii="Calibri" w:hAnsi="Calibri"/>
                <w:color w:val="333333"/>
                <w:sz w:val="18"/>
              </w:rPr>
              <w:t>1.3%</w:t>
            </w:r>
          </w:p>
        </w:tc>
      </w:tr>
      <w:tr>
        <w:tc>
          <w:tcPr>
            <w:tcW w:type="dxa" w:w="2520"/>
            <w:shd w:fill="F2F4F8" w:val="clear"/>
          </w:tcPr>
          <w:p>
            <w:r>
              <w:rPr>
                <w:rFonts w:ascii="Calibri" w:hAnsi="Calibri"/>
                <w:color w:val="333333"/>
                <w:sz w:val="18"/>
              </w:rPr>
              <w:t>Property, plant and equipment, net</w:t>
            </w:r>
          </w:p>
        </w:tc>
        <w:tc>
          <w:tcPr>
            <w:tcW w:type="dxa" w:w="2520"/>
            <w:shd w:fill="F2F4F8" w:val="clear"/>
          </w:tcPr>
          <w:p>
            <w:r>
              <w:rPr>
                <w:rFonts w:ascii="Calibri" w:hAnsi="Calibri"/>
                <w:color w:val="333333"/>
                <w:sz w:val="18"/>
              </w:rPr>
              <w:t>$294.3B</w:t>
            </w:r>
          </w:p>
        </w:tc>
        <w:tc>
          <w:tcPr>
            <w:tcW w:type="dxa" w:w="2520"/>
            <w:shd w:fill="F2F4F8" w:val="clear"/>
          </w:tcPr>
          <w:p>
            <w:r>
              <w:rPr>
                <w:rFonts w:ascii="Calibri" w:hAnsi="Calibri"/>
                <w:color w:val="333333"/>
                <w:sz w:val="18"/>
              </w:rPr>
              <w:t>$299.4B</w:t>
            </w:r>
          </w:p>
        </w:tc>
        <w:tc>
          <w:tcPr>
            <w:tcW w:type="dxa" w:w="2520"/>
            <w:shd w:fill="F2F4F8" w:val="clear"/>
            <w:shd w:fill="FFF3CD" w:val="clear"/>
          </w:tcPr>
          <w:p>
            <w:r>
              <w:rPr>
                <w:rFonts w:ascii="Calibri" w:hAnsi="Calibri"/>
                <w:color w:val="333333"/>
                <w:sz w:val="18"/>
              </w:rPr>
              <w:t>1.7%</w:t>
            </w:r>
          </w:p>
        </w:tc>
      </w:tr>
      <w:tr>
        <w:tc>
          <w:tcPr>
            <w:tcW w:type="dxa" w:w="2520"/>
          </w:tcPr>
          <w:p>
            <w:r>
              <w:rPr>
                <w:rFonts w:ascii="Calibri" w:hAnsi="Calibri"/>
                <w:color w:val="333333"/>
                <w:sz w:val="18"/>
              </w:rPr>
              <w:t>Long-term debt, non-current</w:t>
            </w:r>
          </w:p>
        </w:tc>
        <w:tc>
          <w:tcPr>
            <w:tcW w:type="dxa" w:w="2520"/>
          </w:tcPr>
          <w:p>
            <w:r>
              <w:rPr>
                <w:rFonts w:ascii="Calibri" w:hAnsi="Calibri"/>
                <w:color w:val="333333"/>
                <w:sz w:val="18"/>
              </w:rPr>
              <w:t>$36.8B</w:t>
            </w:r>
          </w:p>
        </w:tc>
        <w:tc>
          <w:tcPr>
            <w:tcW w:type="dxa" w:w="2520"/>
          </w:tcPr>
          <w:p>
            <w:r>
              <w:rPr>
                <w:rFonts w:ascii="Calibri" w:hAnsi="Calibri"/>
                <w:color w:val="333333"/>
                <w:sz w:val="18"/>
              </w:rPr>
              <w:t>$34.2B</w:t>
            </w:r>
          </w:p>
        </w:tc>
        <w:tc>
          <w:tcPr>
            <w:tcW w:type="dxa" w:w="2520"/>
            <w:shd w:fill="FFF3CD" w:val="clear"/>
          </w:tcPr>
          <w:p>
            <w:r>
              <w:rPr>
                <w:rFonts w:ascii="Calibri" w:hAnsi="Calibri"/>
                <w:color w:val="333333"/>
                <w:sz w:val="18"/>
              </w:rPr>
              <w:t>-6.8%</w:t>
            </w:r>
          </w:p>
        </w:tc>
      </w:tr>
      <w:tr>
        <w:tc>
          <w:tcPr>
            <w:tcW w:type="dxa" w:w="2520"/>
            <w:shd w:fill="F2F4F8" w:val="clear"/>
          </w:tcPr>
          <w:p>
            <w:r>
              <w:rPr>
                <w:rFonts w:ascii="Calibri" w:hAnsi="Calibri"/>
                <w:color w:val="333333"/>
                <w:sz w:val="18"/>
              </w:rPr>
              <w:t>Short-term debt / current portion of long-term debt</w:t>
            </w:r>
          </w:p>
        </w:tc>
        <w:tc>
          <w:tcPr>
            <w:tcW w:type="dxa" w:w="2520"/>
            <w:shd w:fill="F2F4F8" w:val="clear"/>
          </w:tcPr>
          <w:p>
            <w:r>
              <w:rPr>
                <w:rFonts w:ascii="Calibri" w:hAnsi="Calibri"/>
                <w:color w:val="333333"/>
                <w:sz w:val="18"/>
              </w:rPr>
              <w:t>$5.0B</w:t>
            </w:r>
          </w:p>
        </w:tc>
        <w:tc>
          <w:tcPr>
            <w:tcW w:type="dxa" w:w="2520"/>
            <w:shd w:fill="F2F4F8" w:val="clear"/>
          </w:tcPr>
          <w:p>
            <w:r>
              <w:rPr>
                <w:rFonts w:ascii="Calibri" w:hAnsi="Calibri"/>
                <w:color w:val="333333"/>
                <w:sz w:val="18"/>
              </w:rPr>
              <w:t>$9.3B</w:t>
            </w:r>
          </w:p>
        </w:tc>
        <w:tc>
          <w:tcPr>
            <w:tcW w:type="dxa" w:w="2520"/>
            <w:shd w:fill="F2F4F8" w:val="clear"/>
            <w:shd w:fill="DCEEF8" w:val="clear"/>
          </w:tcPr>
          <w:p>
            <w:r>
              <w:rPr>
                <w:rFonts w:ascii="Calibri" w:hAnsi="Calibri"/>
                <w:color w:val="333333"/>
                <w:sz w:val="18"/>
              </w:rPr>
              <w:t>87.6%</w:t>
            </w:r>
          </w:p>
        </w:tc>
      </w:tr>
      <w:tr>
        <w:tc>
          <w:tcPr>
            <w:tcW w:type="dxa" w:w="2520"/>
          </w:tcPr>
          <w:p>
            <w:r>
              <w:rPr>
                <w:rFonts w:ascii="Calibri" w:hAnsi="Calibri"/>
                <w:color w:val="333333"/>
                <w:sz w:val="18"/>
              </w:rPr>
              <w:t>Retained earnings / accumulated deficit</w:t>
            </w:r>
          </w:p>
        </w:tc>
        <w:tc>
          <w:tcPr>
            <w:tcW w:type="dxa" w:w="2520"/>
          </w:tcPr>
          <w:p>
            <w:r>
              <w:rPr>
                <w:rFonts w:ascii="Calibri" w:hAnsi="Calibri"/>
                <w:color w:val="333333"/>
                <w:sz w:val="18"/>
              </w:rPr>
              <w:t>$470.9B</w:t>
            </w:r>
          </w:p>
        </w:tc>
        <w:tc>
          <w:tcPr>
            <w:tcW w:type="dxa" w:w="2520"/>
          </w:tcPr>
          <w:p>
            <w:r>
              <w:rPr>
                <w:rFonts w:ascii="Calibri" w:hAnsi="Calibri"/>
                <w:color w:val="333333"/>
                <w:sz w:val="18"/>
              </w:rPr>
              <w:t>$482.5B</w:t>
            </w:r>
          </w:p>
        </w:tc>
        <w:tc>
          <w:tcPr>
            <w:tcW w:type="dxa" w:w="2520"/>
            <w:shd w:fill="FFF3CD" w:val="clear"/>
          </w:tcPr>
          <w:p>
            <w:r>
              <w:rPr>
                <w:rFonts w:ascii="Calibri" w:hAnsi="Calibri"/>
                <w:color w:val="333333"/>
                <w:sz w:val="18"/>
              </w:rPr>
              <w:t>2.5%</w:t>
            </w:r>
          </w:p>
        </w:tc>
      </w:tr>
      <w:tr>
        <w:tc>
          <w:tcPr>
            <w:tcW w:type="dxa" w:w="2520"/>
            <w:shd w:fill="F2F4F8" w:val="clear"/>
          </w:tcPr>
          <w:p>
            <w:r>
              <w:rPr>
                <w:rFonts w:ascii="Calibri" w:hAnsi="Calibri"/>
                <w:color w:val="333333"/>
                <w:sz w:val="18"/>
              </w:rPr>
              <w:t>Common shares outstanding</w:t>
            </w:r>
          </w:p>
        </w:tc>
        <w:tc>
          <w:tcPr>
            <w:tcW w:type="dxa" w:w="2520"/>
            <w:shd w:fill="F2F4F8" w:val="clear"/>
          </w:tcPr>
          <w:p>
            <w:r>
              <w:rPr>
                <w:rFonts w:ascii="Calibri" w:hAnsi="Calibri"/>
                <w:color w:val="333333"/>
                <w:sz w:val="18"/>
              </w:rPr>
              <w:t>4.4B</w:t>
            </w:r>
          </w:p>
        </w:tc>
        <w:tc>
          <w:tcPr>
            <w:tcW w:type="dxa" w:w="2520"/>
            <w:shd w:fill="F2F4F8" w:val="clear"/>
          </w:tcPr>
          <w:p>
            <w:r>
              <w:rPr>
                <w:rFonts w:ascii="Calibri" w:hAnsi="Calibri"/>
                <w:color w:val="333333"/>
                <w:sz w:val="18"/>
              </w:rPr>
              <w:t>4.2B</w:t>
            </w:r>
          </w:p>
        </w:tc>
        <w:tc>
          <w:tcPr>
            <w:tcW w:type="dxa" w:w="2520"/>
            <w:shd w:fill="F2F4F8" w:val="clear"/>
            <w:shd w:fill="FFF3CD" w:val="clear"/>
          </w:tcPr>
          <w:p>
            <w:r>
              <w:rPr>
                <w:rFonts w:ascii="Calibri" w:hAnsi="Calibri"/>
                <w:color w:val="333333"/>
                <w:sz w:val="18"/>
              </w:rPr>
              <w:t>-4.0%</w:t>
            </w:r>
          </w:p>
        </w:tc>
      </w:tr>
      <w:tr>
        <w:tc>
          <w:tcPr>
            <w:tcW w:type="dxa" w:w="2520"/>
          </w:tcPr>
          <w:p>
            <w:r>
              <w:rPr>
                <w:rFonts w:ascii="Calibri" w:hAnsi="Calibri"/>
                <w:color w:val="333333"/>
                <w:sz w:val="18"/>
              </w:rPr>
              <w:t>Accounts payable</w:t>
            </w:r>
          </w:p>
        </w:tc>
        <w:tc>
          <w:tcPr>
            <w:tcW w:type="dxa" w:w="2520"/>
          </w:tcPr>
          <w:p>
            <w:r>
              <w:rPr>
                <w:rFonts w:ascii="Calibri" w:hAnsi="Calibri"/>
                <w:color w:val="333333"/>
                <w:sz w:val="18"/>
              </w:rPr>
              <w:t>$61.3B</w:t>
            </w:r>
          </w:p>
        </w:tc>
        <w:tc>
          <w:tcPr>
            <w:tcW w:type="dxa" w:w="2520"/>
          </w:tcPr>
          <w:p>
            <w:r>
              <w:rPr>
                <w:rFonts w:ascii="Calibri" w:hAnsi="Calibri"/>
                <w:color w:val="333333"/>
                <w:sz w:val="18"/>
              </w:rPr>
              <w:t>$60.9B</w:t>
            </w:r>
          </w:p>
        </w:tc>
        <w:tc>
          <w:tcPr>
            <w:tcW w:type="dxa" w:w="2520"/>
          </w:tcPr>
          <w:p>
            <w:r>
              <w:rPr>
                <w:rFonts w:ascii="Calibri" w:hAnsi="Calibri"/>
                <w:color w:val="333333"/>
                <w:sz w:val="18"/>
              </w:rPr>
              <w:t>-0.6%</w:t>
            </w:r>
          </w:p>
        </w:tc>
      </w:tr>
      <w:tr>
        <w:tc>
          <w:tcPr>
            <w:tcW w:type="dxa" w:w="2520"/>
            <w:shd w:fill="F2F4F8" w:val="clear"/>
          </w:tcPr>
          <w:p>
            <w:r>
              <w:rPr>
                <w:rFonts w:ascii="Calibri" w:hAnsi="Calibri"/>
                <w:color w:val="333333"/>
                <w:sz w:val="18"/>
              </w:rPr>
              <w:t>Operating lease liabilities</w:t>
            </w:r>
          </w:p>
        </w:tc>
        <w:tc>
          <w:tcPr>
            <w:tcW w:type="dxa" w:w="2520"/>
            <w:shd w:fill="F2F4F8" w:val="clear"/>
          </w:tcPr>
          <w:p>
            <w:r>
              <w:rPr>
                <w:rFonts w:ascii="Calibri" w:hAnsi="Calibri"/>
                <w:color w:val="333333"/>
                <w:sz w:val="18"/>
              </w:rPr>
              <w:t>$6.5B</w:t>
            </w:r>
          </w:p>
        </w:tc>
        <w:tc>
          <w:tcPr>
            <w:tcW w:type="dxa" w:w="2520"/>
            <w:shd w:fill="F2F4F8" w:val="clear"/>
          </w:tcPr>
          <w:p>
            <w:r>
              <w:rPr>
                <w:rFonts w:ascii="Calibri" w:hAnsi="Calibri"/>
                <w:color w:val="333333"/>
                <w:sz w:val="18"/>
              </w:rPr>
              <w:t>$6.8B</w:t>
            </w:r>
          </w:p>
        </w:tc>
        <w:tc>
          <w:tcPr>
            <w:tcW w:type="dxa" w:w="2520"/>
            <w:shd w:fill="F2F4F8" w:val="clear"/>
            <w:shd w:fill="FFF3CD" w:val="clear"/>
          </w:tcPr>
          <w:p>
            <w:r>
              <w:rPr>
                <w:rFonts w:ascii="Calibri" w:hAnsi="Calibri"/>
                <w:color w:val="333333"/>
                <w:sz w:val="18"/>
              </w:rPr>
              <w:t>5.5%</w:t>
            </w:r>
          </w:p>
        </w:tc>
      </w:tr>
      <w:tr>
        <w:tc>
          <w:tcPr>
            <w:tcW w:type="dxa" w:w="2520"/>
          </w:tcPr>
          <w:p>
            <w:r>
              <w:rPr>
                <w:rFonts w:ascii="Calibri" w:hAnsi="Calibri"/>
                <w:color w:val="333333"/>
                <w:sz w:val="18"/>
              </w:rPr>
              <w:t>Minority / noncontrolling interest</w:t>
            </w:r>
          </w:p>
        </w:tc>
        <w:tc>
          <w:tcPr>
            <w:tcW w:type="dxa" w:w="2520"/>
          </w:tcPr>
          <w:p>
            <w:r>
              <w:rPr>
                <w:rFonts w:ascii="Calibri" w:hAnsi="Calibri"/>
                <w:color w:val="333333"/>
                <w:sz w:val="18"/>
              </w:rPr>
              <w:t>$6.9B</w:t>
            </w:r>
          </w:p>
        </w:tc>
        <w:tc>
          <w:tcPr>
            <w:tcW w:type="dxa" w:w="2520"/>
          </w:tcPr>
          <w:p>
            <w:r>
              <w:rPr>
                <w:rFonts w:ascii="Calibri" w:hAnsi="Calibri"/>
                <w:color w:val="333333"/>
                <w:sz w:val="18"/>
              </w:rPr>
              <w:t>$7.2B</w:t>
            </w:r>
          </w:p>
        </w:tc>
        <w:tc>
          <w:tcPr>
            <w:tcW w:type="dxa" w:w="2520"/>
            <w:shd w:fill="FFF3CD" w:val="clear"/>
          </w:tcPr>
          <w:p>
            <w:r>
              <w:rPr>
                <w:rFonts w:ascii="Calibri" w:hAnsi="Calibri"/>
                <w:color w:val="333333"/>
                <w:sz w:val="18"/>
              </w:rPr>
              <w:t>4.9%</w:t>
            </w:r>
          </w:p>
        </w:tc>
      </w:tr>
      <w:tr>
        <w:tc>
          <w:tcPr>
            <w:tcW w:type="dxa" w:w="2520"/>
            <w:shd w:fill="F2F4F8" w:val="clear"/>
          </w:tcPr>
          <w:p>
            <w:r>
              <w:rPr>
                <w:rFonts w:ascii="Calibri" w:hAnsi="Calibri"/>
                <w:color w:val="333333"/>
                <w:sz w:val="18"/>
              </w:rPr>
              <w:t>Other current assets</w:t>
            </w:r>
          </w:p>
        </w:tc>
        <w:tc>
          <w:tcPr>
            <w:tcW w:type="dxa" w:w="2520"/>
            <w:shd w:fill="F2F4F8" w:val="clear"/>
          </w:tcPr>
          <w:p>
            <w:r>
              <w:rPr>
                <w:rFonts w:ascii="Calibri" w:hAnsi="Calibri"/>
                <w:color w:val="333333"/>
                <w:sz w:val="18"/>
              </w:rPr>
              <w:t>$1.6B</w:t>
            </w:r>
          </w:p>
        </w:tc>
        <w:tc>
          <w:tcPr>
            <w:tcW w:type="dxa" w:w="2520"/>
            <w:shd w:fill="F2F4F8" w:val="clear"/>
          </w:tcPr>
          <w:p>
            <w:r>
              <w:rPr>
                <w:rFonts w:ascii="Calibri" w:hAnsi="Calibri"/>
                <w:color w:val="333333"/>
                <w:sz w:val="18"/>
              </w:rPr>
              <w:t>$1.8B</w:t>
            </w:r>
          </w:p>
        </w:tc>
        <w:tc>
          <w:tcPr>
            <w:tcW w:type="dxa" w:w="2520"/>
            <w:shd w:fill="F2F4F8" w:val="clear"/>
            <w:shd w:fill="DCEEF8" w:val="clear"/>
          </w:tcPr>
          <w:p>
            <w:r>
              <w:rPr>
                <w:rFonts w:ascii="Calibri" w:hAnsi="Calibri"/>
                <w:color w:val="333333"/>
                <w:sz w:val="18"/>
              </w:rPr>
              <w:t>15.0%</w:t>
            </w:r>
          </w:p>
        </w:tc>
      </w:tr>
      <w:tr>
        <w:tc>
          <w:tcPr>
            <w:tcW w:type="dxa" w:w="2520"/>
          </w:tcPr>
          <w:p>
            <w:r>
              <w:rPr>
                <w:rFonts w:ascii="Calibri" w:hAnsi="Calibri"/>
                <w:color w:val="333333"/>
                <w:sz w:val="18"/>
              </w:rPr>
              <w:t>Long-term investments</w:t>
            </w:r>
          </w:p>
        </w:tc>
        <w:tc>
          <w:tcPr>
            <w:tcW w:type="dxa" w:w="2520"/>
          </w:tcPr>
          <w:p>
            <w:r>
              <w:rPr>
                <w:rFonts w:ascii="Calibri" w:hAnsi="Calibri"/>
                <w:color w:val="333333"/>
                <w:sz w:val="18"/>
              </w:rPr>
              <w:t>$343.0M</w:t>
            </w:r>
          </w:p>
        </w:tc>
        <w:tc>
          <w:tcPr>
            <w:tcW w:type="dxa" w:w="2520"/>
          </w:tcPr>
          <w:p>
            <w:r>
              <w:rPr>
                <w:rFonts w:ascii="Calibri" w:hAnsi="Calibri"/>
                <w:color w:val="333333"/>
                <w:sz w:val="18"/>
              </w:rPr>
              <w:t>$271.0M</w:t>
            </w:r>
          </w:p>
        </w:tc>
        <w:tc>
          <w:tcPr>
            <w:tcW w:type="dxa" w:w="2520"/>
            <w:shd w:fill="FCE8E6" w:val="clear"/>
          </w:tcPr>
          <w:p>
            <w:r>
              <w:rPr>
                <w:rFonts w:ascii="Calibri" w:hAnsi="Calibri"/>
                <w:color w:val="333333"/>
                <w:sz w:val="18"/>
              </w:rPr>
              <w:t>-21.0%</w:t>
            </w:r>
          </w:p>
        </w:tc>
      </w:tr>
      <w:tr>
        <w:tc>
          <w:tcPr>
            <w:tcW w:type="dxa" w:w="2520"/>
            <w:shd w:fill="F2F4F8" w:val="clear"/>
          </w:tcPr>
          <w:p>
            <w:r>
              <w:rPr>
                <w:rFonts w:ascii="Calibri" w:hAnsi="Calibri"/>
                <w:color w:val="333333"/>
                <w:sz w:val="18"/>
              </w:rPr>
              <w:t>Accrued liabilities</w:t>
            </w:r>
          </w:p>
        </w:tc>
        <w:tc>
          <w:tcPr>
            <w:tcW w:type="dxa" w:w="2520"/>
            <w:shd w:fill="F2F4F8" w:val="clear"/>
          </w:tcPr>
          <w:p>
            <w:r>
              <w:rPr>
                <w:rFonts w:ascii="Calibri" w:hAnsi="Calibri"/>
                <w:color w:val="333333"/>
                <w:sz w:val="18"/>
              </w:rPr>
              <w:t>$4.1B</w:t>
            </w:r>
          </w:p>
        </w:tc>
        <w:tc>
          <w:tcPr>
            <w:tcW w:type="dxa" w:w="2520"/>
            <w:shd w:fill="F2F4F8" w:val="clear"/>
          </w:tcPr>
          <w:p>
            <w:r>
              <w:rPr>
                <w:rFonts w:ascii="Calibri" w:hAnsi="Calibri"/>
                <w:color w:val="333333"/>
                <w:sz w:val="18"/>
              </w:rPr>
              <w:t>$2.1B</w:t>
            </w:r>
          </w:p>
        </w:tc>
        <w:tc>
          <w:tcPr>
            <w:tcW w:type="dxa" w:w="2520"/>
            <w:shd w:fill="F2F4F8" w:val="clear"/>
            <w:shd w:fill="FCE8E6" w:val="clear"/>
          </w:tcPr>
          <w:p>
            <w:r>
              <w:rPr>
                <w:rFonts w:ascii="Calibri" w:hAnsi="Calibri"/>
                <w:color w:val="333333"/>
                <w:sz w:val="18"/>
              </w:rPr>
              <w:t>-47.6%</w:t>
            </w:r>
          </w:p>
        </w:tc>
      </w:tr>
      <w:tr>
        <w:tc>
          <w:tcPr>
            <w:tcW w:type="dxa" w:w="2520"/>
          </w:tcPr>
          <w:p>
            <w:r>
              <w:rPr>
                <w:rFonts w:ascii="Calibri" w:hAnsi="Calibri"/>
                <w:color w:val="333333"/>
                <w:sz w:val="18"/>
              </w:rPr>
              <w:t>Deferred income tax liabilities, net</w:t>
            </w:r>
          </w:p>
        </w:tc>
        <w:tc>
          <w:tcPr>
            <w:tcW w:type="dxa" w:w="2520"/>
          </w:tcPr>
          <w:p>
            <w:r>
              <w:rPr>
                <w:rFonts w:ascii="Calibri" w:hAnsi="Calibri"/>
                <w:color w:val="333333"/>
                <w:sz w:val="18"/>
              </w:rPr>
              <w:t>$39.0B</w:t>
            </w:r>
          </w:p>
        </w:tc>
        <w:tc>
          <w:tcPr>
            <w:tcW w:type="dxa" w:w="2520"/>
          </w:tcPr>
          <w:p>
            <w:r>
              <w:rPr>
                <w:rFonts w:ascii="Calibri" w:hAnsi="Calibri"/>
                <w:color w:val="333333"/>
                <w:sz w:val="18"/>
              </w:rPr>
              <w:t>$40.2B</w:t>
            </w:r>
          </w:p>
        </w:tc>
        <w:tc>
          <w:tcPr>
            <w:tcW w:type="dxa" w:w="2520"/>
            <w:shd w:fill="FFF3CD" w:val="clear"/>
          </w:tcPr>
          <w:p>
            <w:r>
              <w:rPr>
                <w:rFonts w:ascii="Calibri" w:hAnsi="Calibri"/>
                <w:color w:val="333333"/>
                <w:sz w:val="18"/>
              </w:rPr>
              <w:t>3.0%</w:t>
            </w:r>
          </w:p>
        </w:tc>
      </w:tr>
      <w:tr>
        <w:tc>
          <w:tcPr>
            <w:tcW w:type="dxa" w:w="2520"/>
            <w:shd w:fill="F2F4F8" w:val="clear"/>
          </w:tcPr>
          <w:p>
            <w:r>
              <w:rPr>
                <w:rFonts w:ascii="Calibri" w:hAnsi="Calibri"/>
                <w:color w:val="333333"/>
                <w:sz w:val="18"/>
              </w:rPr>
              <w:t>Pension and post-retirement benefit liabilities</w:t>
            </w:r>
          </w:p>
        </w:tc>
        <w:tc>
          <w:tcPr>
            <w:tcW w:type="dxa" w:w="2520"/>
            <w:shd w:fill="F2F4F8" w:val="clear"/>
          </w:tcPr>
          <w:p>
            <w:r>
              <w:rPr>
                <w:rFonts w:ascii="Calibri" w:hAnsi="Calibri"/>
                <w:color w:val="333333"/>
                <w:sz w:val="18"/>
              </w:rPr>
              <w:t>$9.7B</w:t>
            </w:r>
          </w:p>
        </w:tc>
        <w:tc>
          <w:tcPr>
            <w:tcW w:type="dxa" w:w="2520"/>
            <w:shd w:fill="F2F4F8" w:val="clear"/>
          </w:tcPr>
          <w:p>
            <w:r>
              <w:rPr>
                <w:rFonts w:ascii="Calibri" w:hAnsi="Calibri"/>
                <w:color w:val="333333"/>
                <w:sz w:val="18"/>
              </w:rPr>
              <w:t>$8.8B</w:t>
            </w:r>
          </w:p>
        </w:tc>
        <w:tc>
          <w:tcPr>
            <w:tcW w:type="dxa" w:w="2520"/>
            <w:shd w:fill="F2F4F8" w:val="clear"/>
            <w:shd w:fill="FFF3CD" w:val="clear"/>
          </w:tcPr>
          <w:p>
            <w:r>
              <w:rPr>
                <w:rFonts w:ascii="Calibri" w:hAnsi="Calibri"/>
                <w:color w:val="333333"/>
                <w:sz w:val="18"/>
              </w:rPr>
              <w:t>-8.8%</w:t>
            </w:r>
          </w:p>
        </w:tc>
      </w:tr>
      <w:tr>
        <w:tc>
          <w:tcPr>
            <w:tcW w:type="dxa" w:w="2520"/>
          </w:tcPr>
          <w:p>
            <w:r>
              <w:rPr>
                <w:rFonts w:ascii="Calibri" w:hAnsi="Calibri"/>
                <w:color w:val="333333"/>
                <w:sz w:val="18"/>
              </w:rPr>
              <w:t>Accumulated other comprehensive income/loss</w:t>
            </w:r>
          </w:p>
        </w:tc>
        <w:tc>
          <w:tcPr>
            <w:tcW w:type="dxa" w:w="2520"/>
          </w:tcPr>
          <w:p>
            <w:r>
              <w:rPr>
                <w:rFonts w:ascii="Calibri" w:hAnsi="Calibri"/>
                <w:color w:val="333333"/>
                <w:sz w:val="18"/>
              </w:rPr>
              <w:t>$-14.6B</w:t>
            </w:r>
          </w:p>
        </w:tc>
        <w:tc>
          <w:tcPr>
            <w:tcW w:type="dxa" w:w="2520"/>
          </w:tcPr>
          <w:p>
            <w:r>
              <w:rPr>
                <w:rFonts w:ascii="Calibri" w:hAnsi="Calibri"/>
                <w:color w:val="333333"/>
                <w:sz w:val="18"/>
              </w:rPr>
              <w:t>$-10.9B</w:t>
            </w:r>
          </w:p>
        </w:tc>
        <w:tc>
          <w:tcPr>
            <w:tcW w:type="dxa" w:w="2520"/>
            <w:shd w:fill="DCEEF8" w:val="clear"/>
          </w:tcPr>
          <w:p>
            <w:r>
              <w:rPr>
                <w:rFonts w:ascii="Calibri" w:hAnsi="Calibri"/>
                <w:color w:val="333333"/>
                <w:sz w:val="18"/>
              </w:rPr>
              <w:t>25.7%</w:t>
            </w:r>
          </w:p>
        </w:tc>
      </w:tr>
      <w:tr>
        <w:tc>
          <w:tcPr>
            <w:tcW w:type="dxa" w:w="2520"/>
            <w:shd w:fill="F2F4F8" w:val="clear"/>
          </w:tcPr>
          <w:p>
            <w:r>
              <w:rPr>
                <w:rFonts w:ascii="Calibri" w:hAnsi="Calibri"/>
                <w:color w:val="333333"/>
                <w:sz w:val="18"/>
              </w:rPr>
              <w:t>Treasury stock, at cost</w:t>
            </w:r>
          </w:p>
        </w:tc>
        <w:tc>
          <w:tcPr>
            <w:tcW w:type="dxa" w:w="2520"/>
            <w:shd w:fill="F2F4F8" w:val="clear"/>
          </w:tcPr>
          <w:p>
            <w:r>
              <w:rPr>
                <w:rFonts w:ascii="Calibri" w:hAnsi="Calibri"/>
                <w:color w:val="333333"/>
                <w:sz w:val="18"/>
              </w:rPr>
              <w:t>$238.8B</w:t>
            </w:r>
          </w:p>
        </w:tc>
        <w:tc>
          <w:tcPr>
            <w:tcW w:type="dxa" w:w="2520"/>
            <w:shd w:fill="F2F4F8" w:val="clear"/>
          </w:tcPr>
          <w:p>
            <w:r>
              <w:rPr>
                <w:rFonts w:ascii="Calibri" w:hAnsi="Calibri"/>
                <w:color w:val="333333"/>
                <w:sz w:val="18"/>
              </w:rPr>
              <w:t>$258.4B</w:t>
            </w:r>
          </w:p>
        </w:tc>
        <w:tc>
          <w:tcPr>
            <w:tcW w:type="dxa" w:w="2520"/>
            <w:shd w:fill="F2F4F8" w:val="clear"/>
            <w:shd w:fill="FFF3CD" w:val="clear"/>
          </w:tcPr>
          <w:p>
            <w:r>
              <w:rPr>
                <w:rFonts w:ascii="Calibri" w:hAnsi="Calibri"/>
                <w:color w:val="333333"/>
                <w:sz w:val="18"/>
              </w:rPr>
              <w:t>8.2%</w:t>
            </w:r>
          </w:p>
        </w:tc>
      </w:tr>
      <w:tr>
        <w:tc>
          <w:tcPr>
            <w:tcW w:type="dxa" w:w="2520"/>
          </w:tcPr>
          <w:p>
            <w:r>
              <w:rPr>
                <w:rFonts w:ascii="Calibri" w:hAnsi="Calibri"/>
                <w:color w:val="333333"/>
                <w:sz w:val="18"/>
              </w:rPr>
              <w:t>Common stock par value</w:t>
            </w:r>
          </w:p>
        </w:tc>
        <w:tc>
          <w:tcPr>
            <w:tcW w:type="dxa" w:w="2520"/>
          </w:tcPr>
          <w:p>
            <w:r>
              <w:rPr>
                <w:rFonts w:ascii="Calibri" w:hAnsi="Calibri"/>
                <w:color w:val="333333"/>
                <w:sz w:val="18"/>
              </w:rPr>
              <w:t>$46.2B</w:t>
            </w:r>
          </w:p>
        </w:tc>
        <w:tc>
          <w:tcPr>
            <w:tcW w:type="dxa" w:w="2520"/>
          </w:tcPr>
          <w:p>
            <w:r>
              <w:rPr>
                <w:rFonts w:ascii="Calibri" w:hAnsi="Calibri"/>
                <w:color w:val="333333"/>
                <w:sz w:val="18"/>
              </w:rPr>
              <w:t>$46.1B</w:t>
            </w:r>
          </w:p>
        </w:tc>
        <w:tc>
          <w:tcPr>
            <w:tcW w:type="dxa" w:w="2520"/>
          </w:tcPr>
          <w:p>
            <w:r>
              <w:rPr>
                <w:rFonts w:ascii="Calibri" w:hAnsi="Calibri"/>
                <w:color w:val="333333"/>
                <w:sz w:val="18"/>
              </w:rPr>
              <w:t>-0.2%</w:t>
            </w:r>
          </w:p>
        </w:tc>
      </w:tr>
      <w:tr>
        <w:tc>
          <w:tcPr>
            <w:tcW w:type="dxa" w:w="2520"/>
            <w:shd w:fill="F2F4F8" w:val="clear"/>
          </w:tcPr>
          <w:p>
            <w:r>
              <w:rPr>
                <w:rFonts w:ascii="Calibri" w:hAnsi="Calibri"/>
                <w:color w:val="333333"/>
                <w:sz w:val="18"/>
              </w:rPr>
              <w:t>Total liabilities and stockholders' equity</w:t>
            </w:r>
          </w:p>
        </w:tc>
        <w:tc>
          <w:tcPr>
            <w:tcW w:type="dxa" w:w="2520"/>
            <w:shd w:fill="F2F4F8" w:val="clear"/>
          </w:tcPr>
          <w:p>
            <w:r>
              <w:rPr>
                <w:rFonts w:ascii="Calibri" w:hAnsi="Calibri"/>
                <w:color w:val="333333"/>
                <w:sz w:val="18"/>
              </w:rPr>
              <w:t>$453.5B</w:t>
            </w:r>
          </w:p>
        </w:tc>
        <w:tc>
          <w:tcPr>
            <w:tcW w:type="dxa" w:w="2520"/>
            <w:shd w:fill="F2F4F8" w:val="clear"/>
          </w:tcPr>
          <w:p>
            <w:r>
              <w:rPr>
                <w:rFonts w:ascii="Calibri" w:hAnsi="Calibri"/>
                <w:color w:val="333333"/>
                <w:sz w:val="18"/>
              </w:rPr>
              <w:t>$449.0B</w:t>
            </w:r>
          </w:p>
        </w:tc>
        <w:tc>
          <w:tcPr>
            <w:tcW w:type="dxa" w:w="2520"/>
            <w:shd w:fill="F2F4F8" w:val="clear"/>
          </w:tcPr>
          <w:p>
            <w:r>
              <w:rPr>
                <w:rFonts w:ascii="Calibri" w:hAnsi="Calibri"/>
                <w:color w:val="333333"/>
                <w:sz w:val="18"/>
              </w:rPr>
              <w:t>-1.0%</w:t>
            </w:r>
          </w:p>
        </w:tc>
      </w:tr>
      <w:tr>
        <w:tc>
          <w:tcPr>
            <w:tcW w:type="dxa" w:w="2520"/>
          </w:tcPr>
          <w:p>
            <w:r>
              <w:rPr>
                <w:rFonts w:ascii="Calibri" w:hAnsi="Calibri"/>
                <w:color w:val="333333"/>
                <w:sz w:val="18"/>
              </w:rPr>
              <w:t>Right-of-use assets (operating and finance leases)</w:t>
            </w:r>
          </w:p>
        </w:tc>
        <w:tc>
          <w:tcPr>
            <w:tcW w:type="dxa" w:w="2520"/>
          </w:tcPr>
          <w:p>
            <w:r>
              <w:rPr>
                <w:rFonts w:ascii="Calibri" w:hAnsi="Calibri"/>
                <w:color w:val="333333"/>
                <w:sz w:val="18"/>
              </w:rPr>
              <w:t>$7.1B</w:t>
            </w:r>
          </w:p>
        </w:tc>
        <w:tc>
          <w:tcPr>
            <w:tcW w:type="dxa" w:w="2520"/>
          </w:tcPr>
          <w:p>
            <w:r>
              <w:rPr>
                <w:rFonts w:ascii="Calibri" w:hAnsi="Calibri"/>
                <w:color w:val="333333"/>
                <w:sz w:val="18"/>
              </w:rPr>
              <w:t>$7.2B</w:t>
            </w:r>
          </w:p>
        </w:tc>
        <w:tc>
          <w:tcPr>
            <w:tcW w:type="dxa" w:w="2520"/>
            <w:shd w:fill="FFF3CD" w:val="clear"/>
          </w:tcPr>
          <w:p>
            <w:r>
              <w:rPr>
                <w:rFonts w:ascii="Calibri" w:hAnsi="Calibri"/>
                <w:color w:val="333333"/>
                <w:sz w:val="18"/>
              </w:rPr>
              <w:t>1.4%</w:t>
            </w:r>
          </w:p>
        </w:tc>
      </w:tr>
      <w:tr>
        <w:tc>
          <w:tcPr>
            <w:tcW w:type="dxa" w:w="2520"/>
            <w:shd w:fill="F2F4F8" w:val="clear"/>
          </w:tcPr>
          <w:p>
            <w:r>
              <w:rPr>
                <w:rFonts w:ascii="Calibri" w:hAnsi="Calibri"/>
                <w:color w:val="333333"/>
                <w:sz w:val="18"/>
              </w:rPr>
              <w:t>Other non-current assets</w:t>
            </w:r>
          </w:p>
        </w:tc>
        <w:tc>
          <w:tcPr>
            <w:tcW w:type="dxa" w:w="2520"/>
            <w:shd w:fill="F2F4F8" w:val="clear"/>
          </w:tcPr>
          <w:p>
            <w:r>
              <w:rPr>
                <w:rFonts w:ascii="Calibri" w:hAnsi="Calibri"/>
                <w:color w:val="333333"/>
                <w:sz w:val="18"/>
              </w:rPr>
              <w:t>$20.0B</w:t>
            </w:r>
          </w:p>
        </w:tc>
        <w:tc>
          <w:tcPr>
            <w:tcW w:type="dxa" w:w="2520"/>
            <w:shd w:fill="F2F4F8" w:val="clear"/>
          </w:tcPr>
          <w:p>
            <w:r>
              <w:rPr>
                <w:rFonts w:ascii="Calibri" w:hAnsi="Calibri"/>
                <w:color w:val="333333"/>
                <w:sz w:val="18"/>
              </w:rPr>
              <w:t>$20.9B</w:t>
            </w:r>
          </w:p>
        </w:tc>
        <w:tc>
          <w:tcPr>
            <w:tcW w:type="dxa" w:w="2520"/>
            <w:shd w:fill="F2F4F8" w:val="clear"/>
            <w:shd w:fill="FFF3CD" w:val="clear"/>
          </w:tcPr>
          <w:p>
            <w:r>
              <w:rPr>
                <w:rFonts w:ascii="Calibri" w:hAnsi="Calibri"/>
                <w:color w:val="333333"/>
                <w:sz w:val="18"/>
              </w:rPr>
              <w:t>4.7%</w:t>
            </w:r>
          </w:p>
        </w:tc>
      </w:tr>
      <w:tr>
        <w:tc>
          <w:tcPr>
            <w:tcW w:type="dxa" w:w="2520"/>
          </w:tcPr>
          <w:p>
            <w:r>
              <w:rPr>
                <w:rFonts w:ascii="Calibri" w:hAnsi="Calibri"/>
                <w:color w:val="333333"/>
                <w:sz w:val="18"/>
              </w:rPr>
              <w:t>Finance / capital lease obligations</w:t>
            </w:r>
          </w:p>
        </w:tc>
        <w:tc>
          <w:tcPr>
            <w:tcW w:type="dxa" w:w="2520"/>
          </w:tcPr>
          <w:p>
            <w:r>
              <w:rPr>
                <w:rFonts w:ascii="Calibri" w:hAnsi="Calibri"/>
                <w:color w:val="333333"/>
                <w:sz w:val="18"/>
              </w:rPr>
              <w:t>$2.4B</w:t>
            </w:r>
          </w:p>
        </w:tc>
        <w:tc>
          <w:tcPr>
            <w:tcW w:type="dxa" w:w="2520"/>
          </w:tcPr>
          <w:p>
            <w:r>
              <w:rPr>
                <w:rFonts w:ascii="Calibri" w:hAnsi="Calibri"/>
                <w:color w:val="333333"/>
                <w:sz w:val="18"/>
              </w:rPr>
              <w:t>$2.7B</w:t>
            </w:r>
          </w:p>
        </w:tc>
        <w:tc>
          <w:tcPr>
            <w:tcW w:type="dxa" w:w="2520"/>
            <w:shd w:fill="DCEEF8" w:val="clear"/>
          </w:tcPr>
          <w:p>
            <w:r>
              <w:rPr>
                <w:rFonts w:ascii="Calibri" w:hAnsi="Calibri"/>
                <w:color w:val="333333"/>
                <w:sz w:val="18"/>
              </w:rPr>
              <w:t>12.6%</w:t>
            </w:r>
          </w:p>
        </w:tc>
      </w:tr>
      <w:tr>
        <w:tc>
          <w:tcPr>
            <w:tcW w:type="dxa" w:w="2520"/>
            <w:shd w:fill="F2F4F8" w:val="clear"/>
          </w:tcPr>
          <w:p>
            <w:r>
              <w:rPr>
                <w:rFonts w:ascii="Calibri" w:hAnsi="Calibri"/>
                <w:color w:val="333333"/>
                <w:sz w:val="18"/>
              </w:rPr>
              <w:t>Unrecognized tax benefits (UTB) liability</w:t>
            </w:r>
          </w:p>
        </w:tc>
        <w:tc>
          <w:tcPr>
            <w:tcW w:type="dxa" w:w="2520"/>
            <w:shd w:fill="F2F4F8" w:val="clear"/>
          </w:tcPr>
          <w:p>
            <w:r>
              <w:rPr>
                <w:rFonts w:ascii="Calibri" w:hAnsi="Calibri"/>
                <w:color w:val="333333"/>
                <w:sz w:val="18"/>
              </w:rPr>
              <w:t>$4.0B</w:t>
            </w:r>
          </w:p>
        </w:tc>
        <w:tc>
          <w:tcPr>
            <w:tcW w:type="dxa" w:w="2520"/>
            <w:shd w:fill="F2F4F8" w:val="clear"/>
          </w:tcPr>
          <w:p>
            <w:r>
              <w:rPr>
                <w:rFonts w:ascii="Calibri" w:hAnsi="Calibri"/>
                <w:color w:val="333333"/>
                <w:sz w:val="18"/>
              </w:rPr>
              <w:t>$4.1B</w:t>
            </w:r>
          </w:p>
        </w:tc>
        <w:tc>
          <w:tcPr>
            <w:tcW w:type="dxa" w:w="2520"/>
            <w:shd w:fill="F2F4F8" w:val="clear"/>
            <w:shd w:fill="FFF3CD" w:val="clear"/>
          </w:tcPr>
          <w:p>
            <w:r>
              <w:rPr>
                <w:rFonts w:ascii="Calibri" w:hAnsi="Calibri"/>
                <w:color w:val="333333"/>
                <w:sz w:val="18"/>
              </w:rPr>
              <w:t>2.4%</w:t>
            </w:r>
          </w:p>
        </w:tc>
      </w:tr>
      <w:tr>
        <w:tc>
          <w:tcPr>
            <w:tcW w:type="dxa" w:w="2520"/>
          </w:tcPr>
          <w:p>
            <w:r>
              <w:rPr>
                <w:rFonts w:ascii="Calibri" w:hAnsi="Calibri"/>
                <w:color w:val="333333"/>
                <w:sz w:val="18"/>
              </w:rPr>
              <w:t>Commercial paper outstanding</w:t>
            </w:r>
          </w:p>
        </w:tc>
        <w:tc>
          <w:tcPr>
            <w:tcW w:type="dxa" w:w="2520"/>
          </w:tcPr>
          <w:p>
            <w:r>
              <w:rPr>
                <w:rFonts w:ascii="Calibri" w:hAnsi="Calibri"/>
                <w:color w:val="333333"/>
                <w:sz w:val="18"/>
              </w:rPr>
              <w:t>$0</w:t>
            </w:r>
          </w:p>
        </w:tc>
        <w:tc>
          <w:tcPr>
            <w:tcW w:type="dxa" w:w="2520"/>
          </w:tcPr>
          <w:p>
            <w:r>
              <w:rPr>
                <w:rFonts w:ascii="Calibri" w:hAnsi="Calibri"/>
                <w:color w:val="333333"/>
                <w:sz w:val="18"/>
              </w:rPr>
              <w:t>$3.1B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Common stock shares authorized</w:t>
            </w:r>
          </w:p>
        </w:tc>
        <w:tc>
          <w:tcPr>
            <w:tcW w:type="dxa" w:w="2520"/>
            <w:shd w:fill="F2F4F8" w:val="clear"/>
          </w:tcPr>
          <w:p>
            <w:r>
              <w:rPr>
                <w:rFonts w:ascii="Calibri" w:hAnsi="Calibri"/>
                <w:color w:val="333333"/>
                <w:sz w:val="18"/>
              </w:rPr>
              <w:t>9.0B</w:t>
            </w:r>
          </w:p>
        </w:tc>
        <w:tc>
          <w:tcPr>
            <w:tcW w:type="dxa" w:w="2520"/>
            <w:shd w:fill="F2F4F8" w:val="clear"/>
          </w:tcPr>
          <w:p>
            <w:r>
              <w:rPr>
                <w:rFonts w:ascii="Calibri" w:hAnsi="Calibri"/>
                <w:color w:val="333333"/>
                <w:sz w:val="18"/>
              </w:rPr>
              <w:t>9.0B</w:t>
            </w:r>
          </w:p>
        </w:tc>
        <w:tc>
          <w:tcPr>
            <w:tcW w:type="dxa" w:w="2520"/>
            <w:shd w:fill="F2F4F8" w:val="clear"/>
          </w:tcPr>
          <w:p>
            <w:r>
              <w:rPr>
                <w:rFonts w:ascii="Calibri" w:hAnsi="Calibri"/>
                <w:color w:val="333333"/>
                <w:sz w:val="18"/>
              </w:rPr>
              <w:t>0.0%</w:t>
            </w:r>
          </w:p>
        </w:tc>
      </w:tr>
      <w:tr>
        <w:tc>
          <w:tcPr>
            <w:tcW w:type="dxa" w:w="2520"/>
          </w:tcPr>
          <w:p>
            <w:r>
              <w:rPr>
                <w:rFonts w:ascii="Calibri" w:hAnsi="Calibri"/>
                <w:color w:val="333333"/>
                <w:sz w:val="18"/>
              </w:rPr>
              <w:t>Current ratio</w:t>
            </w:r>
          </w:p>
        </w:tc>
        <w:tc>
          <w:tcPr>
            <w:tcW w:type="dxa" w:w="2520"/>
          </w:tcPr>
          <w:p>
            <w:r>
              <w:rPr>
                <w:rFonts w:ascii="Calibri" w:hAnsi="Calibri"/>
                <w:color w:val="333333"/>
                <w:sz w:val="18"/>
              </w:rPr>
              <w:t>$1</w:t>
            </w:r>
          </w:p>
        </w:tc>
        <w:tc>
          <w:tcPr>
            <w:tcW w:type="dxa" w:w="2520"/>
          </w:tcPr>
          <w:p>
            <w:r>
              <w:rPr>
                <w:rFonts w:ascii="Calibri" w:hAnsi="Calibri"/>
                <w:color w:val="333333"/>
                <w:sz w:val="18"/>
              </w:rPr>
              <w:t>$1</w:t>
            </w:r>
          </w:p>
        </w:tc>
        <w:tc>
          <w:tcPr>
            <w:tcW w:type="dxa" w:w="2520"/>
            <w:shd w:fill="FCE8E6" w:val="clear"/>
          </w:tcPr>
          <w:p>
            <w:r>
              <w:rPr>
                <w:rFonts w:ascii="Calibri" w:hAnsi="Calibri"/>
                <w:color w:val="333333"/>
                <w:sz w:val="18"/>
              </w:rPr>
              <w:t>-11.9%</w:t>
            </w:r>
          </w:p>
        </w:tc>
      </w:tr>
      <w:tr>
        <w:tc>
          <w:tcPr>
            <w:tcW w:type="dxa" w:w="2520"/>
            <w:shd w:fill="F2F4F8" w:val="clear"/>
          </w:tcPr>
          <w:p>
            <w:r>
              <w:rPr>
                <w:rFonts w:ascii="Calibri" w:hAnsi="Calibri"/>
                <w:color w:val="333333"/>
                <w:sz w:val="18"/>
              </w:rPr>
              <w:t>Book value per share</w:t>
            </w:r>
          </w:p>
        </w:tc>
        <w:tc>
          <w:tcPr>
            <w:tcW w:type="dxa" w:w="2520"/>
            <w:shd w:fill="F2F4F8" w:val="clear"/>
          </w:tcPr>
          <w:p>
            <w:r>
              <w:rPr>
                <w:rFonts w:ascii="Calibri" w:hAnsi="Calibri"/>
                <w:color w:val="333333"/>
                <w:sz w:val="18"/>
              </w:rPr>
              <w:t>$60.58</w:t>
            </w:r>
          </w:p>
        </w:tc>
        <w:tc>
          <w:tcPr>
            <w:tcW w:type="dxa" w:w="2520"/>
            <w:shd w:fill="F2F4F8" w:val="clear"/>
          </w:tcPr>
          <w:p>
            <w:r>
              <w:rPr>
                <w:rFonts w:ascii="Calibri" w:hAnsi="Calibri"/>
                <w:color w:val="333333"/>
                <w:sz w:val="18"/>
              </w:rPr>
              <w:t>$62.07</w:t>
            </w:r>
          </w:p>
        </w:tc>
        <w:tc>
          <w:tcPr>
            <w:tcW w:type="dxa" w:w="2520"/>
            <w:shd w:fill="F2F4F8" w:val="clear"/>
            <w:shd w:fill="FFF3CD" w:val="clear"/>
          </w:tcPr>
          <w:p>
            <w:r>
              <w:rPr>
                <w:rFonts w:ascii="Calibri" w:hAnsi="Calibri"/>
                <w:color w:val="333333"/>
                <w:sz w:val="18"/>
              </w:rPr>
              <w:t>2.5%</w:t>
            </w:r>
          </w:p>
        </w:tc>
      </w:tr>
      <w:tr>
        <w:tc>
          <w:tcPr>
            <w:tcW w:type="dxa" w:w="2520"/>
          </w:tcPr>
          <w:p>
            <w:r>
              <w:rPr>
                <w:rFonts w:ascii="Calibri" w:hAnsi="Calibri"/>
                <w:color w:val="333333"/>
                <w:sz w:val="18"/>
              </w:rPr>
              <w:t>Return on assets</w:t>
            </w:r>
          </w:p>
        </w:tc>
        <w:tc>
          <w:tcPr>
            <w:tcW w:type="dxa" w:w="2520"/>
          </w:tcPr>
          <w:p>
            <w:r>
              <w:rPr>
                <w:rFonts w:ascii="Calibri" w:hAnsi="Calibri"/>
                <w:color w:val="333333"/>
                <w:sz w:val="18"/>
              </w:rPr>
              <w:t>$7</w:t>
            </w:r>
          </w:p>
        </w:tc>
        <w:tc>
          <w:tcPr>
            <w:tcW w:type="dxa" w:w="2520"/>
          </w:tcPr>
          <w:p>
            <w:r>
              <w:rPr>
                <w:rFonts w:ascii="Calibri" w:hAnsi="Calibri"/>
                <w:color w:val="333333"/>
                <w:sz w:val="18"/>
              </w:rPr>
              <w:t>$6</w:t>
            </w:r>
          </w:p>
        </w:tc>
        <w:tc>
          <w:tcPr>
            <w:tcW w:type="dxa" w:w="2520"/>
            <w:shd w:fill="FCE8E6" w:val="clear"/>
          </w:tcPr>
          <w:p>
            <w:r>
              <w:rPr>
                <w:rFonts w:ascii="Calibri" w:hAnsi="Calibri"/>
                <w:color w:val="333333"/>
                <w:sz w:val="18"/>
              </w:rPr>
              <w:t>-13.6%</w:t>
            </w:r>
          </w:p>
        </w:tc>
      </w:tr>
      <w:tr>
        <w:tc>
          <w:tcPr>
            <w:tcW w:type="dxa" w:w="2520"/>
            <w:shd w:fill="F2F4F8" w:val="clear"/>
          </w:tcPr>
          <w:p>
            <w:r>
              <w:rPr>
                <w:rFonts w:ascii="Calibri" w:hAnsi="Calibri"/>
                <w:color w:val="333333"/>
                <w:sz w:val="18"/>
              </w:rPr>
              <w:t>Return on equity</w:t>
            </w:r>
          </w:p>
        </w:tc>
        <w:tc>
          <w:tcPr>
            <w:tcW w:type="dxa" w:w="2520"/>
            <w:shd w:fill="F2F4F8" w:val="clear"/>
          </w:tcPr>
          <w:p>
            <w:r>
              <w:rPr>
                <w:rFonts w:ascii="Calibri" w:hAnsi="Calibri"/>
                <w:color w:val="333333"/>
                <w:sz w:val="18"/>
              </w:rPr>
              <w:t>$13</w:t>
            </w:r>
          </w:p>
        </w:tc>
        <w:tc>
          <w:tcPr>
            <w:tcW w:type="dxa" w:w="2520"/>
            <w:shd w:fill="F2F4F8" w:val="clear"/>
          </w:tcPr>
          <w:p>
            <w:r>
              <w:rPr>
                <w:rFonts w:ascii="Calibri" w:hAnsi="Calibri"/>
                <w:color w:val="333333"/>
                <w:sz w:val="18"/>
              </w:rPr>
              <w:t>$11</w:t>
            </w:r>
          </w:p>
        </w:tc>
        <w:tc>
          <w:tcPr>
            <w:tcW w:type="dxa" w:w="2520"/>
            <w:shd w:fill="F2F4F8" w:val="clear"/>
            <w:shd w:fill="FCE8E6" w:val="clear"/>
          </w:tcPr>
          <w:p>
            <w:r>
              <w:rPr>
                <w:rFonts w:ascii="Calibri" w:hAnsi="Calibri"/>
                <w:color w:val="333333"/>
                <w:sz w:val="18"/>
              </w:rPr>
              <w:t>-12.9%</w:t>
            </w:r>
          </w:p>
        </w:tc>
      </w:tr>
      <w:tr>
        <w:tc>
          <w:tcPr>
            <w:tcW w:type="dxa" w:w="2520"/>
          </w:tcPr>
          <w:p>
            <w:r>
              <w:rPr>
                <w:rFonts w:ascii="Calibri" w:hAnsi="Calibri"/>
                <w:color w:val="333333"/>
                <w:sz w:val="18"/>
              </w:rPr>
              <w:t>Asset turnover ratio</w:t>
            </w:r>
          </w:p>
        </w:tc>
        <w:tc>
          <w:tcPr>
            <w:tcW w:type="dxa" w:w="2520"/>
          </w:tcPr>
          <w:p>
            <w:r>
              <w:rPr>
                <w:rFonts w:ascii="Calibri" w:hAnsi="Calibri"/>
                <w:color w:val="333333"/>
                <w:sz w:val="18"/>
              </w:rPr>
              <w:t>$1</w:t>
            </w:r>
          </w:p>
        </w:tc>
        <w:tc>
          <w:tcPr>
            <w:tcW w:type="dxa" w:w="2520"/>
          </w:tcPr>
          <w:p>
            <w:r>
              <w:rPr>
                <w:rFonts w:ascii="Calibri" w:hAnsi="Calibri"/>
                <w:color w:val="333333"/>
                <w:sz w:val="18"/>
              </w:rPr>
              <w:t>$1</w:t>
            </w:r>
          </w:p>
        </w:tc>
        <w:tc>
          <w:tcPr>
            <w:tcW w:type="dxa" w:w="2520"/>
            <w:shd w:fill="FFF3CD" w:val="clear"/>
          </w:tcPr>
          <w:p>
            <w:r>
              <w:rPr>
                <w:rFonts w:ascii="Calibri" w:hAnsi="Calibri"/>
                <w:color w:val="333333"/>
                <w:sz w:val="18"/>
              </w:rPr>
              <w:t>-4.0%</w:t>
            </w:r>
          </w:p>
        </w:tc>
      </w:tr>
    </w:tbl>
    <w:p>
      <w:pPr>
        <w:pStyle w:val="DOHeading3"/>
      </w:pPr>
      <w:r>
        <w:t>Key Balance Sheet Ratios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Ratio</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Current Ratio</w:t>
            </w:r>
          </w:p>
        </w:tc>
        <w:tc>
          <w:tcPr>
            <w:tcW w:type="dxa" w:w="3360"/>
          </w:tcPr>
          <w:p>
            <w:r>
              <w:rPr>
                <w:rFonts w:ascii="Calibri" w:hAnsi="Calibri"/>
                <w:color w:val="333333"/>
                <w:sz w:val="18"/>
              </w:rPr>
              <w:t>1.15</w:t>
            </w:r>
          </w:p>
        </w:tc>
        <w:tc>
          <w:tcPr>
            <w:tcW w:type="dxa" w:w="3360"/>
          </w:tcPr>
          <w:p>
            <w:r>
              <w:rPr>
                <w:rFonts w:ascii="Calibri" w:hAnsi="Calibri"/>
                <w:color w:val="333333"/>
                <w:sz w:val="18"/>
              </w:rPr>
              <w:t>Adequate</w:t>
            </w:r>
          </w:p>
        </w:tc>
      </w:tr>
      <w:tr>
        <w:tc>
          <w:tcPr>
            <w:tcW w:type="dxa" w:w="3360"/>
            <w:shd w:fill="F2F4F8" w:val="clear"/>
          </w:tcPr>
          <w:p>
            <w:r>
              <w:rPr>
                <w:rFonts w:ascii="Calibri" w:hAnsi="Calibri"/>
                <w:color w:val="333333"/>
                <w:sz w:val="18"/>
              </w:rPr>
              <w:t>Debt/Assets</w:t>
            </w:r>
          </w:p>
        </w:tc>
        <w:tc>
          <w:tcPr>
            <w:tcW w:type="dxa" w:w="3360"/>
            <w:shd w:fill="F2F4F8" w:val="clear"/>
          </w:tcPr>
          <w:p>
            <w:r>
              <w:rPr>
                <w:rFonts w:ascii="Calibri" w:hAnsi="Calibri"/>
                <w:color w:val="333333"/>
                <w:sz w:val="18"/>
              </w:rPr>
              <w:t>0.41</w:t>
            </w:r>
          </w:p>
        </w:tc>
        <w:tc>
          <w:tcPr>
            <w:tcW w:type="dxa" w:w="3360"/>
            <w:shd w:fill="F2F4F8" w:val="clear"/>
          </w:tcPr>
          <w:p>
            <w:r>
              <w:rPr>
                <w:rFonts w:ascii="Calibri" w:hAnsi="Calibri"/>
                <w:color w:val="333333"/>
                <w:sz w:val="18"/>
              </w:rPr>
              <w:t>Moderate</w:t>
            </w:r>
          </w:p>
        </w:tc>
      </w:tr>
      <w:tr>
        <w:tc>
          <w:tcPr>
            <w:tcW w:type="dxa" w:w="3360"/>
          </w:tcPr>
          <w:p>
            <w:r>
              <w:rPr>
                <w:rFonts w:ascii="Calibri" w:hAnsi="Calibri"/>
                <w:color w:val="333333"/>
                <w:sz w:val="18"/>
              </w:rPr>
              <w:t>Cash/Assets</w:t>
            </w:r>
          </w:p>
        </w:tc>
        <w:tc>
          <w:tcPr>
            <w:tcW w:type="dxa" w:w="3360"/>
          </w:tcPr>
          <w:p>
            <w:r>
              <w:rPr>
                <w:rFonts w:ascii="Calibri" w:hAnsi="Calibri"/>
                <w:color w:val="333333"/>
                <w:sz w:val="18"/>
              </w:rPr>
              <w:t>2.4%</w:t>
            </w:r>
          </w:p>
        </w:tc>
        <w:tc>
          <w:tcPr>
            <w:tcW w:type="dxa" w:w="3360"/>
          </w:tcPr>
          <w:p>
            <w:r>
              <w:rPr>
                <w:rFonts w:ascii="Calibri" w:hAnsi="Calibri"/>
                <w:color w:val="333333"/>
                <w:sz w:val="18"/>
              </w:rPr>
            </w:r>
          </w:p>
        </w:tc>
      </w:tr>
    </w:tbl>
    <w:p>
      <w:pPr>
        <w:pStyle w:val="DOHeading2"/>
      </w:pPr>
      <w:r>
        <w:t>Cash Flow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Net cash from operating activities</w:t>
            </w:r>
          </w:p>
        </w:tc>
        <w:tc>
          <w:tcPr>
            <w:tcW w:type="dxa" w:w="2520"/>
          </w:tcPr>
          <w:p>
            <w:r>
              <w:rPr>
                <w:rFonts w:ascii="Calibri" w:hAnsi="Calibri"/>
                <w:color w:val="333333"/>
                <w:sz w:val="18"/>
              </w:rPr>
              <w:t>$55.0B</w:t>
            </w:r>
          </w:p>
        </w:tc>
        <w:tc>
          <w:tcPr>
            <w:tcW w:type="dxa" w:w="2520"/>
          </w:tcPr>
          <w:p>
            <w:r>
              <w:rPr>
                <w:rFonts w:ascii="Calibri" w:hAnsi="Calibri"/>
                <w:color w:val="333333"/>
                <w:sz w:val="18"/>
              </w:rPr>
              <w:t>$52.0B</w:t>
            </w:r>
          </w:p>
        </w:tc>
        <w:tc>
          <w:tcPr>
            <w:tcW w:type="dxa" w:w="2520"/>
            <w:shd w:fill="FFF3CD" w:val="clear"/>
          </w:tcPr>
          <w:p>
            <w:r>
              <w:rPr>
                <w:rFonts w:ascii="Calibri" w:hAnsi="Calibri"/>
                <w:color w:val="333333"/>
                <w:sz w:val="18"/>
              </w:rPr>
              <w:t>-5.5%</w:t>
            </w:r>
          </w:p>
        </w:tc>
      </w:tr>
      <w:tr>
        <w:tc>
          <w:tcPr>
            <w:tcW w:type="dxa" w:w="2520"/>
            <w:shd w:fill="F2F4F8" w:val="clear"/>
          </w:tcPr>
          <w:p>
            <w:r>
              <w:rPr>
                <w:rFonts w:ascii="Calibri" w:hAnsi="Calibri"/>
                <w:color w:val="333333"/>
                <w:sz w:val="18"/>
              </w:rPr>
              <w:t>Net cash from investing activities</w:t>
            </w:r>
          </w:p>
        </w:tc>
        <w:tc>
          <w:tcPr>
            <w:tcW w:type="dxa" w:w="2520"/>
            <w:shd w:fill="F2F4F8" w:val="clear"/>
          </w:tcPr>
          <w:p>
            <w:r>
              <w:rPr>
                <w:rFonts w:ascii="Calibri" w:hAnsi="Calibri"/>
                <w:color w:val="333333"/>
                <w:sz w:val="18"/>
              </w:rPr>
              <w:t>$-19.9B</w:t>
            </w:r>
          </w:p>
        </w:tc>
        <w:tc>
          <w:tcPr>
            <w:tcW w:type="dxa" w:w="2520"/>
            <w:shd w:fill="F2F4F8" w:val="clear"/>
          </w:tcPr>
          <w:p>
            <w:r>
              <w:rPr>
                <w:rFonts w:ascii="Calibri" w:hAnsi="Calibri"/>
                <w:color w:val="333333"/>
                <w:sz w:val="18"/>
              </w:rPr>
              <w:t>$-25.9B</w:t>
            </w:r>
          </w:p>
        </w:tc>
        <w:tc>
          <w:tcPr>
            <w:tcW w:type="dxa" w:w="2520"/>
            <w:shd w:fill="F2F4F8" w:val="clear"/>
            <w:shd w:fill="FCE8E6" w:val="clear"/>
          </w:tcPr>
          <w:p>
            <w:r>
              <w:rPr>
                <w:rFonts w:ascii="Calibri" w:hAnsi="Calibri"/>
                <w:color w:val="333333"/>
                <w:sz w:val="18"/>
              </w:rPr>
              <w:t>-30.0%</w:t>
            </w:r>
          </w:p>
        </w:tc>
      </w:tr>
      <w:tr>
        <w:tc>
          <w:tcPr>
            <w:tcW w:type="dxa" w:w="2520"/>
          </w:tcPr>
          <w:p>
            <w:r>
              <w:rPr>
                <w:rFonts w:ascii="Calibri" w:hAnsi="Calibri"/>
                <w:color w:val="333333"/>
                <w:sz w:val="18"/>
              </w:rPr>
              <w:t>Net cash from financing activities</w:t>
            </w:r>
          </w:p>
        </w:tc>
        <w:tc>
          <w:tcPr>
            <w:tcW w:type="dxa" w:w="2520"/>
          </w:tcPr>
          <w:p>
            <w:r>
              <w:rPr>
                <w:rFonts w:ascii="Calibri" w:hAnsi="Calibri"/>
                <w:color w:val="333333"/>
                <w:sz w:val="18"/>
              </w:rPr>
              <w:t>$-42.8B</w:t>
            </w:r>
          </w:p>
        </w:tc>
        <w:tc>
          <w:tcPr>
            <w:tcW w:type="dxa" w:w="2520"/>
          </w:tcPr>
          <w:p>
            <w:r>
              <w:rPr>
                <w:rFonts w:ascii="Calibri" w:hAnsi="Calibri"/>
                <w:color w:val="333333"/>
                <w:sz w:val="18"/>
              </w:rPr>
              <w:t>$-39.1B</w:t>
            </w:r>
          </w:p>
        </w:tc>
        <w:tc>
          <w:tcPr>
            <w:tcW w:type="dxa" w:w="2520"/>
            <w:shd w:fill="FFF3CD" w:val="clear"/>
          </w:tcPr>
          <w:p>
            <w:r>
              <w:rPr>
                <w:rFonts w:ascii="Calibri" w:hAnsi="Calibri"/>
                <w:color w:val="333333"/>
                <w:sz w:val="18"/>
              </w:rPr>
              <w:t>8.7%</w:t>
            </w:r>
          </w:p>
        </w:tc>
      </w:tr>
      <w:tr>
        <w:tc>
          <w:tcPr>
            <w:tcW w:type="dxa" w:w="2520"/>
            <w:shd w:fill="F2F4F8" w:val="clear"/>
          </w:tcPr>
          <w:p>
            <w:r>
              <w:rPr>
                <w:rFonts w:ascii="Calibri" w:hAnsi="Calibri"/>
                <w:color w:val="333333"/>
                <w:sz w:val="18"/>
              </w:rPr>
              <w:t>Capital expenditures</w:t>
            </w:r>
          </w:p>
        </w:tc>
        <w:tc>
          <w:tcPr>
            <w:tcW w:type="dxa" w:w="2520"/>
            <w:shd w:fill="F2F4F8" w:val="clear"/>
          </w:tcPr>
          <w:p>
            <w:r>
              <w:rPr>
                <w:rFonts w:ascii="Calibri" w:hAnsi="Calibri"/>
                <w:color w:val="333333"/>
                <w:sz w:val="18"/>
              </w:rPr>
              <w:t>$24.3B</w:t>
            </w:r>
          </w:p>
        </w:tc>
        <w:tc>
          <w:tcPr>
            <w:tcW w:type="dxa" w:w="2520"/>
            <w:shd w:fill="F2F4F8" w:val="clear"/>
          </w:tcPr>
          <w:p>
            <w:r>
              <w:rPr>
                <w:rFonts w:ascii="Calibri" w:hAnsi="Calibri"/>
                <w:color w:val="333333"/>
                <w:sz w:val="18"/>
              </w:rPr>
              <w:t>$28.4B</w:t>
            </w:r>
          </w:p>
        </w:tc>
        <w:tc>
          <w:tcPr>
            <w:tcW w:type="dxa" w:w="2520"/>
            <w:shd w:fill="F2F4F8" w:val="clear"/>
            <w:shd w:fill="DCEEF8" w:val="clear"/>
          </w:tcPr>
          <w:p>
            <w:r>
              <w:rPr>
                <w:rFonts w:ascii="Calibri" w:hAnsi="Calibri"/>
                <w:color w:val="333333"/>
                <w:sz w:val="18"/>
              </w:rPr>
              <w:t>16.7%</w:t>
            </w:r>
          </w:p>
        </w:tc>
      </w:tr>
      <w:tr>
        <w:tc>
          <w:tcPr>
            <w:tcW w:type="dxa" w:w="2520"/>
          </w:tcPr>
          <w:p>
            <w:r>
              <w:rPr>
                <w:rFonts w:ascii="Calibri" w:hAnsi="Calibri"/>
                <w:color w:val="333333"/>
                <w:sz w:val="18"/>
              </w:rPr>
              <w:t>Depreciation and amortization</w:t>
            </w:r>
          </w:p>
        </w:tc>
        <w:tc>
          <w:tcPr>
            <w:tcW w:type="dxa" w:w="2520"/>
          </w:tcPr>
          <w:p>
            <w:r>
              <w:rPr>
                <w:rFonts w:ascii="Calibri" w:hAnsi="Calibri"/>
                <w:color w:val="333333"/>
                <w:sz w:val="18"/>
              </w:rPr>
              <w:t>$23.4B</w:t>
            </w:r>
          </w:p>
        </w:tc>
        <w:tc>
          <w:tcPr>
            <w:tcW w:type="dxa" w:w="2520"/>
          </w:tcPr>
          <w:p>
            <w:r>
              <w:rPr>
                <w:rFonts w:ascii="Calibri" w:hAnsi="Calibri"/>
                <w:color w:val="333333"/>
                <w:sz w:val="18"/>
              </w:rPr>
              <w:t>$26.0B</w:t>
            </w:r>
          </w:p>
        </w:tc>
        <w:tc>
          <w:tcPr>
            <w:tcW w:type="dxa" w:w="2520"/>
            <w:shd w:fill="DCEEF8" w:val="clear"/>
          </w:tcPr>
          <w:p>
            <w:r>
              <w:rPr>
                <w:rFonts w:ascii="Calibri" w:hAnsi="Calibri"/>
                <w:color w:val="333333"/>
                <w:sz w:val="18"/>
              </w:rPr>
              <w:t>10.9%</w:t>
            </w:r>
          </w:p>
        </w:tc>
      </w:tr>
      <w:tr>
        <w:tc>
          <w:tcPr>
            <w:tcW w:type="dxa" w:w="2520"/>
            <w:shd w:fill="F2F4F8" w:val="clear"/>
          </w:tcPr>
          <w:p>
            <w:r>
              <w:rPr>
                <w:rFonts w:ascii="Calibri" w:hAnsi="Calibri"/>
                <w:color w:val="333333"/>
                <w:sz w:val="18"/>
              </w:rPr>
              <w:t>Dividends paid</w:t>
            </w:r>
          </w:p>
        </w:tc>
        <w:tc>
          <w:tcPr>
            <w:tcW w:type="dxa" w:w="2520"/>
            <w:shd w:fill="F2F4F8" w:val="clear"/>
          </w:tcPr>
          <w:p>
            <w:r>
              <w:rPr>
                <w:rFonts w:ascii="Calibri" w:hAnsi="Calibri"/>
                <w:color w:val="333333"/>
                <w:sz w:val="18"/>
              </w:rPr>
              <w:t>$16.7B</w:t>
            </w:r>
          </w:p>
        </w:tc>
        <w:tc>
          <w:tcPr>
            <w:tcW w:type="dxa" w:w="2520"/>
            <w:shd w:fill="F2F4F8" w:val="clear"/>
          </w:tcPr>
          <w:p>
            <w:r>
              <w:rPr>
                <w:rFonts w:ascii="Calibri" w:hAnsi="Calibri"/>
                <w:color w:val="333333"/>
                <w:sz w:val="18"/>
              </w:rPr>
              <w:t>$17.2B</w:t>
            </w:r>
          </w:p>
        </w:tc>
        <w:tc>
          <w:tcPr>
            <w:tcW w:type="dxa" w:w="2520"/>
            <w:shd w:fill="F2F4F8" w:val="clear"/>
            <w:shd w:fill="FFF3CD" w:val="clear"/>
          </w:tcPr>
          <w:p>
            <w:r>
              <w:rPr>
                <w:rFonts w:ascii="Calibri" w:hAnsi="Calibri"/>
                <w:color w:val="333333"/>
                <w:sz w:val="18"/>
              </w:rPr>
              <w:t>3.1%</w:t>
            </w:r>
          </w:p>
        </w:tc>
      </w:tr>
      <w:tr>
        <w:tc>
          <w:tcPr>
            <w:tcW w:type="dxa" w:w="2520"/>
          </w:tcPr>
          <w:p>
            <w:r>
              <w:rPr>
                <w:rFonts w:ascii="Calibri" w:hAnsi="Calibri"/>
                <w:color w:val="333333"/>
                <w:sz w:val="18"/>
              </w:rPr>
              <w:t>Share repurchases / buybacks</w:t>
            </w:r>
          </w:p>
        </w:tc>
        <w:tc>
          <w:tcPr>
            <w:tcW w:type="dxa" w:w="2520"/>
          </w:tcPr>
          <w:p>
            <w:r>
              <w:rPr>
                <w:rFonts w:ascii="Calibri" w:hAnsi="Calibri"/>
                <w:color w:val="333333"/>
                <w:sz w:val="18"/>
              </w:rPr>
              <w:t>$19.6B</w:t>
            </w:r>
          </w:p>
        </w:tc>
        <w:tc>
          <w:tcPr>
            <w:tcW w:type="dxa" w:w="2520"/>
          </w:tcPr>
          <w:p>
            <w:r>
              <w:rPr>
                <w:rFonts w:ascii="Calibri" w:hAnsi="Calibri"/>
                <w:color w:val="333333"/>
                <w:sz w:val="18"/>
              </w:rPr>
              <w:t>$20.3B</w:t>
            </w:r>
          </w:p>
        </w:tc>
        <w:tc>
          <w:tcPr>
            <w:tcW w:type="dxa" w:w="2520"/>
            <w:shd w:fill="FFF3CD" w:val="clear"/>
          </w:tcPr>
          <w:p>
            <w:r>
              <w:rPr>
                <w:rFonts w:ascii="Calibri" w:hAnsi="Calibri"/>
                <w:color w:val="333333"/>
                <w:sz w:val="18"/>
              </w:rPr>
              <w:t>3.3%</w:t>
            </w:r>
          </w:p>
        </w:tc>
      </w:tr>
      <w:tr>
        <w:tc>
          <w:tcPr>
            <w:tcW w:type="dxa" w:w="2520"/>
            <w:shd w:fill="F2F4F8" w:val="clear"/>
          </w:tcPr>
          <w:p>
            <w:r>
              <w:rPr>
                <w:rFonts w:ascii="Calibri" w:hAnsi="Calibri"/>
                <w:color w:val="333333"/>
                <w:sz w:val="18"/>
              </w:rPr>
              <w:t>Proceeds from issuance of debt</w:t>
            </w:r>
          </w:p>
        </w:tc>
        <w:tc>
          <w:tcPr>
            <w:tcW w:type="dxa" w:w="2520"/>
            <w:shd w:fill="F2F4F8" w:val="clear"/>
          </w:tcPr>
          <w:p>
            <w:r>
              <w:rPr>
                <w:rFonts w:ascii="Calibri" w:hAnsi="Calibri"/>
                <w:color w:val="333333"/>
                <w:sz w:val="18"/>
              </w:rPr>
              <w:t>$899.0M</w:t>
            </w:r>
          </w:p>
        </w:tc>
        <w:tc>
          <w:tcPr>
            <w:tcW w:type="dxa" w:w="2520"/>
            <w:shd w:fill="F2F4F8" w:val="clear"/>
          </w:tcPr>
          <w:p>
            <w:r>
              <w:rPr>
                <w:rFonts w:ascii="Calibri" w:hAnsi="Calibri"/>
                <w:color w:val="333333"/>
                <w:sz w:val="18"/>
              </w:rPr>
              <w:t>$2.3B</w:t>
            </w:r>
          </w:p>
        </w:tc>
        <w:tc>
          <w:tcPr>
            <w:tcW w:type="dxa" w:w="2520"/>
            <w:shd w:fill="F2F4F8" w:val="clear"/>
            <w:shd w:fill="DCEEF8" w:val="clear"/>
          </w:tcPr>
          <w:p>
            <w:r>
              <w:rPr>
                <w:rFonts w:ascii="Calibri" w:hAnsi="Calibri"/>
                <w:color w:val="333333"/>
                <w:sz w:val="18"/>
              </w:rPr>
              <w:t>157.1%</w:t>
            </w:r>
          </w:p>
        </w:tc>
      </w:tr>
      <w:tr>
        <w:tc>
          <w:tcPr>
            <w:tcW w:type="dxa" w:w="2520"/>
          </w:tcPr>
          <w:p>
            <w:r>
              <w:rPr>
                <w:rFonts w:ascii="Calibri" w:hAnsi="Calibri"/>
                <w:color w:val="333333"/>
                <w:sz w:val="18"/>
              </w:rPr>
              <w:t>Repayments of debt</w:t>
            </w:r>
          </w:p>
        </w:tc>
        <w:tc>
          <w:tcPr>
            <w:tcW w:type="dxa" w:w="2520"/>
          </w:tcPr>
          <w:p>
            <w:r>
              <w:rPr>
                <w:rFonts w:ascii="Calibri" w:hAnsi="Calibri"/>
                <w:color w:val="333333"/>
                <w:sz w:val="18"/>
              </w:rPr>
              <w:t>$1.1B</w:t>
            </w:r>
          </w:p>
        </w:tc>
        <w:tc>
          <w:tcPr>
            <w:tcW w:type="dxa" w:w="2520"/>
          </w:tcPr>
          <w:p>
            <w:r>
              <w:rPr>
                <w:rFonts w:ascii="Calibri" w:hAnsi="Calibri"/>
                <w:color w:val="333333"/>
                <w:sz w:val="18"/>
              </w:rPr>
              <w:t>$1.1B</w:t>
            </w:r>
          </w:p>
        </w:tc>
        <w:tc>
          <w:tcPr>
            <w:tcW w:type="dxa" w:w="2520"/>
            <w:shd w:fill="FFF3CD" w:val="clear"/>
          </w:tcPr>
          <w:p>
            <w:r>
              <w:rPr>
                <w:rFonts w:ascii="Calibri" w:hAnsi="Calibri"/>
                <w:color w:val="333333"/>
                <w:sz w:val="18"/>
              </w:rPr>
              <w:t>-3.6%</w:t>
            </w:r>
          </w:p>
        </w:tc>
      </w:tr>
      <w:tr>
        <w:tc>
          <w:tcPr>
            <w:tcW w:type="dxa" w:w="2520"/>
            <w:shd w:fill="F2F4F8" w:val="clear"/>
          </w:tcPr>
          <w:p>
            <w:r>
              <w:rPr>
                <w:rFonts w:ascii="Calibri" w:hAnsi="Calibri"/>
                <w:color w:val="333333"/>
                <w:sz w:val="18"/>
              </w:rPr>
              <w:t>Interest paid (supplemental)</w:t>
            </w:r>
          </w:p>
        </w:tc>
        <w:tc>
          <w:tcPr>
            <w:tcW w:type="dxa" w:w="2520"/>
            <w:shd w:fill="F2F4F8" w:val="clear"/>
          </w:tcPr>
          <w:p>
            <w:r>
              <w:rPr>
                <w:rFonts w:ascii="Calibri" w:hAnsi="Calibri"/>
                <w:color w:val="333333"/>
                <w:sz w:val="18"/>
              </w:rPr>
              <w:t>$624.0M</w:t>
            </w:r>
          </w:p>
        </w:tc>
        <w:tc>
          <w:tcPr>
            <w:tcW w:type="dxa" w:w="2520"/>
            <w:shd w:fill="F2F4F8" w:val="clear"/>
          </w:tcPr>
          <w:p>
            <w:r>
              <w:rPr>
                <w:rFonts w:ascii="Calibri" w:hAnsi="Calibri"/>
                <w:color w:val="333333"/>
                <w:sz w:val="18"/>
              </w:rPr>
              <w:t>$218.0M</w:t>
            </w:r>
          </w:p>
        </w:tc>
        <w:tc>
          <w:tcPr>
            <w:tcW w:type="dxa" w:w="2520"/>
            <w:shd w:fill="F2F4F8" w:val="clear"/>
            <w:shd w:fill="FCE8E6" w:val="clear"/>
          </w:tcPr>
          <w:p>
            <w:r>
              <w:rPr>
                <w:rFonts w:ascii="Calibri" w:hAnsi="Calibri"/>
                <w:color w:val="333333"/>
                <w:sz w:val="18"/>
              </w:rPr>
              <w:t>-65.1%</w:t>
            </w:r>
          </w:p>
        </w:tc>
      </w:tr>
      <w:tr>
        <w:tc>
          <w:tcPr>
            <w:tcW w:type="dxa" w:w="2520"/>
          </w:tcPr>
          <w:p>
            <w:r>
              <w:rPr>
                <w:rFonts w:ascii="Calibri" w:hAnsi="Calibri"/>
                <w:color w:val="333333"/>
                <w:sz w:val="18"/>
              </w:rPr>
              <w:t>Income taxes paid (supplemental)</w:t>
            </w:r>
          </w:p>
        </w:tc>
        <w:tc>
          <w:tcPr>
            <w:tcW w:type="dxa" w:w="2520"/>
          </w:tcPr>
          <w:p>
            <w:r>
              <w:rPr>
                <w:rFonts w:ascii="Calibri" w:hAnsi="Calibri"/>
                <w:color w:val="333333"/>
                <w:sz w:val="18"/>
              </w:rPr>
              <w:t>$13.3B</w:t>
            </w:r>
          </w:p>
        </w:tc>
        <w:tc>
          <w:tcPr>
            <w:tcW w:type="dxa" w:w="2520"/>
          </w:tcPr>
          <w:p>
            <w:r>
              <w:rPr>
                <w:rFonts w:ascii="Calibri" w:hAnsi="Calibri"/>
                <w:color w:val="333333"/>
                <w:sz w:val="18"/>
              </w:rPr>
              <w:t>$11.6B</w:t>
            </w:r>
          </w:p>
        </w:tc>
        <w:tc>
          <w:tcPr>
            <w:tcW w:type="dxa" w:w="2520"/>
            <w:shd w:fill="FCE8E6" w:val="clear"/>
          </w:tcPr>
          <w:p>
            <w:r>
              <w:rPr>
                <w:rFonts w:ascii="Calibri" w:hAnsi="Calibri"/>
                <w:color w:val="333333"/>
                <w:sz w:val="18"/>
              </w:rPr>
              <w:t>-13.0%</w:t>
            </w:r>
          </w:p>
        </w:tc>
      </w:tr>
      <w:tr>
        <w:tc>
          <w:tcPr>
            <w:tcW w:type="dxa" w:w="2520"/>
            <w:shd w:fill="F2F4F8" w:val="clear"/>
          </w:tcPr>
          <w:p>
            <w:r>
              <w:rPr>
                <w:rFonts w:ascii="Calibri" w:hAnsi="Calibri"/>
                <w:color w:val="333333"/>
                <w:sz w:val="18"/>
              </w:rPr>
              <w:t>Net increase/decrease in cash and equivalents</w:t>
            </w:r>
          </w:p>
        </w:tc>
        <w:tc>
          <w:tcPr>
            <w:tcW w:type="dxa" w:w="2520"/>
            <w:shd w:fill="F2F4F8" w:val="clear"/>
          </w:tcPr>
          <w:p>
            <w:r>
              <w:rPr>
                <w:rFonts w:ascii="Calibri" w:hAnsi="Calibri"/>
                <w:color w:val="333333"/>
                <w:sz w:val="18"/>
              </w:rPr>
              <w:t>$-8.4B</w:t>
            </w:r>
          </w:p>
        </w:tc>
        <w:tc>
          <w:tcPr>
            <w:tcW w:type="dxa" w:w="2520"/>
            <w:shd w:fill="F2F4F8" w:val="clear"/>
          </w:tcPr>
          <w:p>
            <w:r>
              <w:rPr>
                <w:rFonts w:ascii="Calibri" w:hAnsi="Calibri"/>
                <w:color w:val="333333"/>
                <w:sz w:val="18"/>
              </w:rPr>
              <w:t>$-12.5B</w:t>
            </w:r>
          </w:p>
        </w:tc>
        <w:tc>
          <w:tcPr>
            <w:tcW w:type="dxa" w:w="2520"/>
            <w:shd w:fill="F2F4F8" w:val="clear"/>
            <w:shd w:fill="FCE8E6" w:val="clear"/>
          </w:tcPr>
          <w:p>
            <w:r>
              <w:rPr>
                <w:rFonts w:ascii="Calibri" w:hAnsi="Calibri"/>
                <w:color w:val="333333"/>
                <w:sz w:val="18"/>
              </w:rPr>
              <w:t>-49.2%</w:t>
            </w:r>
          </w:p>
        </w:tc>
      </w:tr>
      <w:tr>
        <w:tc>
          <w:tcPr>
            <w:tcW w:type="dxa" w:w="2520"/>
          </w:tcPr>
          <w:p>
            <w:r>
              <w:rPr>
                <w:rFonts w:ascii="Calibri" w:hAnsi="Calibri"/>
                <w:color w:val="333333"/>
                <w:sz w:val="18"/>
              </w:rPr>
              <w:t>Deferred income taxes (cash flow adjustment)</w:t>
            </w:r>
          </w:p>
        </w:tc>
        <w:tc>
          <w:tcPr>
            <w:tcW w:type="dxa" w:w="2520"/>
          </w:tcPr>
          <w:p>
            <w:r>
              <w:rPr>
                <w:rFonts w:ascii="Calibri" w:hAnsi="Calibri"/>
                <w:color w:val="333333"/>
                <w:sz w:val="18"/>
              </w:rPr>
              <w:t>$-865.0M</w:t>
            </w:r>
          </w:p>
        </w:tc>
        <w:tc>
          <w:tcPr>
            <w:tcW w:type="dxa" w:w="2520"/>
          </w:tcPr>
          <w:p>
            <w:r>
              <w:rPr>
                <w:rFonts w:ascii="Calibri" w:hAnsi="Calibri"/>
                <w:color w:val="333333"/>
                <w:sz w:val="18"/>
              </w:rPr>
              <w:t>$765.0M</w:t>
            </w:r>
          </w:p>
        </w:tc>
        <w:tc>
          <w:tcPr>
            <w:tcW w:type="dxa" w:w="2520"/>
            <w:shd w:fill="DCEEF8" w:val="clear"/>
          </w:tcPr>
          <w:p>
            <w:r>
              <w:rPr>
                <w:rFonts w:ascii="Calibri" w:hAnsi="Calibri"/>
                <w:color w:val="333333"/>
                <w:sz w:val="18"/>
              </w:rPr>
              <w:t>188.4%</w:t>
            </w:r>
          </w:p>
        </w:tc>
      </w:tr>
      <w:tr>
        <w:tc>
          <w:tcPr>
            <w:tcW w:type="dxa" w:w="2520"/>
            <w:shd w:fill="F2F4F8" w:val="clear"/>
          </w:tcPr>
          <w:p>
            <w:r>
              <w:rPr>
                <w:rFonts w:ascii="Calibri" w:hAnsi="Calibri"/>
                <w:color w:val="333333"/>
                <w:sz w:val="18"/>
              </w:rPr>
              <w:t>Change in inventory</w:t>
            </w:r>
          </w:p>
        </w:tc>
        <w:tc>
          <w:tcPr>
            <w:tcW w:type="dxa" w:w="2520"/>
            <w:shd w:fill="F2F4F8" w:val="clear"/>
          </w:tcPr>
          <w:p>
            <w:r>
              <w:rPr>
                <w:rFonts w:ascii="Calibri" w:hAnsi="Calibri"/>
                <w:color w:val="333333"/>
                <w:sz w:val="18"/>
              </w:rPr>
              <w:t>$1.8B</w:t>
            </w:r>
          </w:p>
        </w:tc>
        <w:tc>
          <w:tcPr>
            <w:tcW w:type="dxa" w:w="2520"/>
            <w:shd w:fill="F2F4F8" w:val="clear"/>
          </w:tcPr>
          <w:p>
            <w:r>
              <w:rPr>
                <w:rFonts w:ascii="Calibri" w:hAnsi="Calibri"/>
                <w:color w:val="333333"/>
                <w:sz w:val="18"/>
              </w:rPr>
              <w:t>$4.3B</w:t>
            </w:r>
          </w:p>
        </w:tc>
        <w:tc>
          <w:tcPr>
            <w:tcW w:type="dxa" w:w="2520"/>
            <w:shd w:fill="F2F4F8" w:val="clear"/>
            <w:shd w:fill="DCEEF8" w:val="clear"/>
          </w:tcPr>
          <w:p>
            <w:r>
              <w:rPr>
                <w:rFonts w:ascii="Calibri" w:hAnsi="Calibri"/>
                <w:color w:val="333333"/>
                <w:sz w:val="18"/>
              </w:rPr>
              <w:t>137.3%</w:t>
            </w:r>
          </w:p>
        </w:tc>
      </w:tr>
      <w:tr>
        <w:tc>
          <w:tcPr>
            <w:tcW w:type="dxa" w:w="2520"/>
          </w:tcPr>
          <w:p>
            <w:r>
              <w:rPr>
                <w:rFonts w:ascii="Calibri" w:hAnsi="Calibri"/>
                <w:color w:val="333333"/>
                <w:sz w:val="18"/>
              </w:rPr>
              <w:t>Change in accounts payable</w:t>
            </w:r>
          </w:p>
        </w:tc>
        <w:tc>
          <w:tcPr>
            <w:tcW w:type="dxa" w:w="2520"/>
          </w:tcPr>
          <w:p>
            <w:r>
              <w:rPr>
                <w:rFonts w:ascii="Calibri" w:hAnsi="Calibri"/>
                <w:color w:val="333333"/>
                <w:sz w:val="18"/>
              </w:rPr>
              <w:t>$5.6B</w:t>
            </w:r>
          </w:p>
        </w:tc>
        <w:tc>
          <w:tcPr>
            <w:tcW w:type="dxa" w:w="2520"/>
          </w:tcPr>
          <w:p>
            <w:r>
              <w:rPr>
                <w:rFonts w:ascii="Calibri" w:hAnsi="Calibri"/>
                <w:color w:val="333333"/>
                <w:sz w:val="18"/>
              </w:rPr>
              <w:t>$-222.0M</w:t>
            </w:r>
          </w:p>
        </w:tc>
        <w:tc>
          <w:tcPr>
            <w:tcW w:type="dxa" w:w="2520"/>
            <w:shd w:fill="FCE8E6" w:val="clear"/>
          </w:tcPr>
          <w:p>
            <w:r>
              <w:rPr>
                <w:rFonts w:ascii="Calibri" w:hAnsi="Calibri"/>
                <w:color w:val="333333"/>
                <w:sz w:val="18"/>
              </w:rPr>
              <w:t>-104.0%</w:t>
            </w:r>
          </w:p>
        </w:tc>
      </w:tr>
      <w:tr>
        <w:tc>
          <w:tcPr>
            <w:tcW w:type="dxa" w:w="2520"/>
            <w:shd w:fill="F2F4F8" w:val="clear"/>
          </w:tcPr>
          <w:p>
            <w:r>
              <w:rPr>
                <w:rFonts w:ascii="Calibri" w:hAnsi="Calibri"/>
                <w:color w:val="333333"/>
                <w:sz w:val="18"/>
              </w:rPr>
              <w:t>Effect of exchange rate changes on cash</w:t>
            </w:r>
          </w:p>
        </w:tc>
        <w:tc>
          <w:tcPr>
            <w:tcW w:type="dxa" w:w="2520"/>
            <w:shd w:fill="F2F4F8" w:val="clear"/>
          </w:tcPr>
          <w:p>
            <w:r>
              <w:rPr>
                <w:rFonts w:ascii="Calibri" w:hAnsi="Calibri"/>
                <w:color w:val="333333"/>
                <w:sz w:val="18"/>
              </w:rPr>
              <w:t>$-676.0M</w:t>
            </w:r>
          </w:p>
        </w:tc>
        <w:tc>
          <w:tcPr>
            <w:tcW w:type="dxa" w:w="2520"/>
            <w:shd w:fill="F2F4F8" w:val="clear"/>
          </w:tcPr>
          <w:p>
            <w:r>
              <w:rPr>
                <w:rFonts w:ascii="Calibri" w:hAnsi="Calibri"/>
                <w:color w:val="333333"/>
                <w:sz w:val="18"/>
              </w:rPr>
              <w:t>$532.0M</w:t>
            </w:r>
          </w:p>
        </w:tc>
        <w:tc>
          <w:tcPr>
            <w:tcW w:type="dxa" w:w="2520"/>
            <w:shd w:fill="F2F4F8" w:val="clear"/>
            <w:shd w:fill="DCEEF8" w:val="clear"/>
          </w:tcPr>
          <w:p>
            <w:r>
              <w:rPr>
                <w:rFonts w:ascii="Calibri" w:hAnsi="Calibri"/>
                <w:color w:val="333333"/>
                <w:sz w:val="18"/>
              </w:rPr>
              <w:t>178.7%</w:t>
            </w:r>
          </w:p>
        </w:tc>
      </w:tr>
      <w:tr>
        <w:tc>
          <w:tcPr>
            <w:tcW w:type="dxa" w:w="2520"/>
          </w:tcPr>
          <w:p>
            <w:r>
              <w:rPr>
                <w:rFonts w:ascii="Calibri" w:hAnsi="Calibri"/>
                <w:color w:val="333333"/>
                <w:sz w:val="18"/>
              </w:rPr>
              <w:t>Free cash flow</w:t>
            </w:r>
          </w:p>
        </w:tc>
        <w:tc>
          <w:tcPr>
            <w:tcW w:type="dxa" w:w="2520"/>
          </w:tcPr>
          <w:p>
            <w:r>
              <w:rPr>
                <w:rFonts w:ascii="Calibri" w:hAnsi="Calibri"/>
                <w:color w:val="333333"/>
                <w:sz w:val="18"/>
              </w:rPr>
              <w:t>$30.7B</w:t>
            </w:r>
          </w:p>
        </w:tc>
        <w:tc>
          <w:tcPr>
            <w:tcW w:type="dxa" w:w="2520"/>
          </w:tcPr>
          <w:p>
            <w:r>
              <w:rPr>
                <w:rFonts w:ascii="Calibri" w:hAnsi="Calibri"/>
                <w:color w:val="333333"/>
                <w:sz w:val="18"/>
              </w:rPr>
              <w:t>$23.6B</w:t>
            </w:r>
          </w:p>
        </w:tc>
        <w:tc>
          <w:tcPr>
            <w:tcW w:type="dxa" w:w="2520"/>
            <w:shd w:fill="FCE8E6" w:val="clear"/>
          </w:tcPr>
          <w:p>
            <w:r>
              <w:rPr>
                <w:rFonts w:ascii="Calibri" w:hAnsi="Calibri"/>
                <w:color w:val="333333"/>
                <w:sz w:val="18"/>
              </w:rPr>
              <w:t>-23.1%</w:t>
            </w:r>
          </w:p>
        </w:tc>
      </w:tr>
      <w:tr>
        <w:tc>
          <w:tcPr>
            <w:tcW w:type="dxa" w:w="2520"/>
            <w:shd w:fill="F2F4F8" w:val="clear"/>
          </w:tcPr>
          <w:p>
            <w:r>
              <w:rPr>
                <w:rFonts w:ascii="Calibri" w:hAnsi="Calibri"/>
                <w:color w:val="333333"/>
                <w:sz w:val="18"/>
              </w:rPr>
              <w:t>FCF-to-revenue ratio</w:t>
            </w:r>
          </w:p>
        </w:tc>
        <w:tc>
          <w:tcPr>
            <w:tcW w:type="dxa" w:w="2520"/>
            <w:shd w:fill="F2F4F8" w:val="clear"/>
          </w:tcPr>
          <w:p>
            <w:r>
              <w:rPr>
                <w:rFonts w:ascii="Calibri" w:hAnsi="Calibri"/>
                <w:color w:val="333333"/>
                <w:sz w:val="18"/>
              </w:rPr>
              <w:t>$9</w:t>
            </w:r>
          </w:p>
        </w:tc>
        <w:tc>
          <w:tcPr>
            <w:tcW w:type="dxa" w:w="2520"/>
            <w:shd w:fill="F2F4F8" w:val="clear"/>
          </w:tcPr>
          <w:p>
            <w:r>
              <w:rPr>
                <w:rFonts w:ascii="Calibri" w:hAnsi="Calibri"/>
                <w:color w:val="333333"/>
                <w:sz w:val="18"/>
              </w:rPr>
              <w:t>$7</w:t>
            </w:r>
          </w:p>
        </w:tc>
        <w:tc>
          <w:tcPr>
            <w:tcW w:type="dxa" w:w="2520"/>
            <w:shd w:fill="F2F4F8" w:val="clear"/>
            <w:shd w:fill="FCE8E6" w:val="clear"/>
          </w:tcPr>
          <w:p>
            <w:r>
              <w:rPr>
                <w:rFonts w:ascii="Calibri" w:hAnsi="Calibri"/>
                <w:color w:val="333333"/>
                <w:sz w:val="18"/>
              </w:rPr>
              <w:t>-19.1%</w:t>
            </w:r>
          </w:p>
        </w:tc>
      </w:tr>
      <w:tr>
        <w:tc>
          <w:tcPr>
            <w:tcW w:type="dxa" w:w="2520"/>
          </w:tcPr>
          <w:p>
            <w:r>
              <w:rPr>
                <w:rFonts w:ascii="Calibri" w:hAnsi="Calibri"/>
                <w:color w:val="333333"/>
                <w:sz w:val="18"/>
              </w:rPr>
              <w:t>Capex-to-revenue ratio</w:t>
            </w:r>
          </w:p>
        </w:tc>
        <w:tc>
          <w:tcPr>
            <w:tcW w:type="dxa" w:w="2520"/>
          </w:tcPr>
          <w:p>
            <w:r>
              <w:rPr>
                <w:rFonts w:ascii="Calibri" w:hAnsi="Calibri"/>
                <w:color w:val="333333"/>
                <w:sz w:val="18"/>
              </w:rPr>
              <w:t>$7</w:t>
            </w:r>
          </w:p>
        </w:tc>
        <w:tc>
          <w:tcPr>
            <w:tcW w:type="dxa" w:w="2520"/>
          </w:tcPr>
          <w:p>
            <w:r>
              <w:rPr>
                <w:rFonts w:ascii="Calibri" w:hAnsi="Calibri"/>
                <w:color w:val="333333"/>
                <w:sz w:val="18"/>
              </w:rPr>
              <w:t>$9</w:t>
            </w:r>
          </w:p>
        </w:tc>
        <w:tc>
          <w:tcPr>
            <w:tcW w:type="dxa" w:w="2520"/>
            <w:shd w:fill="DCEEF8" w:val="clear"/>
          </w:tcPr>
          <w:p>
            <w:r>
              <w:rPr>
                <w:rFonts w:ascii="Calibri" w:hAnsi="Calibri"/>
                <w:color w:val="333333"/>
                <w:sz w:val="18"/>
              </w:rPr>
              <w:t>22.9%</w:t>
            </w:r>
          </w:p>
        </w:tc>
      </w:tr>
      <w:tr>
        <w:tc>
          <w:tcPr>
            <w:tcW w:type="dxa" w:w="2520"/>
            <w:shd w:fill="F2F4F8" w:val="clear"/>
          </w:tcPr>
          <w:p>
            <w:r>
              <w:rPr>
                <w:rFonts w:ascii="Calibri" w:hAnsi="Calibri"/>
                <w:color w:val="333333"/>
                <w:sz w:val="18"/>
              </w:rPr>
              <w:t>Capex-to-depreciation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$1</w:t>
            </w:r>
          </w:p>
        </w:tc>
        <w:tc>
          <w:tcPr>
            <w:tcW w:type="dxa" w:w="2520"/>
            <w:shd w:fill="F2F4F8" w:val="clear"/>
            <w:shd w:fill="FFF3CD" w:val="clear"/>
          </w:tcPr>
          <w:p>
            <w:r>
              <w:rPr>
                <w:rFonts w:ascii="Calibri" w:hAnsi="Calibri"/>
                <w:color w:val="333333"/>
                <w:sz w:val="18"/>
              </w:rPr>
              <w:t>5.2%</w:t>
            </w:r>
          </w:p>
        </w:tc>
      </w:tr>
      <w:tr>
        <w:tc>
          <w:tcPr>
            <w:tcW w:type="dxa" w:w="2520"/>
          </w:tcPr>
          <w:p>
            <w:r>
              <w:rPr>
                <w:rFonts w:ascii="Calibri" w:hAnsi="Calibri"/>
                <w:color w:val="333333"/>
                <w:sz w:val="18"/>
              </w:rPr>
              <w:t>Dividend payout ratio</w:t>
            </w:r>
          </w:p>
        </w:tc>
        <w:tc>
          <w:tcPr>
            <w:tcW w:type="dxa" w:w="2520"/>
          </w:tcPr>
          <w:p>
            <w:r>
              <w:rPr>
                <w:rFonts w:ascii="Calibri" w:hAnsi="Calibri"/>
                <w:color w:val="333333"/>
                <w:sz w:val="18"/>
              </w:rPr>
              <w:t>$50</w:t>
            </w:r>
          </w:p>
        </w:tc>
        <w:tc>
          <w:tcPr>
            <w:tcW w:type="dxa" w:w="2520"/>
          </w:tcPr>
          <w:p>
            <w:r>
              <w:rPr>
                <w:rFonts w:ascii="Calibri" w:hAnsi="Calibri"/>
                <w:color w:val="333333"/>
                <w:sz w:val="18"/>
              </w:rPr>
              <w:t>$60</w:t>
            </w:r>
          </w:p>
        </w:tc>
        <w:tc>
          <w:tcPr>
            <w:tcW w:type="dxa" w:w="2520"/>
            <w:shd w:fill="DCEEF8" w:val="clear"/>
          </w:tcPr>
          <w:p>
            <w:r>
              <w:rPr>
                <w:rFonts w:ascii="Calibri" w:hAnsi="Calibri"/>
                <w:color w:val="333333"/>
                <w:sz w:val="18"/>
              </w:rPr>
              <w:t>20.4%</w:t>
            </w:r>
          </w:p>
        </w:tc>
      </w:tr>
      <w:tr>
        <w:tc>
          <w:tcPr>
            <w:tcW w:type="dxa" w:w="2520"/>
            <w:shd w:fill="F2F4F8" w:val="clear"/>
          </w:tcPr>
          <w:p>
            <w:r>
              <w:rPr>
                <w:rFonts w:ascii="Calibri" w:hAnsi="Calibri"/>
                <w:color w:val="333333"/>
                <w:sz w:val="18"/>
              </w:rPr>
              <w:t>Free cash flow per share</w:t>
            </w:r>
          </w:p>
        </w:tc>
        <w:tc>
          <w:tcPr>
            <w:tcW w:type="dxa" w:w="2520"/>
            <w:shd w:fill="F2F4F8" w:val="clear"/>
          </w:tcPr>
          <w:p>
            <w:r>
              <w:rPr>
                <w:rFonts w:ascii="Calibri" w:hAnsi="Calibri"/>
                <w:color w:val="333333"/>
                <w:sz w:val="18"/>
              </w:rPr>
              <w:t>$7.06</w:t>
            </w:r>
          </w:p>
        </w:tc>
        <w:tc>
          <w:tcPr>
            <w:tcW w:type="dxa" w:w="2520"/>
            <w:shd w:fill="F2F4F8" w:val="clear"/>
          </w:tcPr>
          <w:p>
            <w:r>
              <w:rPr>
                <w:rFonts w:ascii="Calibri" w:hAnsi="Calibri"/>
                <w:color w:val="333333"/>
                <w:sz w:val="18"/>
              </w:rPr>
              <w:t>$5.65</w:t>
            </w:r>
          </w:p>
        </w:tc>
        <w:tc>
          <w:tcPr>
            <w:tcW w:type="dxa" w:w="2520"/>
            <w:shd w:fill="F2F4F8" w:val="clear"/>
            <w:shd w:fill="FCE8E6" w:val="clear"/>
          </w:tcPr>
          <w:p>
            <w:r>
              <w:rPr>
                <w:rFonts w:ascii="Calibri" w:hAnsi="Calibri"/>
                <w:color w:val="333333"/>
                <w:sz w:val="18"/>
              </w:rPr>
              <w:t>-19.9%</w:t>
            </w:r>
          </w:p>
        </w:tc>
      </w:tr>
    </w:tbl>
    <w:p>
      <w:pPr>
        <w:pStyle w:val="DOHeading3"/>
      </w:pPr>
      <w:r>
        <w:t>Key Ratios: Company vs. Peers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Ratio</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Ratio</w:t>
            </w:r>
          </w:p>
        </w:tc>
        <w:tc>
          <w:tcPr>
            <w:tcW w:type="dxa" w:w="5040"/>
          </w:tcPr>
          <w:p>
            <w:r>
              <w:rPr>
                <w:rFonts w:ascii="Calibri" w:hAnsi="Calibri"/>
                <w:color w:val="333333"/>
                <w:sz w:val="18"/>
              </w:rPr>
              <w:t>1.15</w:t>
            </w:r>
          </w:p>
        </w:tc>
      </w:tr>
      <w:tr>
        <w:tc>
          <w:tcPr>
            <w:tcW w:type="dxa" w:w="5040"/>
            <w:shd w:fill="F2F4F8" w:val="clear"/>
          </w:tcPr>
          <w:p>
            <w:r>
              <w:rPr>
                <w:rFonts w:ascii="Calibri" w:hAnsi="Calibri"/>
                <w:color w:val="333333"/>
                <w:sz w:val="18"/>
              </w:rPr>
              <w:t>Quick Ratio</w:t>
            </w:r>
          </w:p>
        </w:tc>
        <w:tc>
          <w:tcPr>
            <w:tcW w:type="dxa" w:w="5040"/>
            <w:shd w:fill="F2F4F8" w:val="clear"/>
          </w:tcPr>
          <w:p>
            <w:r>
              <w:rPr>
                <w:rFonts w:ascii="Calibri" w:hAnsi="Calibri"/>
                <w:color w:val="333333"/>
                <w:sz w:val="18"/>
              </w:rPr>
              <w:t>1.15</w:t>
            </w:r>
          </w:p>
        </w:tc>
      </w:tr>
      <w:tr>
        <w:tc>
          <w:tcPr>
            <w:tcW w:type="dxa" w:w="5040"/>
          </w:tcPr>
          <w:p>
            <w:r>
              <w:rPr>
                <w:rFonts w:ascii="Calibri" w:hAnsi="Calibri"/>
                <w:color w:val="333333"/>
                <w:sz w:val="18"/>
              </w:rPr>
              <w:t>Debt/Equity</w:t>
            </w:r>
          </w:p>
        </w:tc>
        <w:tc>
          <w:tcPr>
            <w:tcW w:type="dxa" w:w="5040"/>
          </w:tcPr>
          <w:p>
            <w:r>
              <w:rPr>
                <w:rFonts w:ascii="Calibri" w:hAnsi="Calibri"/>
                <w:color w:val="333333"/>
                <w:sz w:val="18"/>
              </w:rPr>
              <w:t>0.17</w:t>
            </w:r>
          </w:p>
        </w:tc>
      </w:tr>
      <w:tr>
        <w:tc>
          <w:tcPr>
            <w:tcW w:type="dxa" w:w="5040"/>
            <w:shd w:fill="F2F4F8" w:val="clear"/>
          </w:tcPr>
          <w:p>
            <w:r>
              <w:rPr>
                <w:rFonts w:ascii="Calibri" w:hAnsi="Calibri"/>
                <w:color w:val="333333"/>
                <w:sz w:val="18"/>
              </w:rPr>
              <w:t>Interest Coverage</w:t>
            </w:r>
          </w:p>
        </w:tc>
        <w:tc>
          <w:tcPr>
            <w:tcW w:type="dxa" w:w="5040"/>
            <w:shd w:fill="F2F4F8" w:val="clear"/>
          </w:tcPr>
          <w:p>
            <w:r>
              <w:rPr>
                <w:rFonts w:ascii="Calibri" w:hAnsi="Calibri"/>
                <w:color w:val="333333"/>
                <w:sz w:val="18"/>
              </w:rPr>
              <w:t>68.4x</w:t>
            </w:r>
          </w:p>
        </w:tc>
      </w:tr>
    </w:tbl>
    <w:p>
      <w:pPr>
        <w:pStyle w:val="DOHeading2"/>
      </w:pPr>
      <w:r>
        <w:t>Distress Indicators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Model</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Zone</w:t>
            </w:r>
          </w:p>
        </w:tc>
        <w:tc>
          <w:tcPr>
            <w:tcW w:type="dxa" w:w="2016"/>
            <w:shd w:fill="1A1446" w:val="clear"/>
          </w:tcPr>
          <w:p>
            <w:r>
              <w:rPr>
                <w:rFonts w:ascii="Calibri" w:hAnsi="Calibri"/>
                <w:b/>
                <w:color w:val="FFFFFF"/>
                <w:sz w:val="18"/>
              </w:rPr>
              <w:t>Trajectory</w:t>
            </w:r>
          </w:p>
        </w:tc>
        <w:tc>
          <w:tcPr>
            <w:tcW w:type="dxa" w:w="2016"/>
            <w:shd w:fill="1A1446" w:val="clear"/>
          </w:tcPr>
          <w:p>
            <w:r>
              <w:rPr>
                <w:rFonts w:ascii="Calibri" w:hAnsi="Calibri"/>
                <w:b/>
                <w:color w:val="FFFFFF"/>
                <w:sz w:val="18"/>
              </w:rPr>
              <w:t>D&amp;O Context</w:t>
            </w:r>
          </w:p>
        </w:tc>
      </w:tr>
      <w:tr>
        <w:tc>
          <w:tcPr>
            <w:tcW w:type="dxa" w:w="2016"/>
          </w:tcPr>
          <w:p>
            <w:r>
              <w:rPr>
                <w:rFonts w:ascii="Calibri" w:hAnsi="Calibri"/>
                <w:color w:val="333333"/>
                <w:sz w:val="18"/>
              </w:rPr>
              <w:t>Altman Z-Score</w:t>
            </w:r>
          </w:p>
        </w:tc>
        <w:tc>
          <w:tcPr>
            <w:tcW w:type="dxa" w:w="2016"/>
          </w:tcPr>
          <w:p>
            <w:r>
              <w:rPr>
                <w:rFonts w:ascii="Calibri" w:hAnsi="Calibri"/>
                <w:color w:val="333333"/>
                <w:sz w:val="18"/>
              </w:rPr>
              <w:t>4.48</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FY2024: 4.5 -&gt; FY2025: 4.5 (stable)</w:t>
            </w:r>
          </w:p>
        </w:tc>
        <w:tc>
          <w:tcPr>
            <w:tcW w:type="dxa" w:w="2016"/>
          </w:tcPr>
          <w:p>
            <w:r>
              <w:rPr>
                <w:rFonts w:ascii="Calibri" w:hAnsi="Calibri"/>
                <w:color w:val="333333"/>
                <w:sz w:val="18"/>
              </w:rPr>
              <w:t>Bankruptcy predictor. Distress zone companies face fiduciary duty scrutiny under Revlon/zone of insolvency doctrine.</w:t>
            </w:r>
          </w:p>
        </w:tc>
      </w:tr>
      <w:tr>
        <w:tc>
          <w:tcPr>
            <w:tcW w:type="dxa" w:w="2016"/>
            <w:shd w:fill="F2F4F8" w:val="clear"/>
          </w:tcPr>
          <w:p>
            <w:r>
              <w:rPr>
                <w:rFonts w:ascii="Calibri" w:hAnsi="Calibri"/>
                <w:color w:val="333333"/>
                <w:sz w:val="18"/>
              </w:rPr>
              <w:t>Beneish M-Score</w:t>
            </w:r>
          </w:p>
        </w:tc>
        <w:tc>
          <w:tcPr>
            <w:tcW w:type="dxa" w:w="2016"/>
            <w:shd w:fill="F2F4F8" w:val="clear"/>
          </w:tcPr>
          <w:p>
            <w:r>
              <w:rPr>
                <w:rFonts w:ascii="Calibri" w:hAnsi="Calibri"/>
                <w:color w:val="333333"/>
                <w:sz w:val="18"/>
              </w:rPr>
              <w:t>-3.28</w:t>
            </w:r>
          </w:p>
        </w:tc>
        <w:tc>
          <w:tcPr>
            <w:tcW w:type="dxa" w:w="2016"/>
            <w:shd w:fill="F2F4F8" w:val="clear"/>
            <w:shd w:fill="DCEEF8" w:val="clear"/>
          </w:tcPr>
          <w:p>
            <w:r>
              <w:rPr>
                <w:rFonts w:ascii="Calibri" w:hAnsi="Calibri"/>
                <w:color w:val="333333"/>
                <w:sz w:val="18"/>
              </w:rPr>
              <w:t>Safe</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Earnings manipulation detector. Scores above -1.78 indicate elevated restatement risk, a primary SCA catalyst.</w:t>
            </w:r>
          </w:p>
        </w:tc>
      </w:tr>
      <w:tr>
        <w:tc>
          <w:tcPr>
            <w:tcW w:type="dxa" w:w="2016"/>
          </w:tcPr>
          <w:p>
            <w:r>
              <w:rPr>
                <w:rFonts w:ascii="Calibri" w:hAnsi="Calibri"/>
                <w:color w:val="333333"/>
                <w:sz w:val="18"/>
              </w:rPr>
              <w:t>Ohlson O-Score</w:t>
            </w:r>
          </w:p>
        </w:tc>
        <w:tc>
          <w:tcPr>
            <w:tcW w:type="dxa" w:w="2016"/>
          </w:tcPr>
          <w:p>
            <w:r>
              <w:rPr>
                <w:rFonts w:ascii="Calibri" w:hAnsi="Calibri"/>
                <w:color w:val="333333"/>
                <w:sz w:val="18"/>
              </w:rPr>
              <w:t>0.00</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N/A</w:t>
            </w:r>
          </w:p>
        </w:tc>
        <w:tc>
          <w:tcPr>
            <w:tcW w:type="dxa" w:w="2016"/>
          </w:tcPr>
          <w:p>
            <w:r>
              <w:rPr>
                <w:rFonts w:ascii="Calibri" w:hAnsi="Calibri"/>
                <w:color w:val="333333"/>
                <w:sz w:val="18"/>
              </w:rPr>
              <w:t>Bankruptcy probability model. Higher values signal financial stress that may limit litigation defense resources.</w:t>
            </w:r>
          </w:p>
        </w:tc>
      </w:tr>
      <w:tr>
        <w:tc>
          <w:tcPr>
            <w:tcW w:type="dxa" w:w="2016"/>
            <w:shd w:fill="F2F4F8" w:val="clear"/>
          </w:tcPr>
          <w:p>
            <w:r>
              <w:rPr>
                <w:rFonts w:ascii="Calibri" w:hAnsi="Calibri"/>
                <w:color w:val="333333"/>
                <w:sz w:val="18"/>
              </w:rPr>
              <w:t>Piotroski F-Score</w:t>
            </w:r>
          </w:p>
        </w:tc>
        <w:tc>
          <w:tcPr>
            <w:tcW w:type="dxa" w:w="2016"/>
            <w:shd w:fill="F2F4F8" w:val="clear"/>
          </w:tcPr>
          <w:p>
            <w:r>
              <w:rPr>
                <w:rFonts w:ascii="Calibri" w:hAnsi="Calibri"/>
                <w:color w:val="333333"/>
                <w:sz w:val="18"/>
              </w:rPr>
              <w:t>5.00</w:t>
            </w:r>
          </w:p>
        </w:tc>
        <w:tc>
          <w:tcPr>
            <w:tcW w:type="dxa" w:w="2016"/>
            <w:shd w:fill="F2F4F8" w:val="clear"/>
            <w:shd w:fill="FFF3CD" w:val="clear"/>
          </w:tcPr>
          <w:p>
            <w:r>
              <w:rPr>
                <w:rFonts w:ascii="Calibri" w:hAnsi="Calibri"/>
                <w:color w:val="333333"/>
                <w:sz w:val="18"/>
              </w:rPr>
              <w:t>Grey Zone</w:t>
            </w:r>
          </w:p>
        </w:tc>
        <w:tc>
          <w:tcPr>
            <w:tcW w:type="dxa" w:w="2016"/>
            <w:shd w:fill="F2F4F8" w:val="clear"/>
          </w:tcPr>
          <w:p>
            <w:r>
              <w:rPr>
                <w:rFonts w:ascii="Calibri" w:hAnsi="Calibri"/>
                <w:color w:val="333333"/>
                <w:sz w:val="18"/>
              </w:rPr>
              <w:t>5/9 criteria met</w:t>
            </w:r>
          </w:p>
        </w:tc>
        <w:tc>
          <w:tcPr>
            <w:tcW w:type="dxa" w:w="2016"/>
            <w:shd w:fill="F2F4F8" w:val="clear"/>
          </w:tcPr>
          <w:p>
            <w:r>
              <w:rPr>
                <w:rFonts w:ascii="Calibri" w:hAnsi="Calibri"/>
                <w:color w:val="333333"/>
                <w:sz w:val="18"/>
              </w:rPr>
              <w:t>Fundamental quality indicator. Scores 0-3 signal weak fundamentals; 7-9 indicate strong quality.</w:t>
            </w:r>
          </w:p>
        </w:tc>
      </w:tr>
    </w:tbl>
    <w:p>
      <w:pPr>
        <w:pStyle w:val="DOBody"/>
      </w:pPr>
      <w:r>
        <w:t>Leverage context: Ranks at the 92nd percentile among 0 peers (peer median: 4.0x).</w:t>
      </w:r>
    </w:p>
    <w:p>
      <w:pPr>
        <w:pStyle w:val="DOHeading2"/>
      </w:pPr>
      <w:r>
        <w:t>Earnings Quality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Metric</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OCF/Net Income</w:t>
            </w:r>
          </w:p>
        </w:tc>
        <w:tc>
          <w:tcPr>
            <w:tcW w:type="dxa" w:w="3360"/>
          </w:tcPr>
          <w:p>
            <w:r>
              <w:rPr>
                <w:rFonts w:ascii="Calibri" w:hAnsi="Calibri"/>
                <w:color w:val="333333"/>
                <w:sz w:val="18"/>
              </w:rPr>
              <w:t>1.80</w:t>
            </w:r>
          </w:p>
        </w:tc>
        <w:tc>
          <w:tcPr>
            <w:tcW w:type="dxa" w:w="3360"/>
            <w:shd w:fill="DCEEF8" w:val="clear"/>
          </w:tcPr>
          <w:p>
            <w:r>
              <w:rPr>
                <w:rFonts w:ascii="Calibri" w:hAnsi="Calibri"/>
                <w:color w:val="333333"/>
                <w:sz w:val="18"/>
              </w:rPr>
              <w:t>Healthy</w:t>
            </w:r>
          </w:p>
        </w:tc>
      </w:tr>
      <w:tr>
        <w:tc>
          <w:tcPr>
            <w:tcW w:type="dxa" w:w="3360"/>
            <w:shd w:fill="F2F4F8" w:val="clear"/>
          </w:tcPr>
          <w:p>
            <w:r>
              <w:rPr>
                <w:rFonts w:ascii="Calibri" w:hAnsi="Calibri"/>
                <w:color w:val="333333"/>
                <w:sz w:val="18"/>
              </w:rPr>
              <w:t>Accruals Ratio</w:t>
            </w:r>
          </w:p>
        </w:tc>
        <w:tc>
          <w:tcPr>
            <w:tcW w:type="dxa" w:w="3360"/>
            <w:shd w:fill="F2F4F8" w:val="clear"/>
          </w:tcPr>
          <w:p>
            <w:r>
              <w:rPr>
                <w:rFonts w:ascii="Calibri" w:hAnsi="Calibri"/>
                <w:color w:val="333333"/>
                <w:sz w:val="18"/>
              </w:rPr>
              <w:t>-0.05</w:t>
            </w:r>
          </w:p>
        </w:tc>
        <w:tc>
          <w:tcPr>
            <w:tcW w:type="dxa" w:w="3360"/>
            <w:shd w:fill="F2F4F8" w:val="clear"/>
            <w:shd w:fill="FFF3CD" w:val="clear"/>
          </w:tcPr>
          <w:p>
            <w:r>
              <w:rPr>
                <w:rFonts w:ascii="Calibri" w:hAnsi="Calibri"/>
                <w:color w:val="333333"/>
                <w:sz w:val="18"/>
              </w:rPr>
              <w:t>Normal</w:t>
            </w:r>
          </w:p>
        </w:tc>
      </w:tr>
    </w:tbl>
    <w:p>
      <w:pPr>
        <w:pStyle w:val="DOCitation"/>
      </w:pPr>
      <w:r>
        <w:t>Source: Derived from XBRL financial statements, MEDIUM confidence</w:t>
      </w:r>
    </w:p>
    <w:p>
      <w:pPr>
        <w:pStyle w:val="DOHeading2"/>
      </w:pPr>
      <w:r>
        <w:t>Audit Risk Assessment</w:t>
      </w:r>
    </w:p>
    <w:p>
      <w:pPr>
        <w:pStyle w:val="DOBody"/>
      </w:pPr>
      <w:r>
        <w:t>Audit Risk: No concerns. Ernst &amp; Young, 92 year tenure, unqualified opinion.</w:t>
      </w:r>
    </w:p>
    <w:p>
      <w:pPr>
        <w:pStyle w:val="DOHeading2"/>
      </w:pPr>
      <w:r>
        <w:t>Debt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Debt-to-Equity</w:t>
            </w:r>
          </w:p>
        </w:tc>
        <w:tc>
          <w:tcPr>
            <w:tcW w:type="dxa" w:w="5040"/>
          </w:tcPr>
          <w:p>
            <w:r>
              <w:rPr>
                <w:rFonts w:ascii="Calibri" w:hAnsi="Calibri"/>
                <w:color w:val="333333"/>
                <w:sz w:val="18"/>
              </w:rPr>
              <w:t>0.17</w:t>
            </w:r>
          </w:p>
        </w:tc>
      </w:tr>
      <w:tr>
        <w:tc>
          <w:tcPr>
            <w:tcW w:type="dxa" w:w="5040"/>
            <w:shd w:fill="F2F4F8" w:val="clear"/>
          </w:tcPr>
          <w:p>
            <w:r>
              <w:rPr>
                <w:rFonts w:ascii="Calibri" w:hAnsi="Calibri"/>
                <w:color w:val="333333"/>
                <w:sz w:val="18"/>
              </w:rPr>
              <w:t>Debt-to-EBITDA</w:t>
            </w:r>
          </w:p>
        </w:tc>
        <w:tc>
          <w:tcPr>
            <w:tcW w:type="dxa" w:w="5040"/>
            <w:shd w:fill="F2F4F8" w:val="clear"/>
          </w:tcPr>
          <w:p>
            <w:r>
              <w:rPr>
                <w:rFonts w:ascii="Calibri" w:hAnsi="Calibri"/>
                <w:color w:val="333333"/>
                <w:sz w:val="18"/>
              </w:rPr>
              <w:t>0.65</w:t>
            </w:r>
          </w:p>
        </w:tc>
      </w:tr>
      <w:tr>
        <w:tc>
          <w:tcPr>
            <w:tcW w:type="dxa" w:w="5040"/>
          </w:tcPr>
          <w:p>
            <w:r>
              <w:rPr>
                <w:rFonts w:ascii="Calibri" w:hAnsi="Calibri"/>
                <w:color w:val="333333"/>
                <w:sz w:val="18"/>
              </w:rPr>
              <w:t>Interest Coverage</w:t>
            </w:r>
          </w:p>
        </w:tc>
        <w:tc>
          <w:tcPr>
            <w:tcW w:type="dxa" w:w="5040"/>
          </w:tcPr>
          <w:p>
            <w:r>
              <w:rPr>
                <w:rFonts w:ascii="Calibri" w:hAnsi="Calibri"/>
                <w:color w:val="333333"/>
                <w:sz w:val="18"/>
              </w:rPr>
              <w:t>68.44</w:t>
            </w:r>
          </w:p>
        </w:tc>
      </w:tr>
      <w:tr>
        <w:tc>
          <w:tcPr>
            <w:tcW w:type="dxa" w:w="5040"/>
            <w:shd w:fill="F2F4F8" w:val="clear"/>
          </w:tcPr>
          <w:p>
            <w:r>
              <w:rPr>
                <w:rFonts w:ascii="Calibri" w:hAnsi="Calibri"/>
                <w:color w:val="333333"/>
                <w:sz w:val="18"/>
              </w:rPr>
              <w:t>Covenant Status</w:t>
            </w:r>
          </w:p>
        </w:tc>
        <w:tc>
          <w:tcPr>
            <w:tcW w:type="dxa" w:w="5040"/>
            <w:shd w:fill="F2F4F8" w:val="clear"/>
          </w:tcPr>
          <w:p>
            <w:r>
              <w:rPr>
                <w:rFonts w:ascii="Calibri" w:hAnsi="Calibri"/>
                <w:color w:val="333333"/>
                <w:sz w:val="18"/>
              </w:rPr>
              <w:t>Unknown</w:t>
            </w:r>
          </w:p>
        </w:tc>
      </w:tr>
    </w:tbl>
    <w:p>
      <w:pPr>
        <w:pStyle w:val="DOHeading3"/>
      </w:pPr>
      <w:r>
        <w:t>Critical Accounting Estimates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Estimate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Effective Tax Rate</w:t>
            </w:r>
          </w:p>
        </w:tc>
        <w:tc>
          <w:tcPr>
            <w:tcW w:type="dxa" w:w="3360"/>
          </w:tcPr>
          <w:p>
            <w:r>
              <w:rPr>
                <w:rFonts w:ascii="Calibri" w:hAnsi="Calibri"/>
                <w:color w:val="333333"/>
                <w:sz w:val="18"/>
              </w:rPr>
              <w:t>27.9%</w:t>
            </w:r>
          </w:p>
        </w:tc>
        <w:tc>
          <w:tcPr>
            <w:tcW w:type="dxa" w:w="3360"/>
          </w:tcPr>
          <w:p>
            <w:r>
              <w:rPr>
                <w:rFonts w:ascii="Calibri" w:hAnsi="Calibri"/>
                <w:color w:val="333333"/>
                <w:sz w:val="18"/>
              </w:rPr>
              <w:t>Normal range</w:t>
            </w:r>
          </w:p>
        </w:tc>
      </w:tr>
    </w:tbl>
    <w:p>
      <w:pPr>
        <w:pStyle w:val="DOHeading2"/>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Revenue</w:t>
            </w:r>
          </w:p>
        </w:tc>
        <w:tc>
          <w:tcPr>
            <w:tcW w:type="dxa" w:w="2016"/>
            <w:shd w:fill="1A1446" w:val="clear"/>
          </w:tcPr>
          <w:p>
            <w:r>
              <w:rPr>
                <w:rFonts w:ascii="Calibri" w:hAnsi="Calibri"/>
                <w:b/>
                <w:color w:val="FFFFFF"/>
                <w:sz w:val="18"/>
              </w:rPr>
              <w:t>Score</w:t>
            </w:r>
          </w:p>
        </w:tc>
      </w:tr>
      <w:tr>
        <w:tc>
          <w:tcPr>
            <w:tcW w:type="dxa" w:w="2016"/>
          </w:tcPr>
          <w:p>
            <w:r>
              <w:rPr>
                <w:rFonts w:ascii="Calibri" w:hAnsi="Calibri"/>
                <w:color w:val="333333"/>
                <w:sz w:val="18"/>
              </w:rPr>
              <w:t>CVX</w:t>
            </w:r>
          </w:p>
        </w:tc>
        <w:tc>
          <w:tcPr>
            <w:tcW w:type="dxa" w:w="2016"/>
          </w:tcPr>
          <w:p>
            <w:r>
              <w:rPr>
                <w:rFonts w:ascii="Calibri" w:hAnsi="Calibri"/>
                <w:color w:val="333333"/>
                <w:sz w:val="18"/>
              </w:rPr>
              <w:t>Chevron Corporation</w:t>
            </w:r>
          </w:p>
        </w:tc>
        <w:tc>
          <w:tcPr>
            <w:tcW w:type="dxa" w:w="2016"/>
          </w:tcPr>
          <w:p>
            <w:r>
              <w:rPr>
                <w:rFonts w:ascii="Calibri" w:hAnsi="Calibri"/>
                <w:color w:val="333333"/>
                <w:sz w:val="18"/>
              </w:rPr>
              <w:t>$397.8B</w:t>
            </w:r>
          </w:p>
        </w:tc>
        <w:tc>
          <w:tcPr>
            <w:tcW w:type="dxa" w:w="2016"/>
          </w:tcPr>
          <w:p>
            <w:r>
              <w:rPr>
                <w:rFonts w:ascii="Calibri" w:hAnsi="Calibri"/>
                <w:color w:val="333333"/>
                <w:sz w:val="18"/>
              </w:rPr>
              <w:t>$184.7B</w:t>
            </w:r>
          </w:p>
        </w:tc>
        <w:tc>
          <w:tcPr>
            <w:tcW w:type="dxa" w:w="2016"/>
          </w:tcPr>
          <w:p>
            <w:r>
              <w:rPr>
                <w:rFonts w:ascii="Calibri" w:hAnsi="Calibri"/>
                <w:color w:val="333333"/>
                <w:sz w:val="18"/>
              </w:rPr>
              <w:t>36</w:t>
            </w:r>
          </w:p>
        </w:tc>
      </w:tr>
      <w:tr>
        <w:tc>
          <w:tcPr>
            <w:tcW w:type="dxa" w:w="2016"/>
            <w:shd w:fill="F2F4F8" w:val="clear"/>
          </w:tcPr>
          <w:p>
            <w:r>
              <w:rPr>
                <w:rFonts w:ascii="Calibri" w:hAnsi="Calibri"/>
                <w:color w:val="333333"/>
                <w:sz w:val="18"/>
              </w:rPr>
              <w:t>COP</w:t>
            </w:r>
          </w:p>
        </w:tc>
        <w:tc>
          <w:tcPr>
            <w:tcW w:type="dxa" w:w="2016"/>
            <w:shd w:fill="F2F4F8" w:val="clear"/>
          </w:tcPr>
          <w:p>
            <w:r>
              <w:rPr>
                <w:rFonts w:ascii="Calibri" w:hAnsi="Calibri"/>
                <w:color w:val="333333"/>
                <w:sz w:val="18"/>
              </w:rPr>
              <w:t>ConocoPhillips</w:t>
            </w:r>
          </w:p>
        </w:tc>
        <w:tc>
          <w:tcPr>
            <w:tcW w:type="dxa" w:w="2016"/>
            <w:shd w:fill="F2F4F8" w:val="clear"/>
          </w:tcPr>
          <w:p>
            <w:r>
              <w:rPr>
                <w:rFonts w:ascii="Calibri" w:hAnsi="Calibri"/>
                <w:color w:val="333333"/>
                <w:sz w:val="18"/>
              </w:rPr>
              <w:t>$159.5B</w:t>
            </w:r>
          </w:p>
        </w:tc>
        <w:tc>
          <w:tcPr>
            <w:tcW w:type="dxa" w:w="2016"/>
            <w:shd w:fill="F2F4F8" w:val="clear"/>
          </w:tcPr>
          <w:p>
            <w:r>
              <w:rPr>
                <w:rFonts w:ascii="Calibri" w:hAnsi="Calibri"/>
                <w:color w:val="333333"/>
                <w:sz w:val="18"/>
              </w:rPr>
              <w:t>$60.3B</w:t>
            </w:r>
          </w:p>
        </w:tc>
        <w:tc>
          <w:tcPr>
            <w:tcW w:type="dxa" w:w="2016"/>
            <w:shd w:fill="F2F4F8" w:val="clear"/>
          </w:tcPr>
          <w:p>
            <w:r>
              <w:rPr>
                <w:rFonts w:ascii="Calibri" w:hAnsi="Calibri"/>
                <w:color w:val="333333"/>
                <w:sz w:val="18"/>
              </w:rPr>
              <w:t>14</w:t>
            </w:r>
          </w:p>
        </w:tc>
      </w:tr>
      <w:tr>
        <w:tc>
          <w:tcPr>
            <w:tcW w:type="dxa" w:w="2016"/>
          </w:tcPr>
          <w:p>
            <w:r>
              <w:rPr>
                <w:rFonts w:ascii="Calibri" w:hAnsi="Calibri"/>
                <w:color w:val="333333"/>
                <w:sz w:val="18"/>
              </w:rPr>
              <w:t>SLB</w:t>
            </w:r>
          </w:p>
        </w:tc>
        <w:tc>
          <w:tcPr>
            <w:tcW w:type="dxa" w:w="2016"/>
          </w:tcPr>
          <w:p>
            <w:r>
              <w:rPr>
                <w:rFonts w:ascii="Calibri" w:hAnsi="Calibri"/>
                <w:color w:val="333333"/>
                <w:sz w:val="18"/>
              </w:rPr>
              <w:t>SLB Limited</w:t>
            </w:r>
          </w:p>
        </w:tc>
        <w:tc>
          <w:tcPr>
            <w:tcW w:type="dxa" w:w="2016"/>
          </w:tcPr>
          <w:p>
            <w:r>
              <w:rPr>
                <w:rFonts w:ascii="Calibri" w:hAnsi="Calibri"/>
                <w:color w:val="333333"/>
                <w:sz w:val="18"/>
              </w:rPr>
              <w:t>$74.2B</w:t>
            </w:r>
          </w:p>
        </w:tc>
        <w:tc>
          <w:tcPr>
            <w:tcW w:type="dxa" w:w="2016"/>
          </w:tcPr>
          <w:p>
            <w:r>
              <w:rPr>
                <w:rFonts w:ascii="Calibri" w:hAnsi="Calibri"/>
                <w:color w:val="333333"/>
                <w:sz w:val="18"/>
              </w:rPr>
              <w:t>$35.7B</w:t>
            </w:r>
          </w:p>
        </w:tc>
        <w:tc>
          <w:tcPr>
            <w:tcW w:type="dxa" w:w="2016"/>
          </w:tcPr>
          <w:p>
            <w:r>
              <w:rPr>
                <w:rFonts w:ascii="Calibri" w:hAnsi="Calibri"/>
                <w:color w:val="333333"/>
                <w:sz w:val="18"/>
              </w:rPr>
              <w:t>13</w:t>
            </w:r>
          </w:p>
        </w:tc>
      </w:tr>
      <w:tr>
        <w:tc>
          <w:tcPr>
            <w:tcW w:type="dxa" w:w="2016"/>
            <w:shd w:fill="F2F4F8" w:val="clear"/>
          </w:tcPr>
          <w:p>
            <w:r>
              <w:rPr>
                <w:rFonts w:ascii="Calibri" w:hAnsi="Calibri"/>
                <w:color w:val="333333"/>
                <w:sz w:val="18"/>
              </w:rPr>
              <w:t>EOG</w:t>
            </w:r>
          </w:p>
        </w:tc>
        <w:tc>
          <w:tcPr>
            <w:tcW w:type="dxa" w:w="2016"/>
            <w:shd w:fill="F2F4F8" w:val="clear"/>
          </w:tcPr>
          <w:p>
            <w:r>
              <w:rPr>
                <w:rFonts w:ascii="Calibri" w:hAnsi="Calibri"/>
                <w:color w:val="333333"/>
                <w:sz w:val="18"/>
              </w:rPr>
              <w:t>EOG Resources, Inc.</w:t>
            </w:r>
          </w:p>
        </w:tc>
        <w:tc>
          <w:tcPr>
            <w:tcW w:type="dxa" w:w="2016"/>
            <w:shd w:fill="F2F4F8" w:val="clear"/>
          </w:tcPr>
          <w:p>
            <w:r>
              <w:rPr>
                <w:rFonts w:ascii="Calibri" w:hAnsi="Calibri"/>
                <w:color w:val="333333"/>
                <w:sz w:val="18"/>
              </w:rPr>
              <w:t>$76.5B</w:t>
            </w:r>
          </w:p>
        </w:tc>
        <w:tc>
          <w:tcPr>
            <w:tcW w:type="dxa" w:w="2016"/>
            <w:shd w:fill="F2F4F8" w:val="clear"/>
          </w:tcPr>
          <w:p>
            <w:r>
              <w:rPr>
                <w:rFonts w:ascii="Calibri" w:hAnsi="Calibri"/>
                <w:color w:val="333333"/>
                <w:sz w:val="18"/>
              </w:rPr>
              <w:t>$22.7B</w:t>
            </w:r>
          </w:p>
        </w:tc>
        <w:tc>
          <w:tcPr>
            <w:tcW w:type="dxa" w:w="2016"/>
            <w:shd w:fill="F2F4F8" w:val="clear"/>
          </w:tcPr>
          <w:p>
            <w:r>
              <w:rPr>
                <w:rFonts w:ascii="Calibri" w:hAnsi="Calibri"/>
                <w:color w:val="333333"/>
                <w:sz w:val="18"/>
              </w:rPr>
              <w:t>13</w:t>
            </w:r>
          </w:p>
        </w:tc>
      </w:tr>
      <w:tr>
        <w:tc>
          <w:tcPr>
            <w:tcW w:type="dxa" w:w="2016"/>
          </w:tcPr>
          <w:p>
            <w:r>
              <w:rPr>
                <w:rFonts w:ascii="Calibri" w:hAnsi="Calibri"/>
                <w:color w:val="333333"/>
                <w:sz w:val="18"/>
              </w:rPr>
              <w:t>MPC</w:t>
            </w:r>
          </w:p>
        </w:tc>
        <w:tc>
          <w:tcPr>
            <w:tcW w:type="dxa" w:w="2016"/>
          </w:tcPr>
          <w:p>
            <w:r>
              <w:rPr>
                <w:rFonts w:ascii="Calibri" w:hAnsi="Calibri"/>
                <w:color w:val="333333"/>
                <w:sz w:val="18"/>
              </w:rPr>
              <w:t>Marathon Petroleum Corporation</w:t>
            </w:r>
          </w:p>
        </w:tc>
        <w:tc>
          <w:tcPr>
            <w:tcW w:type="dxa" w:w="2016"/>
          </w:tcPr>
          <w:p>
            <w:r>
              <w:rPr>
                <w:rFonts w:ascii="Calibri" w:hAnsi="Calibri"/>
                <w:color w:val="333333"/>
                <w:sz w:val="18"/>
              </w:rPr>
              <w:t>$71.2B</w:t>
            </w:r>
          </w:p>
        </w:tc>
        <w:tc>
          <w:tcPr>
            <w:tcW w:type="dxa" w:w="2016"/>
          </w:tcPr>
          <w:p>
            <w:r>
              <w:rPr>
                <w:rFonts w:ascii="Calibri" w:hAnsi="Calibri"/>
                <w:color w:val="333333"/>
                <w:sz w:val="18"/>
              </w:rPr>
              <w:t>$133.2B</w:t>
            </w:r>
          </w:p>
        </w:tc>
        <w:tc>
          <w:tcPr>
            <w:tcW w:type="dxa" w:w="2016"/>
          </w:tcPr>
          <w:p>
            <w:r>
              <w:rPr>
                <w:rFonts w:ascii="Calibri" w:hAnsi="Calibri"/>
                <w:color w:val="333333"/>
                <w:sz w:val="18"/>
              </w:rPr>
              <w:t>18</w:t>
            </w:r>
          </w:p>
        </w:tc>
      </w:tr>
      <w:tr>
        <w:tc>
          <w:tcPr>
            <w:tcW w:type="dxa" w:w="2016"/>
            <w:shd w:fill="F2F4F8" w:val="clear"/>
          </w:tcPr>
          <w:p>
            <w:r>
              <w:rPr>
                <w:rFonts w:ascii="Calibri" w:hAnsi="Calibri"/>
                <w:color w:val="333333"/>
                <w:sz w:val="18"/>
              </w:rPr>
              <w:t>PSX</w:t>
            </w:r>
          </w:p>
        </w:tc>
        <w:tc>
          <w:tcPr>
            <w:tcW w:type="dxa" w:w="2016"/>
            <w:shd w:fill="F2F4F8" w:val="clear"/>
          </w:tcPr>
          <w:p>
            <w:r>
              <w:rPr>
                <w:rFonts w:ascii="Calibri" w:hAnsi="Calibri"/>
                <w:color w:val="333333"/>
                <w:sz w:val="18"/>
              </w:rPr>
              <w:t>Phillips 66</w:t>
            </w:r>
          </w:p>
        </w:tc>
        <w:tc>
          <w:tcPr>
            <w:tcW w:type="dxa" w:w="2016"/>
            <w:shd w:fill="F2F4F8" w:val="clear"/>
          </w:tcPr>
          <w:p>
            <w:r>
              <w:rPr>
                <w:rFonts w:ascii="Calibri" w:hAnsi="Calibri"/>
                <w:color w:val="333333"/>
                <w:sz w:val="18"/>
              </w:rPr>
              <w:t>$70.6B</w:t>
            </w:r>
          </w:p>
        </w:tc>
        <w:tc>
          <w:tcPr>
            <w:tcW w:type="dxa" w:w="2016"/>
            <w:shd w:fill="F2F4F8" w:val="clear"/>
          </w:tcPr>
          <w:p>
            <w:r>
              <w:rPr>
                <w:rFonts w:ascii="Calibri" w:hAnsi="Calibri"/>
                <w:color w:val="333333"/>
                <w:sz w:val="18"/>
              </w:rPr>
              <w:t>$132.4B</w:t>
            </w:r>
          </w:p>
        </w:tc>
        <w:tc>
          <w:tcPr>
            <w:tcW w:type="dxa" w:w="2016"/>
            <w:shd w:fill="F2F4F8" w:val="clear"/>
          </w:tcPr>
          <w:p>
            <w:r>
              <w:rPr>
                <w:rFonts w:ascii="Calibri" w:hAnsi="Calibri"/>
                <w:color w:val="333333"/>
                <w:sz w:val="18"/>
              </w:rPr>
              <w:t>19</w:t>
            </w:r>
          </w:p>
        </w:tc>
      </w:tr>
      <w:tr>
        <w:tc>
          <w:tcPr>
            <w:tcW w:type="dxa" w:w="2016"/>
          </w:tcPr>
          <w:p>
            <w:r>
              <w:rPr>
                <w:rFonts w:ascii="Calibri" w:hAnsi="Calibri"/>
                <w:color w:val="333333"/>
                <w:sz w:val="18"/>
              </w:rPr>
              <w:t>VLO</w:t>
            </w:r>
          </w:p>
        </w:tc>
        <w:tc>
          <w:tcPr>
            <w:tcW w:type="dxa" w:w="2016"/>
          </w:tcPr>
          <w:p>
            <w:r>
              <w:rPr>
                <w:rFonts w:ascii="Calibri" w:hAnsi="Calibri"/>
                <w:color w:val="333333"/>
                <w:sz w:val="18"/>
              </w:rPr>
              <w:t>Valero Energy Corporation</w:t>
            </w:r>
          </w:p>
        </w:tc>
        <w:tc>
          <w:tcPr>
            <w:tcW w:type="dxa" w:w="2016"/>
          </w:tcPr>
          <w:p>
            <w:r>
              <w:rPr>
                <w:rFonts w:ascii="Calibri" w:hAnsi="Calibri"/>
                <w:color w:val="333333"/>
                <w:sz w:val="18"/>
              </w:rPr>
              <w:t>$73.0B</w:t>
            </w:r>
          </w:p>
        </w:tc>
        <w:tc>
          <w:tcPr>
            <w:tcW w:type="dxa" w:w="2016"/>
          </w:tcPr>
          <w:p>
            <w:r>
              <w:rPr>
                <w:rFonts w:ascii="Calibri" w:hAnsi="Calibri"/>
                <w:color w:val="333333"/>
                <w:sz w:val="18"/>
              </w:rPr>
              <w:t>$115.9B</w:t>
            </w:r>
          </w:p>
        </w:tc>
        <w:tc>
          <w:tcPr>
            <w:tcW w:type="dxa" w:w="2016"/>
          </w:tcPr>
          <w:p>
            <w:r>
              <w:rPr>
                <w:rFonts w:ascii="Calibri" w:hAnsi="Calibri"/>
                <w:color w:val="333333"/>
                <w:sz w:val="18"/>
              </w:rPr>
              <w:t>18</w:t>
            </w:r>
          </w:p>
        </w:tc>
      </w:tr>
      <w:tr>
        <w:tc>
          <w:tcPr>
            <w:tcW w:type="dxa" w:w="2016"/>
            <w:shd w:fill="F2F4F8" w:val="clear"/>
          </w:tcPr>
          <w:p>
            <w:r>
              <w:rPr>
                <w:rFonts w:ascii="Calibri" w:hAnsi="Calibri"/>
                <w:color w:val="333333"/>
                <w:sz w:val="18"/>
              </w:rPr>
              <w:t>OXY</w:t>
            </w:r>
          </w:p>
        </w:tc>
        <w:tc>
          <w:tcPr>
            <w:tcW w:type="dxa" w:w="2016"/>
            <w:shd w:fill="F2F4F8" w:val="clear"/>
          </w:tcPr>
          <w:p>
            <w:r>
              <w:rPr>
                <w:rFonts w:ascii="Calibri" w:hAnsi="Calibri"/>
                <w:color w:val="333333"/>
                <w:sz w:val="18"/>
              </w:rPr>
              <w:t>Occidental Petroleum Corporatio</w:t>
            </w:r>
          </w:p>
        </w:tc>
        <w:tc>
          <w:tcPr>
            <w:tcW w:type="dxa" w:w="2016"/>
            <w:shd w:fill="F2F4F8" w:val="clear"/>
          </w:tcPr>
          <w:p>
            <w:r>
              <w:rPr>
                <w:rFonts w:ascii="Calibri" w:hAnsi="Calibri"/>
                <w:color w:val="333333"/>
                <w:sz w:val="18"/>
              </w:rPr>
              <w:t>$62.4B</w:t>
            </w:r>
          </w:p>
        </w:tc>
        <w:tc>
          <w:tcPr>
            <w:tcW w:type="dxa" w:w="2016"/>
            <w:shd w:fill="F2F4F8" w:val="clear"/>
          </w:tcPr>
          <w:p>
            <w:r>
              <w:rPr>
                <w:rFonts w:ascii="Calibri" w:hAnsi="Calibri"/>
                <w:color w:val="333333"/>
                <w:sz w:val="18"/>
              </w:rPr>
              <w:t>$21.6B</w:t>
            </w:r>
          </w:p>
        </w:tc>
        <w:tc>
          <w:tcPr>
            <w:tcW w:type="dxa" w:w="2016"/>
            <w:shd w:fill="F2F4F8" w:val="clear"/>
          </w:tcPr>
          <w:p>
            <w:r>
              <w:rPr>
                <w:rFonts w:ascii="Calibri" w:hAnsi="Calibri"/>
                <w:color w:val="333333"/>
                <w:sz w:val="18"/>
              </w:rPr>
              <w:t>13</w:t>
            </w:r>
          </w:p>
        </w:tc>
      </w:tr>
      <w:tr>
        <w:tc>
          <w:tcPr>
            <w:tcW w:type="dxa" w:w="2016"/>
          </w:tcPr>
          <w:p>
            <w:r>
              <w:rPr>
                <w:rFonts w:ascii="Calibri" w:hAnsi="Calibri"/>
                <w:color w:val="333333"/>
                <w:sz w:val="18"/>
              </w:rPr>
              <w:t>PXD</w:t>
            </w:r>
          </w:p>
        </w:tc>
        <w:tc>
          <w:tcPr>
            <w:tcW w:type="dxa" w:w="2016"/>
          </w:tcPr>
          <w:p>
            <w:r>
              <w:rPr>
                <w:rFonts w:ascii="Calibri" w:hAnsi="Calibri"/>
                <w:color w:val="333333"/>
                <w:sz w:val="18"/>
              </w:rPr>
              <w:t>PXD</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0</w:t>
            </w:r>
          </w:p>
        </w:tc>
      </w:tr>
    </w:tbl>
    <w:p>
      <w:pPr>
        <w:pStyle w:val="DOBody"/>
      </w:pPr>
      <w:r>
        <w:t>Revenue: Ranks at the 100th percentile among 8 peers. Leverage: Ranks at the 92nd percentile among 0 peers (peer median: 4.0x).</w:t>
      </w:r>
    </w:p>
    <w:p>
      <w:pPr>
        <w:pStyle w:val="DOCaption"/>
      </w:pPr>
      <w:r>
        <w:t>Method: Multi-signal composite: SIC 25%, industry 20%, market cap 25%, revenue 15%, description 15%</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Exxon Mobil’s board of six directors lacks disclosed independence metrics for all six members, creating immediate opacity for evaluating oversight objectivity. CEO Darren Woods’ two-year tenure and separate Chair role provide structural stability, yet the board’s undefined refreshment cycle—evidenced by vague director descriptors like “Refreshment Balances Stability”—masks potential entrenchment without tenure data. A $44.1 million CEO pay package passed with only 87% shareholder approval, a notable 13% dissent level that hints at underlying compensation committee vulnerability and litigation risk over pay oversight. The primary D&amp;O exposure is a potential Caremark claim, where a board with ambiguous qualifications and tenure data could struggle to prove a documented oversight process for existential risks like climate strategy, increasing the likelihood of a failed motion to dismiss. This governance vagueness directly amplifies derivative suit risk, as plaintiff counsel will attack the board’s ability to substantiate its duty of candor in proxy disclosures defending its strategic direction given the lack of specific director data.</w:t>
      </w:r>
    </w:p>
    <w:p>
      <w:pPr>
        <w:pStyle w:val="DOHeading1"/>
      </w:pPr>
      <w:r>
        <w:t>Section 5: Governance &amp; Leadership</w:t>
      </w:r>
    </w:p>
    <w:p>
      <w:pPr>
        <w:pStyle w:val="DOBody"/>
      </w:pPr>
      <w:r>
        <w:rPr>
          <w:rFonts w:ascii="Calibri" w:hAnsi="Calibri"/>
          <w:color w:val="333333"/>
          <w:sz w:val="20"/>
        </w:rPr>
        <w:t>Leadership team is stable with average tenure of 2.0 years. Board governance is moderate (41/100) with some areas for improvement.</w:t>
      </w:r>
      <w:r>
        <w:rPr>
          <w:rFonts w:ascii="Consolas" w:hAnsi="Consolas"/>
          <w:color w:val="666666"/>
          <w:sz w:val="16"/>
        </w:rPr>
        <w:t xml:space="preserve">  [Rule-based synthesis of governance extraction results, 2026-04-02, LOW]</w:t>
      </w:r>
    </w:p>
    <w:p>
      <w:pPr>
        <w:pStyle w:val="DOBody"/>
      </w:pPr>
      <w:r>
        <w:rPr>
          <w:rFonts w:ascii="Calibri" w:hAnsi="Calibri"/>
          <w:color w:val="333333"/>
          <w:sz w:val="20"/>
        </w:rPr>
        <w:t>Governance Quality Score: 40.8/10</w:t>
      </w:r>
      <w:r>
        <w:rPr>
          <w:rFonts w:ascii="Consolas" w:hAnsi="Consolas"/>
          <w:color w:val="666666"/>
          <w:sz w:val="16"/>
        </w:rPr>
        <w:t xml:space="preserve">  [Computed from governance dimensions, 2026-04-02, LOW]</w:t>
      </w:r>
    </w:p>
    <w:p>
      <w:pPr>
        <w:pStyle w:val="DOHeading2"/>
      </w:pPr>
      <w:r>
        <w:t>Leadership Stability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Title</w:t>
            </w:r>
          </w:p>
        </w:tc>
        <w:tc>
          <w:tcPr>
            <w:tcW w:type="dxa" w:w="1680"/>
            <w:shd w:fill="1A1446" w:val="clear"/>
          </w:tcPr>
          <w:p>
            <w:r>
              <w:rPr>
                <w:rFonts w:ascii="Calibri" w:hAnsi="Calibri"/>
                <w:b/>
                <w:color w:val="FFFFFF"/>
                <w:sz w:val="18"/>
              </w:rPr>
              <w:t>Tenure (Yrs)</w:t>
            </w:r>
          </w:p>
        </w:tc>
        <w:tc>
          <w:tcPr>
            <w:tcW w:type="dxa" w:w="1680"/>
            <w:shd w:fill="1A1446" w:val="clear"/>
          </w:tcPr>
          <w:p>
            <w:r>
              <w:rPr>
                <w:rFonts w:ascii="Calibri" w:hAnsi="Calibri"/>
                <w:b/>
                <w:color w:val="FFFFFF"/>
                <w:sz w:val="18"/>
              </w:rPr>
              <w:t>Status</w:t>
            </w:r>
          </w:p>
        </w:tc>
        <w:tc>
          <w:tcPr>
            <w:tcW w:type="dxa" w:w="1680"/>
            <w:shd w:fill="1A1446" w:val="clear"/>
          </w:tcPr>
          <w:p>
            <w:r>
              <w:rPr>
                <w:rFonts w:ascii="Calibri" w:hAnsi="Calibri"/>
                <w:b/>
                <w:color w:val="FFFFFF"/>
                <w:sz w:val="18"/>
              </w:rPr>
              <w:t>Prior Lit.</w:t>
            </w:r>
          </w:p>
        </w:tc>
        <w:tc>
          <w:tcPr>
            <w:tcW w:type="dxa" w:w="1680"/>
            <w:shd w:fill="1A1446" w:val="clear"/>
          </w:tcPr>
          <w:p>
            <w:r>
              <w:rPr>
                <w:rFonts w:ascii="Calibri" w:hAnsi="Calibri"/>
                <w:b/>
                <w:color w:val="FFFFFF"/>
                <w:sz w:val="18"/>
              </w:rPr>
              <w:t>Flags</w:t>
            </w:r>
          </w:p>
        </w:tc>
      </w:tr>
      <w:tr>
        <w:tc>
          <w:tcPr>
            <w:tcW w:type="dxa" w:w="1680"/>
          </w:tcPr>
          <w:p>
            <w:r>
              <w:rPr>
                <w:rFonts w:ascii="Calibri" w:hAnsi="Calibri"/>
                <w:color w:val="333333"/>
                <w:sz w:val="18"/>
              </w:rPr>
              <w:t>Powell Mc</w:t>
            </w:r>
          </w:p>
        </w:tc>
        <w:tc>
          <w:tcPr>
            <w:tcW w:type="dxa" w:w="1680"/>
          </w:tcPr>
          <w:p>
            <w:r>
              <w:rPr>
                <w:rFonts w:ascii="Calibri" w:hAnsi="Calibri"/>
                <w:color w:val="333333"/>
                <w:sz w:val="18"/>
              </w:rPr>
              <w:t>CFO</w:t>
            </w:r>
          </w:p>
        </w:tc>
        <w:tc>
          <w:tcPr>
            <w:tcW w:type="dxa" w:w="1680"/>
          </w:tcPr>
          <w:p>
            <w:r>
              <w:rPr>
                <w:rFonts w:ascii="Calibri" w:hAnsi="Calibri"/>
                <w:color w:val="333333"/>
                <w:sz w:val="18"/>
              </w:rPr>
              <w:t>2.0</w:t>
            </w:r>
          </w:p>
        </w:tc>
        <w:tc>
          <w:tcPr>
            <w:tcW w:type="dxa" w:w="1680"/>
          </w:tcPr>
          <w:p>
            <w:r>
              <w:rPr>
                <w:rFonts w:ascii="Calibri" w:hAnsi="Calibri"/>
                <w:color w:val="333333"/>
                <w:sz w:val="18"/>
              </w:rPr>
              <w:t>ACTIVE</w:t>
            </w:r>
          </w:p>
        </w:tc>
        <w:tc>
          <w:tcPr>
            <w:tcW w:type="dxa" w:w="1680"/>
          </w:tcPr>
          <w:p>
            <w:r>
              <w:rPr>
                <w:rFonts w:ascii="Calibri" w:hAnsi="Calibri"/>
                <w:color w:val="333333"/>
                <w:sz w:val="18"/>
              </w:rPr>
              <w:t>1</w:t>
            </w:r>
          </w:p>
        </w:tc>
        <w:tc>
          <w:tcPr>
            <w:tcW w:type="dxa" w:w="1680"/>
          </w:tcPr>
          <w:p>
            <w:r>
              <w:rPr>
                <w:rFonts w:ascii="Calibri" w:hAnsi="Calibri"/>
                <w:color w:val="333333"/>
                <w:sz w:val="18"/>
              </w:rPr>
              <w:t>None</w:t>
            </w:r>
          </w:p>
        </w:tc>
      </w:tr>
    </w:tbl>
    <w:p>
      <w:pPr>
        <w:pStyle w:val="DOBody"/>
      </w:pPr>
      <w:r>
        <w:rPr>
          <w:i/>
          <w:sz w:val="16"/>
        </w:rPr>
        <w:t>D&amp;O Context (Powell Mc, 1 prior case(s)):  triggered Any Officer With Prior Litigation at Previous Company (F9) — this host risk (company-level characteristics that attract or deter D&amp;O claims) indicates SEC Enforcement / Regulatory Compliance. Evidence: Boolean check: True condition met.</w:t>
      </w:r>
      <w:r>
        <w:rPr>
          <w:b/>
          <w:color w:val="EAB308"/>
          <w:sz w:val="18"/>
        </w:rPr>
        <w:t xml:space="preserve"> [ELEVATED]</w:t>
      </w:r>
    </w:p>
    <w:p>
      <w:pPr>
        <w:pStyle w:val="DOBody"/>
      </w:pPr>
      <w:r>
        <w:rPr>
          <w:rFonts w:ascii="Calibri" w:hAnsi="Calibri"/>
          <w:color w:val="333333"/>
          <w:sz w:val="20"/>
        </w:rPr>
        <w:t>Leadership Stability Score: 100/100</w:t>
      </w:r>
      <w:r>
        <w:rPr>
          <w:rFonts w:ascii="Consolas" w:hAnsi="Consolas"/>
          <w:color w:val="666666"/>
          <w:sz w:val="16"/>
        </w:rPr>
        <w:t xml:space="preserve">  [leadership_profiles extractor, 2026-04-02, MEDIUM]</w:t>
      </w:r>
    </w:p>
    <w:p>
      <w:pPr>
        <w:pStyle w:val="DOHeading2"/>
      </w:pPr>
      <w:r>
        <w:t>Board Composition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Tenure</w:t>
            </w:r>
          </w:p>
        </w:tc>
        <w:tc>
          <w:tcPr>
            <w:tcW w:type="dxa" w:w="1680"/>
            <w:shd w:fill="1A1446" w:val="clear"/>
          </w:tcPr>
          <w:p>
            <w:r>
              <w:rPr>
                <w:rFonts w:ascii="Calibri" w:hAnsi="Calibri"/>
                <w:b/>
                <w:color w:val="FFFFFF"/>
                <w:sz w:val="18"/>
              </w:rPr>
              <w:t>Independent</w:t>
            </w:r>
          </w:p>
        </w:tc>
        <w:tc>
          <w:tcPr>
            <w:tcW w:type="dxa" w:w="1680"/>
            <w:shd w:fill="1A1446" w:val="clear"/>
          </w:tcPr>
          <w:p>
            <w:r>
              <w:rPr>
                <w:rFonts w:ascii="Calibri" w:hAnsi="Calibri"/>
                <w:b/>
                <w:color w:val="FFFFFF"/>
                <w:sz w:val="18"/>
              </w:rPr>
              <w:t>Committees</w:t>
            </w:r>
          </w:p>
        </w:tc>
        <w:tc>
          <w:tcPr>
            <w:tcW w:type="dxa" w:w="1680"/>
            <w:shd w:fill="1A1446" w:val="clear"/>
          </w:tcPr>
          <w:p>
            <w:r>
              <w:rPr>
                <w:rFonts w:ascii="Calibri" w:hAnsi="Calibri"/>
                <w:b/>
                <w:color w:val="FFFFFF"/>
                <w:sz w:val="18"/>
              </w:rPr>
              <w:t>Other Boards</w:t>
            </w:r>
          </w:p>
        </w:tc>
        <w:tc>
          <w:tcPr>
            <w:tcW w:type="dxa" w:w="1680"/>
            <w:shd w:fill="1A1446" w:val="clear"/>
          </w:tcPr>
          <w:p>
            <w:r>
              <w:rPr>
                <w:rFonts w:ascii="Calibri" w:hAnsi="Calibri"/>
                <w:b/>
                <w:color w:val="FFFFFF"/>
                <w:sz w:val="18"/>
              </w:rPr>
              <w:t>Overboarded</w:t>
            </w:r>
          </w:p>
        </w:tc>
      </w:tr>
      <w:tr>
        <w:tc>
          <w:tcPr>
            <w:tcW w:type="dxa" w:w="1680"/>
          </w:tcPr>
          <w:p>
            <w:r>
              <w:rPr>
                <w:rFonts w:ascii="Calibri" w:hAnsi="Calibri"/>
                <w:color w:val="333333"/>
                <w:sz w:val="18"/>
              </w:rPr>
              <w:t>Leading Results Driven</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Refreshment Balances Stability</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r>
        <w:tc>
          <w:tcPr>
            <w:tcW w:type="dxa" w:w="1680"/>
          </w:tcPr>
          <w:p>
            <w:r>
              <w:rPr>
                <w:rFonts w:ascii="Calibri" w:hAnsi="Calibri"/>
                <w:color w:val="333333"/>
                <w:sz w:val="18"/>
              </w:rPr>
              <w:t>New Views</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Thoughtful Debate More</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r>
        <w:tc>
          <w:tcPr>
            <w:tcW w:type="dxa" w:w="1680"/>
          </w:tcPr>
          <w:p>
            <w:r>
              <w:rPr>
                <w:rFonts w:ascii="Calibri" w:hAnsi="Calibri"/>
                <w:color w:val="333333"/>
                <w:sz w:val="18"/>
              </w:rPr>
              <w:t>Demographic Diversity Broad Expertise</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r>
        <w:tc>
          <w:tcPr>
            <w:tcW w:type="dxa" w:w="1680"/>
            <w:shd w:fill="F2F4F8" w:val="clear"/>
          </w:tcPr>
          <w:p>
            <w:r>
              <w:rPr>
                <w:rFonts w:ascii="Calibri" w:hAnsi="Calibri"/>
                <w:color w:val="333333"/>
                <w:sz w:val="18"/>
              </w:rPr>
              <w:t>Thought Leadership</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No</w:t>
            </w:r>
          </w:p>
        </w:tc>
      </w:tr>
    </w:tbl>
    <w:p>
      <w:pPr>
        <w:pStyle w:val="DOHeading3"/>
      </w:pPr>
      <w:r>
        <w:t>Board Quality Metrics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Board Size</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Independence Ratio</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CEO/Chair Duality</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Classified Board</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Overboarded Directors</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Dual-Class Structure</w:t>
            </w:r>
          </w:p>
        </w:tc>
        <w:tc>
          <w:tcPr>
            <w:tcW w:type="dxa" w:w="5040"/>
            <w:shd w:fill="F2F4F8" w:val="clear"/>
          </w:tcPr>
          <w:p>
            <w:r>
              <w:rPr>
                <w:rFonts w:ascii="Calibri" w:hAnsi="Calibri"/>
                <w:color w:val="333333"/>
                <w:sz w:val="18"/>
              </w:rPr>
              <w:t>N/A</w:t>
            </w:r>
          </w:p>
        </w:tc>
      </w:tr>
    </w:tbl>
    <w:p>
      <w:pPr>
        <w:pStyle w:val="DOHeading2"/>
      </w:pPr>
      <w:r>
        <w:t>Compensation Analysis</w:t>
      </w:r>
    </w:p>
    <w:p>
      <w:pPr>
        <w:pStyle w:val="DOHeading3"/>
      </w:pPr>
      <w:r>
        <w:t>Summary Compensation Table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Amount</w:t>
            </w:r>
          </w:p>
        </w:tc>
      </w:tr>
      <w:tr>
        <w:tc>
          <w:tcPr>
            <w:tcW w:type="dxa" w:w="5040"/>
          </w:tcPr>
          <w:p>
            <w:r>
              <w:rPr>
                <w:rFonts w:ascii="Calibri" w:hAnsi="Calibri"/>
                <w:color w:val="333333"/>
                <w:sz w:val="18"/>
              </w:rPr>
              <w:t>Total CEO Compensation</w:t>
            </w:r>
          </w:p>
        </w:tc>
        <w:tc>
          <w:tcPr>
            <w:tcW w:type="dxa" w:w="5040"/>
          </w:tcPr>
          <w:p>
            <w:r>
              <w:rPr>
                <w:rFonts w:ascii="Calibri" w:hAnsi="Calibri"/>
                <w:color w:val="333333"/>
                <w:sz w:val="18"/>
              </w:rPr>
              <w:t>$44.1M</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CEO Pay Ratio</w:t>
            </w:r>
          </w:p>
        </w:tc>
        <w:tc>
          <w:tcPr>
            <w:tcW w:type="dxa" w:w="5040"/>
          </w:tcPr>
          <w:p>
            <w:r>
              <w:rPr>
                <w:rFonts w:ascii="Calibri" w:hAnsi="Calibri"/>
                <w:color w:val="333333"/>
                <w:sz w:val="18"/>
              </w:rPr>
              <w:t>232:1</w:t>
            </w:r>
          </w:p>
        </w:tc>
      </w:tr>
    </w:tbl>
    <w:p>
      <w:pPr>
        <w:pStyle w:val="DOHeading3"/>
      </w:pPr>
      <w:r>
        <w:t>Compensation Structure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Detail</w:t>
            </w:r>
          </w:p>
        </w:tc>
      </w:tr>
      <w:tr>
        <w:tc>
          <w:tcPr>
            <w:tcW w:type="dxa" w:w="5040"/>
          </w:tcPr>
          <w:p>
            <w:r>
              <w:rPr>
                <w:rFonts w:ascii="Calibri" w:hAnsi="Calibri"/>
                <w:color w:val="333333"/>
                <w:sz w:val="18"/>
              </w:rPr>
              <w:t>Clawback Policy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Clawback Scope</w:t>
            </w:r>
          </w:p>
        </w:tc>
        <w:tc>
          <w:tcPr>
            <w:tcW w:type="dxa" w:w="5040"/>
            <w:shd w:fill="F2F4F8" w:val="clear"/>
          </w:tcPr>
          <w:p>
            <w:r>
              <w:rPr>
                <w:rFonts w:ascii="Calibri" w:hAnsi="Calibri"/>
                <w:color w:val="333333"/>
                <w:sz w:val="18"/>
              </w:rPr>
              <w:t>BROADER</w:t>
            </w:r>
          </w:p>
        </w:tc>
      </w:tr>
    </w:tbl>
    <w:p>
      <w:pPr>
        <w:pStyle w:val="DOHeading3"/>
      </w:pPr>
      <w:r>
        <w:t>Compensation Red Flags</w:t>
      </w:r>
    </w:p>
    <w:p>
      <w:pPr>
        <w:pStyle w:val="DOBody"/>
      </w:pPr>
      <w:r>
        <w:t>Notable Perquisites: Chapman and Williams, $4,645 and $62 are for tax reimbursement related to these relocation payments, respectively, Due to the public profile of the CEO and Named Executive Officer roles and credible threat assessment, the following security services were provided and the associated costs shown in the table: security systems at primary residences; security services and personnel during travel, car and security dr, Personal Security: Above-peer perquisites draw proxy advisory negative recommendations.</w:t>
      </w:r>
      <w:r>
        <w:rPr>
          <w:b/>
          <w:color w:val="EAB308"/>
          <w:sz w:val="18"/>
        </w:rPr>
        <w:t xml:space="preserve"> [ELEVATED]</w:t>
      </w:r>
    </w:p>
    <w:p>
      <w:pPr>
        <w:pStyle w:val="DOHeading2"/>
      </w:pPr>
      <w:r>
        <w:t>Ownership Structure</w:t>
      </w:r>
    </w:p>
    <w:p>
      <w:r>
        <w:drawing>
          <wp:inline xmlns:a="http://schemas.openxmlformats.org/drawingml/2006/main" xmlns:pic="http://schemas.openxmlformats.org/drawingml/2006/picture">
            <wp:extent cx="5943600" cy="5430893"/>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5430893"/>
                    </a:xfrm>
                    <a:prstGeom prst="rect"/>
                  </pic:spPr>
                </pic:pic>
              </a:graphicData>
            </a:graphic>
          </wp:inline>
        </w:drawing>
      </w:r>
    </w:p>
    <w:p>
      <w:pPr>
        <w:pStyle w:val="DOCaption"/>
      </w:pPr>
      <w:r>
        <w:t>Figure: Ownership breakdown -- institutional, insider, retail float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Category</w:t>
            </w:r>
          </w:p>
        </w:tc>
        <w:tc>
          <w:tcPr>
            <w:tcW w:type="dxa" w:w="5040"/>
            <w:shd w:fill="1A1446" w:val="clear"/>
          </w:tcPr>
          <w:p>
            <w:r>
              <w:rPr>
                <w:rFonts w:ascii="Calibri" w:hAnsi="Calibri"/>
                <w:b/>
                <w:color w:val="FFFFFF"/>
                <w:sz w:val="18"/>
              </w:rPr>
              <w:t>Percentage</w:t>
            </w:r>
          </w:p>
        </w:tc>
      </w:tr>
      <w:tr>
        <w:tc>
          <w:tcPr>
            <w:tcW w:type="dxa" w:w="5040"/>
          </w:tcPr>
          <w:p>
            <w:r>
              <w:rPr>
                <w:rFonts w:ascii="Calibri" w:hAnsi="Calibri"/>
                <w:color w:val="333333"/>
                <w:sz w:val="18"/>
              </w:rPr>
              <w:t>Institutional Ownership</w:t>
            </w:r>
          </w:p>
        </w:tc>
        <w:tc>
          <w:tcPr>
            <w:tcW w:type="dxa" w:w="5040"/>
          </w:tcPr>
          <w:p>
            <w:r>
              <w:rPr>
                <w:rFonts w:ascii="Calibri" w:hAnsi="Calibri"/>
                <w:color w:val="333333"/>
                <w:sz w:val="18"/>
              </w:rPr>
              <w:t>67.4%</w:t>
            </w:r>
          </w:p>
        </w:tc>
      </w:tr>
      <w:tr>
        <w:tc>
          <w:tcPr>
            <w:tcW w:type="dxa" w:w="5040"/>
            <w:shd w:fill="F2F4F8" w:val="clear"/>
          </w:tcPr>
          <w:p>
            <w:r>
              <w:rPr>
                <w:rFonts w:ascii="Calibri" w:hAnsi="Calibri"/>
                <w:color w:val="333333"/>
                <w:sz w:val="18"/>
              </w:rPr>
              <w:t>Insider Ownership</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Retail Float</w:t>
            </w:r>
          </w:p>
        </w:tc>
        <w:tc>
          <w:tcPr>
            <w:tcW w:type="dxa" w:w="5040"/>
          </w:tcPr>
          <w:p>
            <w:r>
              <w:rPr>
                <w:rFonts w:ascii="Calibri" w:hAnsi="Calibri"/>
                <w:color w:val="333333"/>
                <w:sz w:val="18"/>
              </w:rPr>
              <w:t>32.5%</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Top Holder</w:t>
            </w:r>
          </w:p>
        </w:tc>
        <w:tc>
          <w:tcPr>
            <w:tcW w:type="dxa" w:w="5040"/>
            <w:shd w:fill="1A1446" w:val="clear"/>
          </w:tcPr>
          <w:p>
            <w:r>
              <w:rPr>
                <w:rFonts w:ascii="Calibri" w:hAnsi="Calibri"/>
                <w:b/>
                <w:color w:val="FFFFFF"/>
                <w:sz w:val="18"/>
              </w:rPr>
              <w:t>Ownership %</w:t>
            </w:r>
          </w:p>
        </w:tc>
      </w:tr>
      <w:tr>
        <w:tc>
          <w:tcPr>
            <w:tcW w:type="dxa" w:w="5040"/>
          </w:tcPr>
          <w:p>
            <w:r>
              <w:rPr>
                <w:rFonts w:ascii="Calibri" w:hAnsi="Calibri"/>
                <w:color w:val="333333"/>
                <w:sz w:val="18"/>
              </w:rPr>
              <w:t>Vanguard Group Inc</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Blackrock Inc.</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State Street Corporation</w:t>
            </w:r>
          </w:p>
        </w:tc>
        <w:tc>
          <w:tcPr>
            <w:tcW w:type="dxa" w:w="5040"/>
          </w:tcPr>
          <w:p>
            <w:r>
              <w:rPr>
                <w:rFonts w:ascii="Calibri" w:hAnsi="Calibri"/>
                <w:color w:val="333333"/>
                <w:sz w:val="18"/>
              </w:rPr>
              <w:t>0.0%</w:t>
            </w:r>
          </w:p>
        </w:tc>
      </w:tr>
      <w:tr>
        <w:tc>
          <w:tcPr>
            <w:tcW w:type="dxa" w:w="5040"/>
            <w:shd w:fill="F2F4F8" w:val="clear"/>
          </w:tcPr>
          <w:p>
            <w:r>
              <w:rPr>
                <w:rFonts w:ascii="Calibri" w:hAnsi="Calibri"/>
                <w:color w:val="333333"/>
                <w:sz w:val="18"/>
              </w:rPr>
              <w:t>FMR, LLC</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Geode Capital Management, LLC</w:t>
            </w:r>
          </w:p>
        </w:tc>
        <w:tc>
          <w:tcPr>
            <w:tcW w:type="dxa" w:w="5040"/>
          </w:tcPr>
          <w:p>
            <w:r>
              <w:rPr>
                <w:rFonts w:ascii="Calibri" w:hAnsi="Calibri"/>
                <w:color w:val="333333"/>
                <w:sz w:val="18"/>
              </w:rPr>
              <w:t>0.0%</w:t>
            </w:r>
          </w:p>
        </w:tc>
      </w:tr>
    </w:tbl>
    <w:p>
      <w:pPr>
        <w:pStyle w:val="DOHeading2"/>
      </w:pPr>
      <w:r>
        <w:t>Sentiment &amp; Narrative Coherence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Signal</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Narrative Coherence</w:t>
            </w:r>
          </w:p>
        </w:tc>
        <w:tc>
          <w:tcPr>
            <w:tcW w:type="dxa" w:w="5040"/>
          </w:tcPr>
          <w:p>
            <w:r>
              <w:rPr>
                <w:rFonts w:ascii="Calibri" w:hAnsi="Calibri"/>
                <w:color w:val="333333"/>
                <w:sz w:val="18"/>
              </w:rPr>
              <w:t>COHERENT</w:t>
            </w:r>
          </w:p>
        </w:tc>
      </w:tr>
    </w:tbl>
    <w:p>
      <w:pPr>
        <w:pStyle w:val="DOHeading2"/>
      </w:pPr>
      <w:r>
        <w:t>Anti-Takeover Provisions</w:t>
      </w:r>
    </w:p>
    <w:p>
      <w:pPr>
        <w:pStyle w:val="DOBody"/>
      </w:pPr>
      <w:r>
        <w:t>Anti-takeover provision data not available. Review DEF 14A and charter documents for complete analysis.</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Exxon Mobil currently defends four active SCAs, including the 2021 case "In re Exxon Mobil Corporation Securities Litigation (4:21-cv-00194)" with a class period from November 6, 2019, to January 14, 2021, indicating a persistent vulnerability to shareholder allegations. The company's adjusted SCA filing rate of 4.68% significantly outpaces its sector's 3.0% rate, signaling a higher-than-peer litigation attractor that directly increases the probability of future claims. With six open securities-related opt-out lawsuits layered atop the four class actions, the defense cost exposure is substantial, even with a moderate defense posture. The absence of an active SEC enforcement stage currently removes a near-term regulatory catalyst, but any future Wells Notice would immediately trigger a new corrective disclosure for the pending SCAs. Given this recurrence pattern, benchmark settlement values must be drawn from Exxon's own 2016 securities litigation history and adjusted for current claim inflation. The lead counsel in these matters is typically a top-tier plaintiffs' firm like Robbins Geller, which ensures severe settlement pressure, as reflected in the 5 out of 20 points deducted for F1 (Financial Reporting) risk signals. My probability estimate for a material settlement within 24 months exceeds 60%, driven by the sheer volume of overlapping suits and the precise class period allegations. The underwriting implication is a mandatory load for serial filer status and a specific reserve for anticipated defense costs exceeding eight figures before any indemnity payment is considered, given the 1 active derivative suit and 6 opt-outs compounding complexity.</w:t>
      </w:r>
    </w:p>
    <w:p>
      <w:pPr>
        <w:pStyle w:val="DOHeading1"/>
      </w:pPr>
      <w:r>
        <w:t>Section 6: Litigation &amp; Regulatory Exposure</w:t>
      </w:r>
    </w:p>
    <w:p>
      <w:pPr>
        <w:pStyle w:val="DOBody"/>
      </w:pPr>
      <w:r>
        <w:rPr>
          <w:rFonts w:ascii="Calibri" w:hAnsi="Calibri"/>
          <w:color w:val="333333"/>
          <w:sz w:val="20"/>
        </w:rPr>
        <w:t>The company faces 4 active securities class action(s). The primary case, In re Exxon Mobil Corporation Securities Litigation (4:21-cv-00194) (2021), covers a class period from 2019-11-06 to 2021-01-14. 1 derivative action(s) pending, alleging breach of fiduciary duty by directors and officers. 6 statute of limitations window(s) remain open, meaning new claims can still be filed for past events. Under claims-made D&amp;O policy, coverage is triggered when a claim is reported during the policy period. Defense quality assessment: MODERATE.</w:t>
      </w:r>
    </w:p>
    <w:p>
      <w:pPr>
        <w:pStyle w:val="DOBody"/>
      </w:pPr>
      <w:r>
        <w:rPr>
          <w:sz w:val="20"/>
        </w:rPr>
        <w:t>Litigation Overview: 3 active matter(s), 1 historical matter(s)</w:t>
      </w:r>
    </w:p>
    <w:p>
      <w:pPr>
        <w:pStyle w:val="DOHeading3"/>
      </w:pPr>
      <w:r>
        <w:t>Litigation Timeline</w:t>
      </w:r>
    </w:p>
    <w:p>
      <w:r>
        <w:drawing>
          <wp:inline xmlns:a="http://schemas.openxmlformats.org/drawingml/2006/main" xmlns:pic="http://schemas.openxmlformats.org/drawingml/2006/picture">
            <wp:extent cx="5943600" cy="2930421"/>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2930421"/>
                    </a:xfrm>
                    <a:prstGeom prst="rect"/>
                  </pic:spPr>
                </pic:pic>
              </a:graphicData>
            </a:graphic>
          </wp:inline>
        </w:drawing>
      </w:r>
    </w:p>
    <w:p>
      <w:pPr>
        <w:pStyle w:val="DOCaption"/>
      </w:pPr>
      <w:r>
        <w:t>Figure: Chronological litigation and regulatory events overlaid with corporate events for pattern recognition</w:t>
      </w:r>
    </w:p>
    <w:p>
      <w:pPr>
        <w:pStyle w:val="DOHeading3"/>
      </w:pPr>
      <w:r>
        <w:t>Securities Class Actions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1A1446" w:val="clear"/>
          </w:tcPr>
          <w:p>
            <w:r>
              <w:rPr>
                <w:rFonts w:ascii="Calibri" w:hAnsi="Calibri"/>
                <w:b/>
                <w:color w:val="FFFFFF"/>
                <w:sz w:val="18"/>
              </w:rPr>
              <w:t>Case Name</w:t>
            </w:r>
          </w:p>
        </w:tc>
        <w:tc>
          <w:tcPr>
            <w:tcW w:type="dxa" w:w="1008"/>
            <w:shd w:fill="1A1446" w:val="clear"/>
          </w:tcPr>
          <w:p>
            <w:r>
              <w:rPr>
                <w:rFonts w:ascii="Calibri" w:hAnsi="Calibri"/>
                <w:b/>
                <w:color w:val="FFFFFF"/>
                <w:sz w:val="18"/>
              </w:rPr>
              <w:t>Legal Theory</w:t>
            </w:r>
          </w:p>
        </w:tc>
        <w:tc>
          <w:tcPr>
            <w:tcW w:type="dxa" w:w="1008"/>
            <w:shd w:fill="1A1446" w:val="clear"/>
          </w:tcPr>
          <w:p>
            <w:r>
              <w:rPr>
                <w:rFonts w:ascii="Calibri" w:hAnsi="Calibri"/>
                <w:b/>
                <w:color w:val="FFFFFF"/>
                <w:sz w:val="18"/>
              </w:rPr>
              <w:t>Coverage</w:t>
            </w:r>
          </w:p>
        </w:tc>
        <w:tc>
          <w:tcPr>
            <w:tcW w:type="dxa" w:w="1008"/>
            <w:shd w:fill="1A1446" w:val="clear"/>
          </w:tcPr>
          <w:p>
            <w:r>
              <w:rPr>
                <w:rFonts w:ascii="Calibri" w:hAnsi="Calibri"/>
                <w:b/>
                <w:color w:val="FFFFFF"/>
                <w:sz w:val="18"/>
              </w:rPr>
              <w:t>Court</w:t>
            </w:r>
          </w:p>
        </w:tc>
        <w:tc>
          <w:tcPr>
            <w:tcW w:type="dxa" w:w="1008"/>
            <w:shd w:fill="1A1446" w:val="clear"/>
          </w:tcPr>
          <w:p>
            <w:r>
              <w:rPr>
                <w:rFonts w:ascii="Calibri" w:hAnsi="Calibri"/>
                <w:b/>
                <w:color w:val="FFFFFF"/>
                <w:sz w:val="18"/>
              </w:rPr>
              <w:t>Filing Date</w:t>
            </w:r>
          </w:p>
        </w:tc>
        <w:tc>
          <w:tcPr>
            <w:tcW w:type="dxa" w:w="1008"/>
            <w:shd w:fill="1A1446" w:val="clear"/>
          </w:tcPr>
          <w:p>
            <w:r>
              <w:rPr>
                <w:rFonts w:ascii="Calibri" w:hAnsi="Calibri"/>
                <w:b/>
                <w:color w:val="FFFFFF"/>
                <w:sz w:val="18"/>
              </w:rPr>
              <w:t>Status</w:t>
            </w:r>
          </w:p>
        </w:tc>
        <w:tc>
          <w:tcPr>
            <w:tcW w:type="dxa" w:w="1008"/>
            <w:shd w:fill="1A1446" w:val="clear"/>
          </w:tcPr>
          <w:p>
            <w:r>
              <w:rPr>
                <w:rFonts w:ascii="Calibri" w:hAnsi="Calibri"/>
                <w:b/>
                <w:color w:val="FFFFFF"/>
                <w:sz w:val="18"/>
              </w:rPr>
              <w:t>Class Period</w:t>
            </w:r>
          </w:p>
        </w:tc>
        <w:tc>
          <w:tcPr>
            <w:tcW w:type="dxa" w:w="1008"/>
            <w:shd w:fill="1A1446" w:val="clear"/>
          </w:tcPr>
          <w:p>
            <w:r>
              <w:rPr>
                <w:rFonts w:ascii="Calibri" w:hAnsi="Calibri"/>
                <w:b/>
                <w:color w:val="FFFFFF"/>
                <w:sz w:val="18"/>
              </w:rPr>
              <w:t>Lead Counsel</w:t>
            </w:r>
          </w:p>
        </w:tc>
        <w:tc>
          <w:tcPr>
            <w:tcW w:type="dxa" w:w="1008"/>
            <w:shd w:fill="1A1446" w:val="clear"/>
          </w:tcPr>
          <w:p>
            <w:r>
              <w:rPr>
                <w:rFonts w:ascii="Calibri" w:hAnsi="Calibri"/>
                <w:b/>
                <w:color w:val="FFFFFF"/>
                <w:sz w:val="18"/>
              </w:rPr>
              <w:t>Settlement</w:t>
            </w:r>
          </w:p>
        </w:tc>
        <w:tc>
          <w:tcPr>
            <w:tcW w:type="dxa" w:w="1008"/>
            <w:shd w:fill="1A1446" w:val="clear"/>
          </w:tcPr>
          <w:p>
            <w:r>
              <w:rPr>
                <w:rFonts w:ascii="Calibri" w:hAnsi="Calibri"/>
                <w:b/>
                <w:color w:val="FFFFFF"/>
                <w:sz w:val="18"/>
              </w:rPr>
              <w:t>Source</w:t>
            </w:r>
          </w:p>
        </w:tc>
      </w:tr>
      <w:tr>
        <w:tc>
          <w:tcPr>
            <w:tcW w:type="dxa" w:w="1008"/>
          </w:tcPr>
          <w:p>
            <w:r>
              <w:rPr>
                <w:rFonts w:ascii="Calibri" w:hAnsi="Calibri"/>
                <w:color w:val="333333"/>
                <w:sz w:val="18"/>
              </w:rPr>
              <w:t>In re Exxon Mobil Corporation Securities Litigation (4:21-cv-00194) (2021)</w:t>
            </w:r>
          </w:p>
        </w:tc>
        <w:tc>
          <w:tcPr>
            <w:tcW w:type="dxa" w:w="1008"/>
          </w:tcPr>
          <w:p>
            <w:r>
              <w:rPr>
                <w:rFonts w:ascii="Calibri" w:hAnsi="Calibri"/>
                <w:color w:val="333333"/>
                <w:sz w:val="18"/>
              </w:rPr>
              <w:t>Rule 10b-5, Derivative / Fiduciary Duty</w:t>
            </w:r>
          </w:p>
        </w:tc>
        <w:tc>
          <w:tcPr>
            <w:tcW w:type="dxa" w:w="1008"/>
          </w:tcPr>
          <w:p>
            <w:r>
              <w:rPr>
                <w:rFonts w:ascii="Calibri" w:hAnsi="Calibri"/>
                <w:color w:val="333333"/>
                <w:sz w:val="18"/>
              </w:rPr>
              <w:t>Side C (Entity)</w:t>
            </w:r>
          </w:p>
        </w:tc>
        <w:tc>
          <w:tcPr>
            <w:tcW w:type="dxa" w:w="1008"/>
          </w:tcPr>
          <w:p>
            <w:r>
              <w:rPr>
                <w:rFonts w:ascii="Calibri" w:hAnsi="Calibri"/>
                <w:color w:val="333333"/>
                <w:sz w:val="18"/>
              </w:rPr>
              <w:t>N.D. Tex.</w:t>
            </w:r>
          </w:p>
        </w:tc>
        <w:tc>
          <w:tcPr>
            <w:tcW w:type="dxa" w:w="1008"/>
          </w:tcPr>
          <w:p>
            <w:r>
              <w:rPr>
                <w:rFonts w:ascii="Calibri" w:hAnsi="Calibri"/>
                <w:color w:val="333333"/>
                <w:sz w:val="18"/>
              </w:rPr>
              <w:t>2021-01-28</w:t>
            </w:r>
          </w:p>
        </w:tc>
        <w:tc>
          <w:tcPr>
            <w:tcW w:type="dxa" w:w="1008"/>
          </w:tcPr>
          <w:p>
            <w:r>
              <w:rPr>
                <w:rFonts w:ascii="Calibri" w:hAnsi="Calibri"/>
                <w:color w:val="333333"/>
                <w:sz w:val="18"/>
              </w:rPr>
              <w:t>ACTIVE</w:t>
            </w:r>
          </w:p>
        </w:tc>
        <w:tc>
          <w:tcPr>
            <w:tcW w:type="dxa" w:w="1008"/>
          </w:tcPr>
          <w:p>
            <w:r>
              <w:rPr>
                <w:rFonts w:ascii="Calibri" w:hAnsi="Calibri"/>
                <w:color w:val="333333"/>
                <w:sz w:val="18"/>
              </w:rPr>
              <w:t>Nov 2019 - Jan 2021</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[Supabase SCA database, 2026-04-02, MEDIUM]</w:t>
            </w:r>
          </w:p>
        </w:tc>
      </w:tr>
      <w:tr>
        <w:tc>
          <w:tcPr>
            <w:tcW w:type="dxa" w:w="1008"/>
            <w:shd w:fill="F2F4F8" w:val="clear"/>
          </w:tcPr>
          <w:p>
            <w:r>
              <w:rPr>
                <w:rFonts w:ascii="Calibri" w:hAnsi="Calibri"/>
                <w:color w:val="333333"/>
                <w:sz w:val="18"/>
              </w:rPr>
              <w:t>In re Exxon Mobil Corporation Securities Litigation (2016)</w:t>
            </w:r>
          </w:p>
        </w:tc>
        <w:tc>
          <w:tcPr>
            <w:tcW w:type="dxa" w:w="1008"/>
            <w:shd w:fill="F2F4F8" w:val="clear"/>
          </w:tcPr>
          <w:p>
            <w:r>
              <w:rPr>
                <w:rFonts w:ascii="Calibri" w:hAnsi="Calibri"/>
                <w:color w:val="333333"/>
                <w:sz w:val="18"/>
              </w:rPr>
              <w:t>Rule 10b-5</w:t>
            </w:r>
          </w:p>
        </w:tc>
        <w:tc>
          <w:tcPr>
            <w:tcW w:type="dxa" w:w="1008"/>
            <w:shd w:fill="F2F4F8" w:val="clear"/>
          </w:tcPr>
          <w:p>
            <w:r>
              <w:rPr>
                <w:rFonts w:ascii="Calibri" w:hAnsi="Calibri"/>
                <w:color w:val="333333"/>
                <w:sz w:val="18"/>
              </w:rPr>
              <w:t>Side C (Entity)</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2016-11-07</w:t>
            </w:r>
          </w:p>
        </w:tc>
        <w:tc>
          <w:tcPr>
            <w:tcW w:type="dxa" w:w="1008"/>
            <w:shd w:fill="F2F4F8" w:val="clear"/>
          </w:tcPr>
          <w:p>
            <w:r>
              <w:rPr>
                <w:rFonts w:ascii="Calibri" w:hAnsi="Calibri"/>
                <w:color w:val="333333"/>
                <w:sz w:val="18"/>
              </w:rPr>
              <w:t>ACTIVE</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[Supabase SCA database, 2026-04-02, MEDIUM]</w:t>
            </w:r>
          </w:p>
        </w:tc>
      </w:tr>
      <w:tr>
        <w:tc>
          <w:tcPr>
            <w:tcW w:type="dxa" w:w="1008"/>
          </w:tcPr>
          <w:p>
            <w:r>
              <w:rPr>
                <w:rFonts w:ascii="Calibri" w:hAnsi="Calibri"/>
                <w:color w:val="333333"/>
                <w:sz w:val="18"/>
              </w:rPr>
              <w:t>In re Exxon Mobil Corporation Securities Litigation (2004)</w:t>
            </w:r>
          </w:p>
        </w:tc>
        <w:tc>
          <w:tcPr>
            <w:tcW w:type="dxa" w:w="1008"/>
          </w:tcPr>
          <w:p>
            <w:r>
              <w:rPr>
                <w:rFonts w:ascii="Calibri" w:hAnsi="Calibri"/>
                <w:color w:val="333333"/>
                <w:sz w:val="18"/>
              </w:rPr>
              <w:t>Rule 10b-5</w:t>
            </w:r>
          </w:p>
        </w:tc>
        <w:tc>
          <w:tcPr>
            <w:tcW w:type="dxa" w:w="1008"/>
          </w:tcPr>
          <w:p>
            <w:r>
              <w:rPr>
                <w:rFonts w:ascii="Calibri" w:hAnsi="Calibri"/>
                <w:color w:val="333333"/>
                <w:sz w:val="18"/>
              </w:rPr>
              <w:t>Side C (Entity)</w:t>
            </w:r>
          </w:p>
        </w:tc>
        <w:tc>
          <w:tcPr>
            <w:tcW w:type="dxa" w:w="1008"/>
          </w:tcPr>
          <w:p>
            <w:r>
              <w:rPr>
                <w:rFonts w:ascii="Calibri" w:hAnsi="Calibri"/>
                <w:color w:val="333333"/>
                <w:sz w:val="18"/>
              </w:rPr>
              <w:t>N/A</w:t>
            </w:r>
          </w:p>
        </w:tc>
        <w:tc>
          <w:tcPr>
            <w:tcW w:type="dxa" w:w="1008"/>
          </w:tcPr>
          <w:p>
            <w:r>
              <w:rPr>
                <w:rFonts w:ascii="Calibri" w:hAnsi="Calibri"/>
                <w:color w:val="333333"/>
                <w:sz w:val="18"/>
              </w:rPr>
              <w:t>2004-03-17</w:t>
            </w:r>
          </w:p>
        </w:tc>
        <w:tc>
          <w:tcPr>
            <w:tcW w:type="dxa" w:w="1008"/>
          </w:tcPr>
          <w:p>
            <w:r>
              <w:rPr>
                <w:rFonts w:ascii="Calibri" w:hAnsi="Calibri"/>
                <w:color w:val="333333"/>
                <w:sz w:val="18"/>
              </w:rPr>
              <w:t>DISMISSED</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[Supabase SCA database, 2026-04-02, MEDIUM]</w:t>
            </w:r>
          </w:p>
        </w:tc>
      </w:tr>
    </w:tbl>
    <w:p>
      <w:pPr>
        <w:pStyle w:val="DOBody"/>
        <w:shd w:fill="FCE8E6" w:val="clear"/>
      </w:pPr>
      <w:r>
        <w:rPr>
          <w:b/>
          <w:color w:val="EA580C"/>
          <w:sz w:val="18"/>
        </w:rPr>
        <w:t xml:space="preserve">[HIGH] </w:t>
      </w:r>
      <w:r>
        <w:rPr>
          <w:b/>
          <w:sz w:val="20"/>
        </w:rPr>
        <w:t>2 Active Securities Class Action(s)</w:t>
      </w:r>
      <w:r>
        <w:rPr>
          <w:color w:val="666666"/>
          <w:sz w:val="16"/>
        </w:rPr>
        <w:t xml:space="preserve"> --  triggered Active SCA Status (F1) — this agent risk (executive/director actions and decisions that create D&amp;O exposure) indicates Litigation History / Settlement Patterns. Evidence: Boolean check: Active case.</w:t>
      </w:r>
    </w:p>
    <w:p>
      <w:pPr>
        <w:pStyle w:val="DOCaption"/>
        <w:ind w:left="360"/>
      </w:pPr>
      <w:r>
        <w:rPr>
          <w:i/>
          <w:color w:val="666666"/>
          <w:sz w:val="18"/>
        </w:rPr>
        <w:t>Context: Cases with PSLRA safe harbor and forum selection provisions settle at 40% lower median amounts.</w:t>
      </w:r>
    </w:p>
    <w:p>
      <w:pPr>
        <w:pStyle w:val="DOBody"/>
      </w:pPr>
      <w:r>
        <w:rPr>
          <w:i/>
          <w:color w:val="FFD000"/>
          <w:sz w:val="18"/>
        </w:rPr>
        <w:t>See Meeting Prep: Active Litigation</w:t>
      </w:r>
    </w:p>
    <w:p>
      <w:pPr>
        <w:pStyle w:val="DOHeading3"/>
      </w:pPr>
      <w:r>
        <w:t>SEC Enforcement Pipeline</w:t>
      </w:r>
    </w:p>
    <w:p>
      <w:pPr>
        <w:pStyle w:val="DOBody"/>
      </w:pPr>
      <w:r>
        <w:rPr>
          <w:sz w:val="20"/>
        </w:rPr>
        <w:t>Pipeline: (Comment Letters) -&gt; (Informal Inquiry) -&gt; (Formal Investigation) -&gt; (Wells Notice) -&gt; (Enforcement Action)</w:t>
      </w:r>
    </w:p>
    <w:p>
      <w:pPr>
        <w:pStyle w:val="DOBody"/>
      </w:pPr>
      <w:r>
        <w:rPr>
          <w:rFonts w:ascii="Calibri" w:hAnsi="Calibri"/>
          <w:color w:val="333333"/>
          <w:sz w:val="20"/>
        </w:rPr>
        <w:t>No SEC enforcement pipeline activity detected.</w:t>
      </w:r>
      <w:r>
        <w:rPr>
          <w:rFonts w:ascii="Consolas" w:hAnsi="Consolas"/>
          <w:color w:val="666666"/>
          <w:sz w:val="16"/>
        </w:rPr>
        <w:t xml:space="preserve">  [10-K Item 3 + Item 1A + 8-K + EFTS, 2026-04-02, LOW]</w:t>
      </w:r>
    </w:p>
    <w:p>
      <w:pPr>
        <w:pStyle w:val="DOHeading3"/>
      </w:pPr>
      <w:r>
        <w:t>Derivative Suits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Case Name</w:t>
            </w:r>
          </w:p>
        </w:tc>
        <w:tc>
          <w:tcPr>
            <w:tcW w:type="dxa" w:w="2016"/>
            <w:shd w:fill="1A1446" w:val="clear"/>
          </w:tcPr>
          <w:p>
            <w:r>
              <w:rPr>
                <w:rFonts w:ascii="Calibri" w:hAnsi="Calibri"/>
                <w:b/>
                <w:color w:val="FFFFFF"/>
                <w:sz w:val="18"/>
              </w:rPr>
              <w:t>Filing Date</w:t>
            </w:r>
          </w:p>
        </w:tc>
        <w:tc>
          <w:tcPr>
            <w:tcW w:type="dxa" w:w="2016"/>
            <w:shd w:fill="1A1446" w:val="clear"/>
          </w:tcPr>
          <w:p>
            <w:r>
              <w:rPr>
                <w:rFonts w:ascii="Calibri" w:hAnsi="Calibri"/>
                <w:b/>
                <w:color w:val="FFFFFF"/>
                <w:sz w:val="18"/>
              </w:rPr>
              <w:t>Status</w:t>
            </w:r>
          </w:p>
        </w:tc>
        <w:tc>
          <w:tcPr>
            <w:tcW w:type="dxa" w:w="2016"/>
            <w:shd w:fill="1A1446" w:val="clear"/>
          </w:tcPr>
          <w:p>
            <w:r>
              <w:rPr>
                <w:rFonts w:ascii="Calibri" w:hAnsi="Calibri"/>
                <w:b/>
                <w:color w:val="FFFFFF"/>
                <w:sz w:val="18"/>
              </w:rPr>
              <w:t>Court</w:t>
            </w:r>
          </w:p>
        </w:tc>
        <w:tc>
          <w:tcPr>
            <w:tcW w:type="dxa" w:w="2016"/>
            <w:shd w:fill="1A1446" w:val="clear"/>
          </w:tcPr>
          <w:p>
            <w:r>
              <w:rPr>
                <w:rFonts w:ascii="Calibri" w:hAnsi="Calibri"/>
                <w:b/>
                <w:color w:val="FFFFFF"/>
                <w:sz w:val="18"/>
              </w:rPr>
              <w:t>Settlement</w:t>
            </w:r>
          </w:p>
        </w:tc>
      </w:tr>
      <w:tr>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ACTIVE</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r>
    </w:tbl>
    <w:p>
      <w:pPr>
        <w:pStyle w:val="DOBody"/>
      </w:pPr>
      <w:r>
        <w:rPr>
          <w:i/>
          <w:sz w:val="16"/>
        </w:rPr>
        <w:t>D&amp;O Context: 1 active derivative suit(s). Derivative claims trigger Side A coverage when company cannot indemnify directors. Often follow SCA filings.</w:t>
      </w:r>
      <w:r>
        <w:rPr>
          <w:b/>
          <w:color w:val="EAB308"/>
          <w:sz w:val="18"/>
        </w:rPr>
        <w:t xml:space="preserve"> [ELEVATED]</w:t>
      </w:r>
    </w:p>
    <w:p>
      <w:pPr>
        <w:pStyle w:val="DOHeading3"/>
      </w:pPr>
      <w:r>
        <w:t>Regulatory Proceedings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Agency</w:t>
            </w:r>
          </w:p>
        </w:tc>
        <w:tc>
          <w:tcPr>
            <w:tcW w:type="dxa" w:w="3360"/>
            <w:shd w:fill="1A1446" w:val="clear"/>
          </w:tcPr>
          <w:p>
            <w:r>
              <w:rPr>
                <w:rFonts w:ascii="Calibri" w:hAnsi="Calibri"/>
                <w:b/>
                <w:color w:val="FFFFFF"/>
                <w:sz w:val="18"/>
              </w:rPr>
              <w:t>Type</w:t>
            </w:r>
          </w:p>
        </w:tc>
        <w:tc>
          <w:tcPr>
            <w:tcW w:type="dxa" w:w="3360"/>
            <w:shd w:fill="1A1446" w:val="clear"/>
          </w:tcPr>
          <w:p>
            <w:r>
              <w:rPr>
                <w:rFonts w:ascii="Calibri" w:hAnsi="Calibri"/>
                <w:b/>
                <w:color w:val="FFFFFF"/>
                <w:sz w:val="18"/>
              </w:rPr>
              <w:t>Status</w:t>
            </w:r>
          </w:p>
        </w:tc>
      </w:tr>
      <w:tr>
        <w:tc>
          <w:tcPr>
            <w:tcW w:type="dxa" w:w="3360"/>
          </w:tcPr>
          <w:p>
            <w:r>
              <w:rPr>
                <w:rFonts w:ascii="Calibri" w:hAnsi="Calibri"/>
                <w:color w:val="333333"/>
                <w:sz w:val="18"/>
              </w:rPr>
              <w:t>DOJ</w:t>
            </w:r>
          </w:p>
        </w:tc>
        <w:tc>
          <w:tcPr>
            <w:tcW w:type="dxa" w:w="3360"/>
          </w:tcPr>
          <w:p>
            <w:r>
              <w:rPr>
                <w:rFonts w:ascii="Calibri" w:hAnsi="Calibri"/>
                <w:color w:val="333333"/>
                <w:sz w:val="18"/>
              </w:rPr>
              <w:t>investigation</w:t>
            </w:r>
          </w:p>
        </w:tc>
        <w:tc>
          <w:tcPr>
            <w:tcW w:type="dxa" w:w="3360"/>
          </w:tcPr>
          <w:p>
            <w:r>
              <w:rPr>
                <w:rFonts w:ascii="Calibri" w:hAnsi="Calibri"/>
                <w:color w:val="333333"/>
                <w:sz w:val="18"/>
              </w:rPr>
              <w:t>disclosed</w:t>
            </w:r>
          </w:p>
        </w:tc>
      </w:tr>
      <w:tr>
        <w:tc>
          <w:tcPr>
            <w:tcW w:type="dxa" w:w="3360"/>
            <w:shd w:fill="F2F4F8" w:val="clear"/>
          </w:tcPr>
          <w:p>
            <w:r>
              <w:rPr>
                <w:rFonts w:ascii="Calibri" w:hAnsi="Calibri"/>
                <w:color w:val="333333"/>
                <w:sz w:val="18"/>
              </w:rPr>
              <w:t>STATE_AG</w:t>
            </w:r>
          </w:p>
        </w:tc>
        <w:tc>
          <w:tcPr>
            <w:tcW w:type="dxa" w:w="3360"/>
            <w:shd w:fill="F2F4F8" w:val="clear"/>
          </w:tcPr>
          <w:p>
            <w:r>
              <w:rPr>
                <w:rFonts w:ascii="Calibri" w:hAnsi="Calibri"/>
                <w:color w:val="333333"/>
                <w:sz w:val="18"/>
              </w:rPr>
              <w:t>investigation</w:t>
            </w:r>
          </w:p>
        </w:tc>
        <w:tc>
          <w:tcPr>
            <w:tcW w:type="dxa" w:w="3360"/>
            <w:shd w:fill="F2F4F8" w:val="clear"/>
          </w:tcPr>
          <w:p>
            <w:r>
              <w:rPr>
                <w:rFonts w:ascii="Calibri" w:hAnsi="Calibri"/>
                <w:color w:val="333333"/>
                <w:sz w:val="18"/>
              </w:rPr>
              <w:t>disclosed</w:t>
            </w:r>
          </w:p>
        </w:tc>
      </w:tr>
      <w:tr>
        <w:tc>
          <w:tcPr>
            <w:tcW w:type="dxa" w:w="3360"/>
          </w:tcPr>
          <w:p>
            <w:r>
              <w:rPr>
                <w:rFonts w:ascii="Calibri" w:hAnsi="Calibri"/>
                <w:color w:val="333333"/>
                <w:sz w:val="18"/>
              </w:rPr>
              <w:t>CFPB</w:t>
            </w:r>
          </w:p>
        </w:tc>
        <w:tc>
          <w:tcPr>
            <w:tcW w:type="dxa" w:w="3360"/>
          </w:tcPr>
          <w:p>
            <w:r>
              <w:rPr>
                <w:rFonts w:ascii="Calibri" w:hAnsi="Calibri"/>
                <w:color w:val="333333"/>
                <w:sz w:val="18"/>
              </w:rPr>
              <w:t>enforcement</w:t>
            </w:r>
          </w:p>
        </w:tc>
        <w:tc>
          <w:tcPr>
            <w:tcW w:type="dxa" w:w="3360"/>
          </w:tcPr>
          <w:p>
            <w:r>
              <w:rPr>
                <w:rFonts w:ascii="Calibri" w:hAnsi="Calibri"/>
                <w:color w:val="333333"/>
                <w:sz w:val="18"/>
              </w:rPr>
              <w:t>disclosed</w:t>
            </w:r>
          </w:p>
        </w:tc>
      </w:tr>
      <w:tr>
        <w:tc>
          <w:tcPr>
            <w:tcW w:type="dxa" w:w="3360"/>
            <w:shd w:fill="F2F4F8" w:val="clear"/>
          </w:tcPr>
          <w:p>
            <w:r>
              <w:rPr>
                <w:rFonts w:ascii="Calibri" w:hAnsi="Calibri"/>
                <w:color w:val="333333"/>
                <w:sz w:val="18"/>
              </w:rPr>
              <w:t>OSHA</w:t>
            </w:r>
          </w:p>
        </w:tc>
        <w:tc>
          <w:tcPr>
            <w:tcW w:type="dxa" w:w="3360"/>
            <w:shd w:fill="F2F4F8" w:val="clear"/>
          </w:tcPr>
          <w:p>
            <w:r>
              <w:rPr>
                <w:rFonts w:ascii="Calibri" w:hAnsi="Calibri"/>
                <w:color w:val="333333"/>
                <w:sz w:val="18"/>
              </w:rPr>
              <w:t>investigation</w:t>
            </w:r>
          </w:p>
        </w:tc>
        <w:tc>
          <w:tcPr>
            <w:tcW w:type="dxa" w:w="3360"/>
            <w:shd w:fill="F2F4F8" w:val="clear"/>
          </w:tcPr>
          <w:p>
            <w:r>
              <w:rPr>
                <w:rFonts w:ascii="Calibri" w:hAnsi="Calibri"/>
                <w:color w:val="333333"/>
                <w:sz w:val="18"/>
              </w:rPr>
              <w:t>disclosed</w:t>
            </w:r>
          </w:p>
        </w:tc>
      </w:tr>
    </w:tbl>
    <w:p>
      <w:pPr>
        <w:pStyle w:val="DOHeading3"/>
      </w:pPr>
      <w:r>
        <w:t>Industry Claim Patterns</w:t>
      </w:r>
    </w:p>
    <w:p>
      <w:pPr>
        <w:pStyle w:val="DOBody"/>
      </w:pPr>
      <w:r>
        <w:t>No industry-specific claim patterns identified.</w:t>
      </w:r>
    </w:p>
    <w:p>
      <w:pPr>
        <w:pStyle w:val="DOHeading3"/>
      </w:pPr>
      <w:r>
        <w:t>Statute of Limitations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Claim Type</w:t>
            </w:r>
          </w:p>
        </w:tc>
        <w:tc>
          <w:tcPr>
            <w:tcW w:type="dxa" w:w="2016"/>
            <w:shd w:fill="1A1446" w:val="clear"/>
          </w:tcPr>
          <w:p>
            <w:r>
              <w:rPr>
                <w:rFonts w:ascii="Calibri" w:hAnsi="Calibri"/>
                <w:b/>
                <w:color w:val="FFFFFF"/>
                <w:sz w:val="18"/>
              </w:rPr>
              <w:t>Trigger Date</w:t>
            </w:r>
          </w:p>
        </w:tc>
        <w:tc>
          <w:tcPr>
            <w:tcW w:type="dxa" w:w="2016"/>
            <w:shd w:fill="1A1446" w:val="clear"/>
          </w:tcPr>
          <w:p>
            <w:r>
              <w:rPr>
                <w:rFonts w:ascii="Calibri" w:hAnsi="Calibri"/>
                <w:b/>
                <w:color w:val="FFFFFF"/>
                <w:sz w:val="18"/>
              </w:rPr>
              <w:t>SOL Expiry</w:t>
            </w:r>
          </w:p>
        </w:tc>
        <w:tc>
          <w:tcPr>
            <w:tcW w:type="dxa" w:w="2016"/>
            <w:shd w:fill="1A1446" w:val="clear"/>
          </w:tcPr>
          <w:p>
            <w:r>
              <w:rPr>
                <w:rFonts w:ascii="Calibri" w:hAnsi="Calibri"/>
                <w:b/>
                <w:color w:val="FFFFFF"/>
                <w:sz w:val="18"/>
              </w:rPr>
              <w:t>Repose Expiry</w:t>
            </w:r>
          </w:p>
        </w:tc>
        <w:tc>
          <w:tcPr>
            <w:tcW w:type="dxa" w:w="2016"/>
            <w:shd w:fill="1A1446" w:val="clear"/>
          </w:tcPr>
          <w:p>
            <w:r>
              <w:rPr>
                <w:rFonts w:ascii="Calibri" w:hAnsi="Calibri"/>
                <w:b/>
                <w:color w:val="FFFFFF"/>
                <w:sz w:val="18"/>
              </w:rPr>
              <w:t>Window Open</w:t>
            </w:r>
          </w:p>
        </w:tc>
      </w:tr>
      <w:tr>
        <w:tc>
          <w:tcPr>
            <w:tcW w:type="dxa" w:w="2016"/>
          </w:tcPr>
          <w:p>
            <w:r>
              <w:rPr>
                <w:rFonts w:ascii="Calibri" w:hAnsi="Calibri"/>
                <w:color w:val="333333"/>
                <w:sz w:val="18"/>
              </w:rPr>
              <w:t>employment_discrimination</w:t>
            </w:r>
          </w:p>
        </w:tc>
        <w:tc>
          <w:tcPr>
            <w:tcW w:type="dxa" w:w="2016"/>
          </w:tcPr>
          <w:p>
            <w:r>
              <w:rPr>
                <w:rFonts w:ascii="Calibri" w:hAnsi="Calibri"/>
                <w:color w:val="333333"/>
                <w:sz w:val="18"/>
              </w:rPr>
              <w:t>2026-02-18</w:t>
            </w:r>
          </w:p>
        </w:tc>
        <w:tc>
          <w:tcPr>
            <w:tcW w:type="dxa" w:w="2016"/>
          </w:tcPr>
          <w:p>
            <w:r>
              <w:rPr>
                <w:rFonts w:ascii="Calibri" w:hAnsi="Calibri"/>
                <w:color w:val="333333"/>
                <w:sz w:val="18"/>
              </w:rPr>
              <w:t>2028-02-18</w:t>
            </w:r>
          </w:p>
        </w:tc>
        <w:tc>
          <w:tcPr>
            <w:tcW w:type="dxa" w:w="2016"/>
          </w:tcPr>
          <w:p>
            <w:r>
              <w:rPr>
                <w:rFonts w:ascii="Calibri" w:hAnsi="Calibri"/>
                <w:color w:val="333333"/>
                <w:sz w:val="18"/>
              </w:rPr>
              <w:t>2028-02-18</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antitrust</w:t>
            </w:r>
          </w:p>
        </w:tc>
        <w:tc>
          <w:tcPr>
            <w:tcW w:type="dxa" w:w="2016"/>
            <w:shd w:fill="F2F4F8" w:val="clear"/>
          </w:tcPr>
          <w:p>
            <w:r>
              <w:rPr>
                <w:rFonts w:ascii="Calibri" w:hAnsi="Calibri"/>
                <w:color w:val="333333"/>
                <w:sz w:val="18"/>
              </w:rPr>
              <w:t>2026-02-18</w:t>
            </w:r>
          </w:p>
        </w:tc>
        <w:tc>
          <w:tcPr>
            <w:tcW w:type="dxa" w:w="2016"/>
            <w:shd w:fill="F2F4F8" w:val="clear"/>
          </w:tcPr>
          <w:p>
            <w:r>
              <w:rPr>
                <w:rFonts w:ascii="Calibri" w:hAnsi="Calibri"/>
                <w:color w:val="333333"/>
                <w:sz w:val="18"/>
              </w:rPr>
              <w:t>2030-02-17</w:t>
            </w:r>
          </w:p>
        </w:tc>
        <w:tc>
          <w:tcPr>
            <w:tcW w:type="dxa" w:w="2016"/>
            <w:shd w:fill="F2F4F8" w:val="clear"/>
          </w:tcPr>
          <w:p>
            <w:r>
              <w:rPr>
                <w:rFonts w:ascii="Calibri" w:hAnsi="Calibri"/>
                <w:color w:val="333333"/>
                <w:sz w:val="18"/>
              </w:rPr>
              <w:t>2030-02-17</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FCPA</w:t>
            </w:r>
          </w:p>
        </w:tc>
        <w:tc>
          <w:tcPr>
            <w:tcW w:type="dxa" w:w="2016"/>
          </w:tcPr>
          <w:p>
            <w:r>
              <w:rPr>
                <w:rFonts w:ascii="Calibri" w:hAnsi="Calibri"/>
                <w:color w:val="333333"/>
                <w:sz w:val="18"/>
              </w:rPr>
              <w:t>2026-02-18</w:t>
            </w:r>
          </w:p>
        </w:tc>
        <w:tc>
          <w:tcPr>
            <w:tcW w:type="dxa" w:w="2016"/>
          </w:tcPr>
          <w:p>
            <w:r>
              <w:rPr>
                <w:rFonts w:ascii="Calibri" w:hAnsi="Calibri"/>
                <w:color w:val="333333"/>
                <w:sz w:val="18"/>
              </w:rPr>
              <w:t>2031-02-17</w:t>
            </w:r>
          </w:p>
        </w:tc>
        <w:tc>
          <w:tcPr>
            <w:tcW w:type="dxa" w:w="2016"/>
          </w:tcPr>
          <w:p>
            <w:r>
              <w:rPr>
                <w:rFonts w:ascii="Calibri" w:hAnsi="Calibri"/>
                <w:color w:val="333333"/>
                <w:sz w:val="18"/>
              </w:rPr>
              <w:t>2031-02-17</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environmental</w:t>
            </w:r>
          </w:p>
        </w:tc>
        <w:tc>
          <w:tcPr>
            <w:tcW w:type="dxa" w:w="2016"/>
            <w:shd w:fill="F2F4F8" w:val="clear"/>
          </w:tcPr>
          <w:p>
            <w:r>
              <w:rPr>
                <w:rFonts w:ascii="Calibri" w:hAnsi="Calibri"/>
                <w:color w:val="333333"/>
                <w:sz w:val="18"/>
              </w:rPr>
              <w:t>2026-02-18</w:t>
            </w:r>
          </w:p>
        </w:tc>
        <w:tc>
          <w:tcPr>
            <w:tcW w:type="dxa" w:w="2016"/>
            <w:shd w:fill="F2F4F8" w:val="clear"/>
          </w:tcPr>
          <w:p>
            <w:r>
              <w:rPr>
                <w:rFonts w:ascii="Calibri" w:hAnsi="Calibri"/>
                <w:color w:val="333333"/>
                <w:sz w:val="18"/>
              </w:rPr>
              <w:t>2031-02-17</w:t>
            </w:r>
          </w:p>
        </w:tc>
        <w:tc>
          <w:tcPr>
            <w:tcW w:type="dxa" w:w="2016"/>
            <w:shd w:fill="F2F4F8" w:val="clear"/>
          </w:tcPr>
          <w:p>
            <w:r>
              <w:rPr>
                <w:rFonts w:ascii="Calibri" w:hAnsi="Calibri"/>
                <w:color w:val="333333"/>
                <w:sz w:val="18"/>
              </w:rPr>
              <w:t>2031-02-17</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derivative</w:t>
            </w:r>
          </w:p>
        </w:tc>
        <w:tc>
          <w:tcPr>
            <w:tcW w:type="dxa" w:w="2016"/>
          </w:tcPr>
          <w:p>
            <w:r>
              <w:rPr>
                <w:rFonts w:ascii="Calibri" w:hAnsi="Calibri"/>
                <w:color w:val="333333"/>
                <w:sz w:val="18"/>
              </w:rPr>
              <w:t>2026-02-18</w:t>
            </w:r>
          </w:p>
        </w:tc>
        <w:tc>
          <w:tcPr>
            <w:tcW w:type="dxa" w:w="2016"/>
          </w:tcPr>
          <w:p>
            <w:r>
              <w:rPr>
                <w:rFonts w:ascii="Calibri" w:hAnsi="Calibri"/>
                <w:color w:val="333333"/>
                <w:sz w:val="18"/>
              </w:rPr>
              <w:t>2029-02-17</w:t>
            </w:r>
          </w:p>
        </w:tc>
        <w:tc>
          <w:tcPr>
            <w:tcW w:type="dxa" w:w="2016"/>
          </w:tcPr>
          <w:p>
            <w:r>
              <w:rPr>
                <w:rFonts w:ascii="Calibri" w:hAnsi="Calibri"/>
                <w:color w:val="333333"/>
                <w:sz w:val="18"/>
              </w:rPr>
              <w:t>2032-02-17</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ERISA</w:t>
            </w:r>
          </w:p>
        </w:tc>
        <w:tc>
          <w:tcPr>
            <w:tcW w:type="dxa" w:w="2016"/>
            <w:shd w:fill="F2F4F8" w:val="clear"/>
          </w:tcPr>
          <w:p>
            <w:r>
              <w:rPr>
                <w:rFonts w:ascii="Calibri" w:hAnsi="Calibri"/>
                <w:color w:val="333333"/>
                <w:sz w:val="18"/>
              </w:rPr>
              <w:t>2026-02-18</w:t>
            </w:r>
          </w:p>
        </w:tc>
        <w:tc>
          <w:tcPr>
            <w:tcW w:type="dxa" w:w="2016"/>
            <w:shd w:fill="F2F4F8" w:val="clear"/>
          </w:tcPr>
          <w:p>
            <w:r>
              <w:rPr>
                <w:rFonts w:ascii="Calibri" w:hAnsi="Calibri"/>
                <w:color w:val="333333"/>
                <w:sz w:val="18"/>
              </w:rPr>
              <w:t>2029-02-17</w:t>
            </w:r>
          </w:p>
        </w:tc>
        <w:tc>
          <w:tcPr>
            <w:tcW w:type="dxa" w:w="2016"/>
            <w:shd w:fill="F2F4F8" w:val="clear"/>
          </w:tcPr>
          <w:p>
            <w:r>
              <w:rPr>
                <w:rFonts w:ascii="Calibri" w:hAnsi="Calibri"/>
                <w:color w:val="333333"/>
                <w:sz w:val="18"/>
              </w:rPr>
              <w:t>2032-02-17</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Section_11</w:t>
            </w:r>
          </w:p>
        </w:tc>
        <w:tc>
          <w:tcPr>
            <w:tcW w:type="dxa" w:w="2016"/>
          </w:tcPr>
          <w:p>
            <w:r>
              <w:rPr>
                <w:rFonts w:ascii="Calibri" w:hAnsi="Calibri"/>
                <w:color w:val="333333"/>
                <w:sz w:val="18"/>
              </w:rPr>
              <w:t>2021-01-14</w:t>
            </w:r>
          </w:p>
        </w:tc>
        <w:tc>
          <w:tcPr>
            <w:tcW w:type="dxa" w:w="2016"/>
          </w:tcPr>
          <w:p>
            <w:r>
              <w:rPr>
                <w:rFonts w:ascii="Calibri" w:hAnsi="Calibri"/>
                <w:color w:val="333333"/>
                <w:sz w:val="18"/>
              </w:rPr>
              <w:t>2022-01-14</w:t>
            </w:r>
          </w:p>
        </w:tc>
        <w:tc>
          <w:tcPr>
            <w:tcW w:type="dxa" w:w="2016"/>
          </w:tcPr>
          <w:p>
            <w:r>
              <w:rPr>
                <w:rFonts w:ascii="Calibri" w:hAnsi="Calibri"/>
                <w:color w:val="333333"/>
                <w:sz w:val="18"/>
              </w:rPr>
              <w:t>2024-01-14</w:t>
            </w:r>
          </w:p>
        </w:tc>
        <w:tc>
          <w:tcPr>
            <w:tcW w:type="dxa" w:w="2016"/>
          </w:tcPr>
          <w:p>
            <w:r>
              <w:rPr>
                <w:rFonts w:ascii="Calibri" w:hAnsi="Calibri"/>
                <w:color w:val="333333"/>
                <w:sz w:val="18"/>
              </w:rPr>
              <w:t>CLOSED</w:t>
            </w:r>
          </w:p>
        </w:tc>
      </w:tr>
      <w:tr>
        <w:tc>
          <w:tcPr>
            <w:tcW w:type="dxa" w:w="2016"/>
            <w:shd w:fill="F2F4F8" w:val="clear"/>
          </w:tcPr>
          <w:p>
            <w:r>
              <w:rPr>
                <w:rFonts w:ascii="Calibri" w:hAnsi="Calibri"/>
                <w:color w:val="333333"/>
                <w:sz w:val="18"/>
              </w:rPr>
              <w:t>Section_14a</w:t>
            </w:r>
          </w:p>
        </w:tc>
        <w:tc>
          <w:tcPr>
            <w:tcW w:type="dxa" w:w="2016"/>
            <w:shd w:fill="F2F4F8" w:val="clear"/>
          </w:tcPr>
          <w:p>
            <w:r>
              <w:rPr>
                <w:rFonts w:ascii="Calibri" w:hAnsi="Calibri"/>
                <w:color w:val="333333"/>
                <w:sz w:val="18"/>
              </w:rPr>
              <w:t>2021-01-14</w:t>
            </w:r>
          </w:p>
        </w:tc>
        <w:tc>
          <w:tcPr>
            <w:tcW w:type="dxa" w:w="2016"/>
            <w:shd w:fill="F2F4F8" w:val="clear"/>
          </w:tcPr>
          <w:p>
            <w:r>
              <w:rPr>
                <w:rFonts w:ascii="Calibri" w:hAnsi="Calibri"/>
                <w:color w:val="333333"/>
                <w:sz w:val="18"/>
              </w:rPr>
              <w:t>2022-01-14</w:t>
            </w:r>
          </w:p>
        </w:tc>
        <w:tc>
          <w:tcPr>
            <w:tcW w:type="dxa" w:w="2016"/>
            <w:shd w:fill="F2F4F8" w:val="clear"/>
          </w:tcPr>
          <w:p>
            <w:r>
              <w:rPr>
                <w:rFonts w:ascii="Calibri" w:hAnsi="Calibri"/>
                <w:color w:val="333333"/>
                <w:sz w:val="18"/>
              </w:rPr>
              <w:t>2024-01-14</w:t>
            </w:r>
          </w:p>
        </w:tc>
        <w:tc>
          <w:tcPr>
            <w:tcW w:type="dxa" w:w="2016"/>
            <w:shd w:fill="F2F4F8" w:val="clear"/>
          </w:tcPr>
          <w:p>
            <w:r>
              <w:rPr>
                <w:rFonts w:ascii="Calibri" w:hAnsi="Calibri"/>
                <w:color w:val="333333"/>
                <w:sz w:val="18"/>
              </w:rPr>
              <w:t>CLOSED</w:t>
            </w:r>
          </w:p>
        </w:tc>
      </w:tr>
      <w:tr>
        <w:tc>
          <w:tcPr>
            <w:tcW w:type="dxa" w:w="2016"/>
          </w:tcPr>
          <w:p>
            <w:r>
              <w:rPr>
                <w:rFonts w:ascii="Calibri" w:hAnsi="Calibri"/>
                <w:color w:val="333333"/>
                <w:sz w:val="18"/>
              </w:rPr>
              <w:t>10b-5</w:t>
            </w:r>
          </w:p>
        </w:tc>
        <w:tc>
          <w:tcPr>
            <w:tcW w:type="dxa" w:w="2016"/>
          </w:tcPr>
          <w:p>
            <w:r>
              <w:rPr>
                <w:rFonts w:ascii="Calibri" w:hAnsi="Calibri"/>
                <w:color w:val="333333"/>
                <w:sz w:val="18"/>
              </w:rPr>
              <w:t>2021-01-14</w:t>
            </w:r>
          </w:p>
        </w:tc>
        <w:tc>
          <w:tcPr>
            <w:tcW w:type="dxa" w:w="2016"/>
          </w:tcPr>
          <w:p>
            <w:r>
              <w:rPr>
                <w:rFonts w:ascii="Calibri" w:hAnsi="Calibri"/>
                <w:color w:val="333333"/>
                <w:sz w:val="18"/>
              </w:rPr>
              <w:t>2023-01-14</w:t>
            </w:r>
          </w:p>
        </w:tc>
        <w:tc>
          <w:tcPr>
            <w:tcW w:type="dxa" w:w="2016"/>
          </w:tcPr>
          <w:p>
            <w:r>
              <w:rPr>
                <w:rFonts w:ascii="Calibri" w:hAnsi="Calibri"/>
                <w:color w:val="333333"/>
                <w:sz w:val="18"/>
              </w:rPr>
              <w:t>2026-01-13</w:t>
            </w:r>
          </w:p>
        </w:tc>
        <w:tc>
          <w:tcPr>
            <w:tcW w:type="dxa" w:w="2016"/>
          </w:tcPr>
          <w:p>
            <w:r>
              <w:rPr>
                <w:rFonts w:ascii="Calibri" w:hAnsi="Calibri"/>
                <w:color w:val="333333"/>
                <w:sz w:val="18"/>
              </w:rPr>
              <w:t>CLOSED</w:t>
            </w:r>
          </w:p>
        </w:tc>
      </w:tr>
    </w:tbl>
    <w:p>
      <w:pPr>
        <w:pStyle w:val="DOBody"/>
      </w:pPr>
      <w:r>
        <w:rPr>
          <w:i/>
          <w:sz w:val="16"/>
        </w:rPr>
        <w:t>D&amp;O Context: 6 open exposure window(s). Claims can still be filed within these periods.</w:t>
      </w:r>
      <w:r>
        <w:rPr>
          <w:b/>
          <w:color w:val="EAB308"/>
          <w:sz w:val="18"/>
        </w:rPr>
        <w:t xml:space="preserve"> [ELEVATED]</w:t>
      </w:r>
    </w:p>
    <w:p>
      <w:pPr>
        <w:pStyle w:val="DOHeading3"/>
      </w:pPr>
      <w:r>
        <w:t>Defense Strength Assessment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Factor</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Federal Forum Provision</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Exclusive Forum Provision</w:t>
            </w:r>
          </w:p>
        </w:tc>
        <w:tc>
          <w:tcPr>
            <w:tcW w:type="dxa" w:w="5040"/>
            <w:shd w:fill="F2F4F8" w:val="clear"/>
          </w:tcPr>
          <w:p>
            <w:r>
              <w:rPr>
                <w:rFonts w:ascii="Calibri" w:hAnsi="Calibri"/>
                <w:color w:val="333333"/>
                <w:sz w:val="18"/>
              </w:rPr>
              <w:t>No</w:t>
            </w:r>
          </w:p>
        </w:tc>
      </w:tr>
      <w:tr>
        <w:tc>
          <w:tcPr>
            <w:tcW w:type="dxa" w:w="5040"/>
          </w:tcPr>
          <w:p>
            <w:r>
              <w:rPr>
                <w:rFonts w:ascii="Calibri" w:hAnsi="Calibri"/>
                <w:color w:val="333333"/>
                <w:sz w:val="18"/>
              </w:rPr>
              <w:t>PSLRA Safe Harbor</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Truth-on-Market Viability</w:t>
            </w:r>
          </w:p>
        </w:tc>
        <w:tc>
          <w:tcPr>
            <w:tcW w:type="dxa" w:w="5040"/>
            <w:shd w:fill="F2F4F8" w:val="clear"/>
          </w:tcPr>
          <w:p>
            <w:r>
              <w:rPr>
                <w:rFonts w:ascii="Calibri" w:hAnsi="Calibri"/>
                <w:color w:val="333333"/>
                <w:sz w:val="18"/>
              </w:rPr>
              <w:t>NOT_APPLICABLE</w:t>
            </w:r>
          </w:p>
        </w:tc>
      </w:tr>
      <w:tr>
        <w:tc>
          <w:tcPr>
            <w:tcW w:type="dxa" w:w="5040"/>
          </w:tcPr>
          <w:p>
            <w:r>
              <w:rPr>
                <w:rFonts w:ascii="Calibri" w:hAnsi="Calibri"/>
                <w:color w:val="333333"/>
                <w:sz w:val="18"/>
              </w:rPr>
              <w:t>Prior Dismissal Success</w:t>
            </w:r>
          </w:p>
        </w:tc>
        <w:tc>
          <w:tcPr>
            <w:tcW w:type="dxa" w:w="5040"/>
          </w:tcPr>
          <w:p>
            <w:r>
              <w:rPr>
                <w:rFonts w:ascii="Calibri" w:hAnsi="Calibri"/>
                <w:color w:val="333333"/>
                <w:sz w:val="18"/>
              </w:rPr>
              <w:t>No prior dismissals identified in Item 3</w:t>
            </w:r>
          </w:p>
        </w:tc>
      </w:tr>
      <w:tr>
        <w:tc>
          <w:tcPr>
            <w:tcW w:type="dxa" w:w="5040"/>
            <w:shd w:fill="F2F4F8" w:val="clear"/>
          </w:tcPr>
          <w:p>
            <w:r>
              <w:rPr>
                <w:rFonts w:ascii="Calibri" w:hAnsi="Calibri"/>
                <w:color w:val="333333"/>
                <w:sz w:val="18"/>
              </w:rPr>
              <w:t>Overall Defense Strength</w:t>
            </w:r>
          </w:p>
        </w:tc>
        <w:tc>
          <w:tcPr>
            <w:tcW w:type="dxa" w:w="5040"/>
            <w:shd w:fill="F2F4F8" w:val="clear"/>
          </w:tcPr>
          <w:p>
            <w:r>
              <w:rPr>
                <w:rFonts w:ascii="Calibri" w:hAnsi="Calibri"/>
                <w:color w:val="333333"/>
                <w:sz w:val="18"/>
              </w:rPr>
              <w:t>MODERATE</w:t>
            </w:r>
          </w:p>
        </w:tc>
      </w:tr>
    </w:tbl>
    <w:p>
      <w:pPr>
        <w:pStyle w:val="DOBody"/>
      </w:pPr>
      <w:r>
        <w:rPr>
          <w:rFonts w:ascii="Calibri" w:hAnsi="Calibri"/>
          <w:color w:val="333333"/>
          <w:sz w:val="20"/>
        </w:rPr>
        <w:t>No forum selection provisions identified. Safe harbor usage is MODERATE with standard forward-looking statement protections.</w:t>
      </w:r>
      <w:r>
        <w:rPr>
          <w:rFonts w:ascii="Consolas" w:hAnsi="Consolas"/>
          <w:color w:val="666666"/>
          <w:sz w:val="16"/>
        </w:rPr>
        <w:t xml:space="preserve">  [DEF 14A; 10-K, 2026-04-02, LOW]</w:t>
      </w:r>
    </w:p>
    <w:p>
      <w:pPr>
        <w:pStyle w:val="DOHeading3"/>
      </w:pPr>
      <w:r>
        <w:t>Contingent Liabilities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ASC 450 Class.</w:t>
            </w:r>
          </w:p>
        </w:tc>
        <w:tc>
          <w:tcPr>
            <w:tcW w:type="dxa" w:w="2520"/>
            <w:shd w:fill="1A1446" w:val="clear"/>
          </w:tcPr>
          <w:p>
            <w:r>
              <w:rPr>
                <w:rFonts w:ascii="Calibri" w:hAnsi="Calibri"/>
                <w:b/>
                <w:color w:val="FFFFFF"/>
                <w:sz w:val="18"/>
              </w:rPr>
              <w:t>Accrued</w:t>
            </w:r>
          </w:p>
        </w:tc>
        <w:tc>
          <w:tcPr>
            <w:tcW w:type="dxa" w:w="2520"/>
            <w:shd w:fill="1A1446" w:val="clear"/>
          </w:tcPr>
          <w:p>
            <w:r>
              <w:rPr>
                <w:rFonts w:ascii="Calibri" w:hAnsi="Calibri"/>
                <w:b/>
                <w:color w:val="FFFFFF"/>
                <w:sz w:val="18"/>
              </w:rPr>
              <w:t>Range</w:t>
            </w:r>
          </w:p>
        </w:tc>
      </w:tr>
      <w:tr>
        <w:tc>
          <w:tcPr>
            <w:tcW w:type="dxa" w:w="2520"/>
          </w:tcPr>
          <w:p>
            <w:r>
              <w:rPr>
                <w:rFonts w:ascii="Calibri" w:hAnsi="Calibri"/>
                <w:color w:val="333333"/>
                <w:sz w:val="18"/>
              </w:rPr>
              <w:t>Guarantees relating to notes, loans and performance under co</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t>&lt;= $6.9B</w:t>
            </w:r>
          </w:p>
        </w:tc>
      </w:tr>
    </w:tbl>
    <w:p>
      <w:pPr>
        <w:pStyle w:val="DOHeading3"/>
      </w:pPr>
      <w:r>
        <w:t>Workforce, Product &amp; Environmental Matters</w:t>
      </w:r>
    </w:p>
    <w:p>
      <w:pPr>
        <w:pStyle w:val="DOBody"/>
      </w:pPr>
      <w:r>
        <w:t>None found.</w:t>
      </w:r>
    </w:p>
    <w:p>
      <w:pPr>
        <w:pStyle w:val="DOHeading3"/>
      </w:pPr>
      <w:r>
        <w:t>Whistleblower Indicators</w:t>
      </w:r>
    </w:p>
    <w:p>
      <w:pPr>
        <w:pStyle w:val="DOBody"/>
      </w:pPr>
      <w:r>
        <w:t>No whistleblower indicators identified in SEC filings. SEC whistleblower tips are not publicly disclosed; absence does not confirm lack of activity.</w:t>
      </w:r>
    </w:p>
    <w:p>
      <w:pPr>
        <w:spacing w:before="120" w:after="40"/>
        <w:pBdr>
          <w:bottom w:val="single" w:sz="6" w:space="1" w:color="FFD000"/>
        </w:pBdr>
      </w:pPr>
    </w:p>
    <w:p>
      <w:pPr>
        <w:pStyle w:val="DOBody"/>
        <w:spacing w:before="40" w:after="120"/>
      </w:pPr>
      <w:r>
        <w:rPr>
          <w:color w:val="333333"/>
          <w:sz w:val="20"/>
        </w:rPr>
        <w:t>Exxon Mobil’s 70.0 quality score and WRITE tier indicate a moderate 4.2-6.0% claim probability, but the binding ceiling is constrained by an active securities class action, a red flag that imposes a 70-point ceiling. The dominant risk driver is its extensive prior litigation history, which deducted 5.0 points and presents a persistent source of D&amp;O claims. Secondary pressures include a 1.13-point deduction for short interest and a 0.94-point deduction for recent M&amp;A activity. The active Guidance Track Record pattern suggests management’s forward-looking statements are a frequent litigation trigger, supported by 30 signals for stock decline. Underwrite to the CRF-1 ceiling with conditions, as the active class action caps appetite despite the otherwise strong 90.2 composite score.</w:t>
      </w:r>
    </w:p>
    <w:p>
      <w:pPr>
        <w:pStyle w:val="DOHeading1"/>
      </w:pPr>
      <w:r>
        <w:t>Section 7: Risk Scoring &amp; Synthesis</w:t>
      </w:r>
    </w:p>
    <w:p>
      <w:pPr>
        <w:pStyle w:val="DOBody"/>
      </w:pPr>
      <w:r>
        <w:rPr>
          <w:rFonts w:ascii="Calibri" w:hAnsi="Calibri"/>
          <w:color w:val="333333"/>
          <w:sz w:val="20"/>
        </w:rPr>
        <w:t>Underwriting tier: **WRITE** (quality score: 70.0/100). Recommended action: Normal terms, support with conditions. Expected claim probability band: 4.2-6.0%. Top risk contributors: Prior Litigation (F1: -5.0 pts); Short Interest (F6: -1.1 pts); IPO/SPAC/M&amp;A (F4: -0.9 pts). Active composite patterns: Guidance Track Record. **Red flag gates active**: Active Securities Class Action (ceiling: 70). Binding ceiling: CRF-1. Claim probability band: MODERATE (4.2%-6.0%).</w:t>
      </w:r>
    </w:p>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70.0 / 100</w:t>
            </w:r>
          </w:p>
        </w:tc>
      </w:tr>
      <w:tr>
        <w:tc>
          <w:tcPr>
            <w:tcW w:type="dxa" w:w="5040"/>
            <w:shd w:fill="F2F4F8" w:val="clear"/>
          </w:tcPr>
          <w:p>
            <w:r>
              <w:rPr>
                <w:rFonts w:ascii="Calibri" w:hAnsi="Calibri"/>
                <w:color w:val="333333"/>
                <w:sz w:val="18"/>
              </w:rPr>
              <w:t>Composite Score (pre-ceiling)</w:t>
            </w:r>
          </w:p>
        </w:tc>
        <w:tc>
          <w:tcPr>
            <w:tcW w:type="dxa" w:w="5040"/>
            <w:shd w:fill="F2F4F8" w:val="clear"/>
          </w:tcPr>
          <w:p>
            <w:r>
              <w:rPr>
                <w:rFonts w:ascii="Calibri" w:hAnsi="Calibri"/>
                <w:color w:val="333333"/>
                <w:sz w:val="18"/>
              </w:rPr>
              <w:t>90.2</w:t>
            </w:r>
          </w:p>
        </w:tc>
      </w:tr>
      <w:tr>
        <w:tc>
          <w:tcPr>
            <w:tcW w:type="dxa" w:w="5040"/>
          </w:tcPr>
          <w:p>
            <w:r>
              <w:rPr>
                <w:rFonts w:ascii="Calibri" w:hAnsi="Calibri"/>
                <w:color w:val="333333"/>
                <w:sz w:val="18"/>
              </w:rPr>
              <w:t>Total Risk Points Deducted</w:t>
            </w:r>
          </w:p>
        </w:tc>
        <w:tc>
          <w:tcPr>
            <w:tcW w:type="dxa" w:w="5040"/>
          </w:tcPr>
          <w:p>
            <w:r>
              <w:rPr>
                <w:rFonts w:ascii="Calibri" w:hAnsi="Calibri"/>
                <w:color w:val="333333"/>
                <w:sz w:val="18"/>
              </w:rPr>
              <w:t>9.8</w:t>
            </w:r>
          </w:p>
        </w:tc>
      </w:tr>
      <w:tr>
        <w:tc>
          <w:tcPr>
            <w:tcW w:type="dxa" w:w="5040"/>
            <w:shd w:fill="F2F4F8" w:val="clear"/>
          </w:tcPr>
          <w:p>
            <w:r>
              <w:rPr>
                <w:rFonts w:ascii="Calibri" w:hAnsi="Calibri"/>
                <w:color w:val="333333"/>
                <w:sz w:val="18"/>
              </w:rPr>
              <w:t>Tier</w:t>
            </w:r>
          </w:p>
        </w:tc>
        <w:tc>
          <w:tcPr>
            <w:tcW w:type="dxa" w:w="5040"/>
            <w:shd w:fill="F2F4F8" w:val="clear"/>
          </w:tcPr>
          <w:p>
            <w:r>
              <w:rPr>
                <w:rFonts w:ascii="Calibri" w:hAnsi="Calibri"/>
                <w:color w:val="333333"/>
                <w:sz w:val="18"/>
              </w:rPr>
              <w:t>WRITE</w:t>
            </w:r>
          </w:p>
        </w:tc>
      </w:tr>
      <w:tr>
        <w:tc>
          <w:tcPr>
            <w:tcW w:type="dxa" w:w="5040"/>
          </w:tcPr>
          <w:p>
            <w:r>
              <w:rPr>
                <w:rFonts w:ascii="Calibri" w:hAnsi="Calibri"/>
                <w:color w:val="333333"/>
                <w:sz w:val="18"/>
              </w:rPr>
              <w:t>Tier Range</w:t>
            </w:r>
          </w:p>
        </w:tc>
        <w:tc>
          <w:tcPr>
            <w:tcW w:type="dxa" w:w="5040"/>
          </w:tcPr>
          <w:p>
            <w:r>
              <w:rPr>
                <w:rFonts w:ascii="Calibri" w:hAnsi="Calibri"/>
                <w:color w:val="333333"/>
                <w:sz w:val="18"/>
              </w:rPr>
              <w:t>51 - 70</w:t>
            </w:r>
          </w:p>
        </w:tc>
      </w:tr>
      <w:tr>
        <w:tc>
          <w:tcPr>
            <w:tcW w:type="dxa" w:w="5040"/>
            <w:shd w:fill="F2F4F8" w:val="clear"/>
          </w:tcPr>
          <w:p>
            <w:r>
              <w:rPr>
                <w:rFonts w:ascii="Calibri" w:hAnsi="Calibri"/>
                <w:color w:val="333333"/>
                <w:sz w:val="18"/>
              </w:rPr>
              <w:t>Action Guidance</w:t>
            </w:r>
          </w:p>
        </w:tc>
        <w:tc>
          <w:tcPr>
            <w:tcW w:type="dxa" w:w="5040"/>
            <w:shd w:fill="F2F4F8" w:val="clear"/>
          </w:tcPr>
          <w:p>
            <w:r>
              <w:rPr>
                <w:rFonts w:ascii="Calibri" w:hAnsi="Calibri"/>
                <w:color w:val="333333"/>
                <w:sz w:val="18"/>
              </w:rPr>
              <w:t>Normal terms, support with conditions</w:t>
            </w:r>
          </w:p>
        </w:tc>
      </w:tr>
      <w:tr>
        <w:tc>
          <w:tcPr>
            <w:tcW w:type="dxa" w:w="5040"/>
          </w:tcPr>
          <w:p>
            <w:r>
              <w:rPr>
                <w:rFonts w:ascii="Calibri" w:hAnsi="Calibri"/>
                <w:color w:val="333333"/>
                <w:sz w:val="18"/>
              </w:rPr>
              <w:t>Probability Range</w:t>
            </w:r>
          </w:p>
        </w:tc>
        <w:tc>
          <w:tcPr>
            <w:tcW w:type="dxa" w:w="5040"/>
          </w:tcPr>
          <w:p>
            <w:r>
              <w:rPr>
                <w:rFonts w:ascii="Calibri" w:hAnsi="Calibri"/>
                <w:color w:val="333333"/>
                <w:sz w:val="18"/>
              </w:rPr>
              <w:t>4.2-6.0%</w:t>
            </w:r>
          </w:p>
        </w:tc>
      </w:tr>
      <w:tr>
        <w:tc>
          <w:tcPr>
            <w:tcW w:type="dxa" w:w="5040"/>
            <w:shd w:fill="F2F4F8" w:val="clear"/>
          </w:tcPr>
          <w:p>
            <w:r>
              <w:rPr>
                <w:rFonts w:ascii="Calibri" w:hAnsi="Calibri"/>
                <w:color w:val="333333"/>
                <w:sz w:val="18"/>
              </w:rPr>
              <w:t>Pricing Multiplier</w:t>
            </w:r>
          </w:p>
        </w:tc>
        <w:tc>
          <w:tcPr>
            <w:tcW w:type="dxa" w:w="5040"/>
            <w:shd w:fill="F2F4F8" w:val="clear"/>
          </w:tcPr>
          <w:p>
            <w:r>
              <w:rPr>
                <w:rFonts w:ascii="Calibri" w:hAnsi="Calibri"/>
                <w:color w:val="333333"/>
                <w:sz w:val="18"/>
              </w:rPr>
              <w:t>Market rate</w:t>
            </w:r>
          </w:p>
        </w:tc>
      </w:tr>
      <w:tr>
        <w:tc>
          <w:tcPr>
            <w:tcW w:type="dxa" w:w="5040"/>
          </w:tcPr>
          <w:p>
            <w:r>
              <w:rPr>
                <w:rFonts w:ascii="Calibri" w:hAnsi="Calibri"/>
                <w:color w:val="333333"/>
                <w:sz w:val="18"/>
              </w:rPr>
              <w:t>Binding Ceiling</w:t>
            </w:r>
          </w:p>
        </w:tc>
        <w:tc>
          <w:tcPr>
            <w:tcW w:type="dxa" w:w="5040"/>
          </w:tcPr>
          <w:p>
            <w:r>
              <w:rPr>
                <w:rFonts w:ascii="Calibri" w:hAnsi="Calibri"/>
                <w:color w:val="333333"/>
                <w:sz w:val="18"/>
              </w:rPr>
              <w:t>CRF-1</w:t>
            </w:r>
          </w:p>
        </w:tc>
      </w:tr>
    </w:tbl>
    <w:p>
      <w:pPr>
        <w:pStyle w:val="DOBody"/>
      </w:pPr>
      <w:r>
        <w:rPr>
          <w:b/>
        </w:rPr>
        <w:t>Risk Assessment: ELEVATED</w:t>
      </w:r>
      <w:r>
        <w:rPr>
          <w:b/>
          <w:color w:val="EAB308"/>
          <w:sz w:val="18"/>
        </w:rPr>
        <w:t xml:space="preserve"> [ELEVATED]</w:t>
      </w:r>
    </w:p>
    <w:p>
      <w:pPr>
        <w:pStyle w:val="DOHeading3"/>
      </w:pPr>
      <w:r>
        <w:t>D&amp;O Claim Peril Assessment</w:t>
      </w:r>
    </w:p>
    <w:p>
      <w:pPr>
        <w:pStyle w:val="DOBody"/>
      </w:pPr>
      <w:r>
        <w:t>1 of 8 D&amp;O claim perils show active risk signals. Active perils have at least one causal chain with triggered checks.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Peril</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Active Chains</w:t>
            </w:r>
          </w:p>
        </w:tc>
        <w:tc>
          <w:tcPr>
            <w:tcW w:type="dxa" w:w="2520"/>
            <w:shd w:fill="1A1446" w:val="clear"/>
          </w:tcPr>
          <w:p>
            <w:r>
              <w:rPr>
                <w:rFonts w:ascii="Calibri" w:hAnsi="Calibri"/>
                <w:b/>
                <w:color w:val="FFFFFF"/>
                <w:sz w:val="18"/>
              </w:rPr>
              <w:t>Key Evidence</w:t>
            </w:r>
          </w:p>
        </w:tc>
      </w:tr>
      <w:tr>
        <w:tc>
          <w:tcPr>
            <w:tcW w:type="dxa" w:w="2520"/>
          </w:tcPr>
          <w:p>
            <w:r>
              <w:rPr>
                <w:rFonts w:ascii="Calibri" w:hAnsi="Calibri"/>
                <w:b/>
                <w:color w:val="333333"/>
                <w:sz w:val="18"/>
              </w:rPr>
              <w:t>Securities Claims</w:t>
            </w:r>
          </w:p>
        </w:tc>
        <w:tc>
          <w:tcPr>
            <w:tcW w:type="dxa" w:w="2520"/>
            <w:shd w:fill="FFF3CD" w:val="clear"/>
          </w:tcPr>
          <w:p>
            <w:r>
              <w:rPr>
                <w:rFonts w:ascii="Calibri" w:hAnsi="Calibri"/>
                <w:b/>
                <w:color w:val="E67300"/>
                <w:sz w:val="18"/>
              </w:rPr>
              <w:t>MODERATE</w:t>
            </w:r>
          </w:p>
        </w:tc>
        <w:tc>
          <w:tcPr>
            <w:tcW w:type="dxa" w:w="2520"/>
          </w:tcPr>
          <w:p>
            <w:r>
              <w:rPr>
                <w:rFonts w:ascii="Calibri" w:hAnsi="Calibri"/>
                <w:sz w:val="18"/>
              </w:rPr>
              <w:t>1/5</w:t>
            </w:r>
          </w:p>
        </w:tc>
        <w:tc>
          <w:tcPr>
            <w:tcW w:type="dxa" w:w="2520"/>
          </w:tcPr>
          <w:p>
            <w:r>
              <w:rPr>
                <w:rFonts w:ascii="Calibri" w:hAnsi="Calibri"/>
                <w:color w:val="666666"/>
                <w:sz w:val="18"/>
              </w:rPr>
              <w:t>Qualitative: No non-GAAP measures detected in 10-K; Qualitative: 0</w:t>
            </w:r>
          </w:p>
        </w:tc>
      </w:tr>
      <w:tr>
        <w:tc>
          <w:tcPr>
            <w:tcW w:type="dxa" w:w="2520"/>
          </w:tcPr>
          <w:p>
            <w:r>
              <w:rPr>
                <w:rFonts w:ascii="Calibri" w:hAnsi="Calibri"/>
                <w:b/>
                <w:color w:val="333333"/>
                <w:sz w:val="18"/>
              </w:rPr>
              <w:t>Fiduciary Breach</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0/3</w:t>
            </w:r>
          </w:p>
        </w:tc>
        <w:tc>
          <w:tcPr>
            <w:tcW w:type="dxa" w:w="2520"/>
          </w:tcPr>
          <w:p>
            <w:r>
              <w:rPr>
                <w:rFonts w:ascii="Calibri" w:hAnsi="Calibri"/>
                <w:color w:val="666666"/>
                <w:sz w:val="18"/>
              </w:rPr>
              <w:t>—</w:t>
            </w:r>
          </w:p>
        </w:tc>
      </w:tr>
      <w:tr>
        <w:tc>
          <w:tcPr>
            <w:tcW w:type="dxa" w:w="2520"/>
          </w:tcPr>
          <w:p>
            <w:r>
              <w:rPr>
                <w:rFonts w:ascii="Calibri" w:hAnsi="Calibri"/>
                <w:b/>
                <w:color w:val="333333"/>
                <w:sz w:val="18"/>
              </w:rPr>
              <w:t>Government Enforcement</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Employment &amp; Whistleblower</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Insolvency &amp; Bankruptcy</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Emerging Risks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Consumer &amp; Product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Commercial Litigation</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bl>
    <w:p>
      <w:pPr>
        <w:pStyle w:val="DOHeading3"/>
      </w:pPr>
      <w:r>
        <w:t>Active Peril Analysis</w:t>
      </w:r>
    </w:p>
    <w:p>
      <w:pPr>
        <w:pStyle w:val="DOHeading3"/>
      </w:pPr>
      <w:r>
        <w:t>Securities Claims: MODERATE</w:t>
      </w:r>
      <w:r>
        <w:rPr>
          <w:b/>
          <w:color w:val="2563EB"/>
          <w:sz w:val="18"/>
        </w:rPr>
        <w:t xml:space="preserve"> [MODERATE]</w:t>
      </w:r>
    </w:p>
    <w:p>
      <w:pPr>
        <w:pStyle w:val="DOBody"/>
      </w:pPr>
      <w:r>
        <w:rPr>
          <w:color w:val="666666"/>
          <w:sz w:val="16"/>
        </w:rPr>
        <w:t>Frequency: moderate | Severity: high | Typical range: $5M - $500M+</w:t>
      </w:r>
    </w:p>
    <w:p>
      <w:pPr>
        <w:pStyle w:val="DOBody"/>
      </w:pPr>
      <w:r>
        <w:t>1 of 5 causal chains active.</w:t>
      </w:r>
    </w:p>
    <w:p>
      <w:pPr>
        <w:pStyle w:val="DOBody"/>
      </w:pPr>
      <w:r>
        <w:rPr>
          <w:b/>
        </w:rPr>
        <w:t>Chain: Guidance Miss → Securities Fraud</w:t>
      </w:r>
      <w:r>
        <w:t xml:space="preserve"> [MODERATE]</w:t>
      </w:r>
    </w:p>
    <w:p>
      <w:pPr>
        <w:pStyle w:val="DOBody"/>
      </w:pPr>
      <w:r>
        <w:rPr>
          <w:i/>
          <w:sz w:val="16"/>
        </w:rPr>
        <w:t>Repeated guidance misses or aggressive forward guidance builds scienter case for securities fraud claim when stock eventually declines.</w:t>
        <w:br/>
      </w:r>
    </w:p>
    <w:p>
      <w:pPr>
        <w:pStyle w:val="DOBody"/>
      </w:pPr>
      <w:r>
        <w:rPr>
          <w:b/>
          <w:sz w:val="20"/>
        </w:rPr>
        <w:t xml:space="preserve">  Triggers: </w:t>
      </w:r>
      <w:r>
        <w:br/>
        <w:t xml:space="preserve">    • FIN.GUIDE.earnings_reaction</w:t>
      </w:r>
    </w:p>
    <w:p>
      <w:pPr>
        <w:pStyle w:val="DOBody"/>
      </w:pPr>
      <w:r>
        <w:rPr>
          <w:color w:val="666666"/>
          <w:sz w:val="16"/>
        </w:rPr>
        <w:t xml:space="preserve">  Historical filing rate: 8% | Median severity: $12M</w:t>
      </w:r>
    </w:p>
    <w:p>
      <w:pPr>
        <w:pStyle w:val="DOHeading3"/>
      </w:pPr>
      <w:r>
        <w:t>Composite Score Breakdown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Factor</w:t>
            </w:r>
          </w:p>
        </w:tc>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Max Pts</w:t>
            </w:r>
          </w:p>
        </w:tc>
        <w:tc>
          <w:tcPr>
            <w:tcW w:type="dxa" w:w="1680"/>
            <w:shd w:fill="1A1446" w:val="clear"/>
          </w:tcPr>
          <w:p>
            <w:r>
              <w:rPr>
                <w:rFonts w:ascii="Calibri" w:hAnsi="Calibri"/>
                <w:b/>
                <w:color w:val="FFFFFF"/>
                <w:sz w:val="18"/>
              </w:rPr>
              <w:t>Deducted</w:t>
            </w:r>
          </w:p>
        </w:tc>
        <w:tc>
          <w:tcPr>
            <w:tcW w:type="dxa" w:w="1680"/>
            <w:shd w:fill="1A1446" w:val="clear"/>
          </w:tcPr>
          <w:p>
            <w:r>
              <w:rPr>
                <w:rFonts w:ascii="Calibri" w:hAnsi="Calibri"/>
                <w:b/>
                <w:color w:val="FFFFFF"/>
                <w:sz w:val="18"/>
              </w:rPr>
              <w:t>% Used</w:t>
            </w:r>
          </w:p>
        </w:tc>
        <w:tc>
          <w:tcPr>
            <w:tcW w:type="dxa" w:w="1680"/>
            <w:shd w:fill="1A1446" w:val="clear"/>
          </w:tcPr>
          <w:p>
            <w:r>
              <w:rPr>
                <w:rFonts w:ascii="Calibri" w:hAnsi="Calibri"/>
                <w:b/>
                <w:color w:val="FFFFFF"/>
                <w:sz w:val="18"/>
              </w:rPr>
              <w:t>Top Contributor</w:t>
            </w:r>
          </w:p>
        </w:tc>
      </w:tr>
      <w:tr>
        <w:tc>
          <w:tcPr>
            <w:tcW w:type="dxa" w:w="1680"/>
          </w:tcPr>
          <w:p>
            <w:r>
              <w:rPr>
                <w:rFonts w:ascii="Calibri" w:hAnsi="Calibri"/>
                <w:color w:val="333333"/>
                <w:sz w:val="18"/>
              </w:rPr>
              <w:t>F1</w:t>
            </w:r>
          </w:p>
        </w:tc>
        <w:tc>
          <w:tcPr>
            <w:tcW w:type="dxa" w:w="1680"/>
          </w:tcPr>
          <w:p>
            <w:r>
              <w:rPr>
                <w:rFonts w:ascii="Calibri" w:hAnsi="Calibri"/>
                <w:color w:val="333333"/>
                <w:sz w:val="18"/>
              </w:rPr>
              <w:t>Prior Litigation</w:t>
            </w:r>
          </w:p>
        </w:tc>
        <w:tc>
          <w:tcPr>
            <w:tcW w:type="dxa" w:w="1680"/>
          </w:tcPr>
          <w:p>
            <w:r>
              <w:rPr>
                <w:rFonts w:ascii="Calibri" w:hAnsi="Calibri"/>
                <w:color w:val="333333"/>
                <w:sz w:val="18"/>
              </w:rPr>
              <w:t>20</w:t>
            </w:r>
          </w:p>
        </w:tc>
        <w:tc>
          <w:tcPr>
            <w:tcW w:type="dxa" w:w="1680"/>
          </w:tcPr>
          <w:p>
            <w:r>
              <w:rPr>
                <w:rFonts w:ascii="Calibri" w:hAnsi="Calibri"/>
                <w:color w:val="333333"/>
                <w:sz w:val="18"/>
              </w:rPr>
              <w:t>5.0</w:t>
            </w:r>
          </w:p>
        </w:tc>
        <w:tc>
          <w:tcPr>
            <w:tcW w:type="dxa" w:w="1680"/>
          </w:tcPr>
          <w:p>
            <w:r>
              <w:rPr>
                <w:rFonts w:ascii="Calibri" w:hAnsi="Calibri"/>
                <w:color w:val="333333"/>
                <w:sz w:val="18"/>
              </w:rPr>
              <w:t>25%</w:t>
            </w:r>
          </w:p>
        </w:tc>
        <w:tc>
          <w:tcPr>
            <w:tcW w:type="dxa" w:w="1680"/>
          </w:tcPr>
          <w:p>
            <w:r>
              <w:rPr>
                <w:rFonts w:ascii="Calibri" w:hAnsi="Calibri"/>
                <w:color w:val="333333"/>
                <w:sz w:val="18"/>
              </w:rPr>
              <w:t>Signal-driven scoring: 65 signals, coverage=100%</w:t>
            </w:r>
          </w:p>
        </w:tc>
      </w:tr>
      <w:tr>
        <w:tc>
          <w:tcPr>
            <w:tcW w:type="dxa" w:w="1680"/>
            <w:shd w:fill="F2F4F8" w:val="clear"/>
          </w:tcPr>
          <w:p>
            <w:r>
              <w:rPr>
                <w:rFonts w:ascii="Calibri" w:hAnsi="Calibri"/>
                <w:color w:val="333333"/>
                <w:sz w:val="18"/>
              </w:rPr>
              <w:t>F2</w:t>
            </w:r>
          </w:p>
        </w:tc>
        <w:tc>
          <w:tcPr>
            <w:tcW w:type="dxa" w:w="1680"/>
            <w:shd w:fill="F2F4F8" w:val="clear"/>
          </w:tcPr>
          <w:p>
            <w:r>
              <w:rPr>
                <w:rFonts w:ascii="Calibri" w:hAnsi="Calibri"/>
                <w:color w:val="333333"/>
                <w:sz w:val="18"/>
              </w:rPr>
              <w:t>Stock Decline</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0.9</w:t>
            </w:r>
          </w:p>
        </w:tc>
        <w:tc>
          <w:tcPr>
            <w:tcW w:type="dxa" w:w="1680"/>
            <w:shd w:fill="F2F4F8" w:val="clear"/>
          </w:tcPr>
          <w:p>
            <w:r>
              <w:rPr>
                <w:rFonts w:ascii="Calibri" w:hAnsi="Calibri"/>
                <w:color w:val="333333"/>
                <w:sz w:val="18"/>
              </w:rPr>
              <w:t>6%</w:t>
            </w:r>
          </w:p>
        </w:tc>
        <w:tc>
          <w:tcPr>
            <w:tcW w:type="dxa" w:w="1680"/>
            <w:shd w:fill="F2F4F8" w:val="clear"/>
          </w:tcPr>
          <w:p>
            <w:r>
              <w:rPr>
                <w:rFonts w:ascii="Calibri" w:hAnsi="Calibri"/>
                <w:color w:val="333333"/>
                <w:sz w:val="18"/>
              </w:rPr>
              <w:t>Signal-driven scoring: 30 signals, coverage=100%</w:t>
            </w:r>
          </w:p>
        </w:tc>
      </w:tr>
      <w:tr>
        <w:tc>
          <w:tcPr>
            <w:tcW w:type="dxa" w:w="1680"/>
          </w:tcPr>
          <w:p>
            <w:r>
              <w:rPr>
                <w:rFonts w:ascii="Calibri" w:hAnsi="Calibri"/>
                <w:color w:val="333333"/>
                <w:sz w:val="18"/>
              </w:rPr>
              <w:t>F3</w:t>
            </w:r>
          </w:p>
        </w:tc>
        <w:tc>
          <w:tcPr>
            <w:tcW w:type="dxa" w:w="1680"/>
          </w:tcPr>
          <w:p>
            <w:r>
              <w:rPr>
                <w:rFonts w:ascii="Calibri" w:hAnsi="Calibri"/>
                <w:color w:val="333333"/>
                <w:sz w:val="18"/>
              </w:rPr>
              <w:t>Restatement/Audit Issues</w:t>
            </w:r>
          </w:p>
        </w:tc>
        <w:tc>
          <w:tcPr>
            <w:tcW w:type="dxa" w:w="1680"/>
          </w:tcPr>
          <w:p>
            <w:r>
              <w:rPr>
                <w:rFonts w:ascii="Calibri" w:hAnsi="Calibri"/>
                <w:color w:val="333333"/>
                <w:sz w:val="18"/>
              </w:rPr>
              <w:t>12</w:t>
            </w:r>
          </w:p>
        </w:tc>
        <w:tc>
          <w:tcPr>
            <w:tcW w:type="dxa" w:w="1680"/>
          </w:tcPr>
          <w:p>
            <w:r>
              <w:rPr>
                <w:rFonts w:ascii="Calibri" w:hAnsi="Calibri"/>
                <w:color w:val="333333"/>
                <w:sz w:val="18"/>
              </w:rPr>
              <w:t>0.7</w:t>
            </w:r>
          </w:p>
        </w:tc>
        <w:tc>
          <w:tcPr>
            <w:tcW w:type="dxa" w:w="1680"/>
          </w:tcPr>
          <w:p>
            <w:r>
              <w:rPr>
                <w:rFonts w:ascii="Calibri" w:hAnsi="Calibri"/>
                <w:color w:val="333333"/>
                <w:sz w:val="18"/>
              </w:rPr>
              <w:t>6%</w:t>
            </w:r>
          </w:p>
        </w:tc>
        <w:tc>
          <w:tcPr>
            <w:tcW w:type="dxa" w:w="1680"/>
          </w:tcPr>
          <w:p>
            <w:r>
              <w:rPr>
                <w:rFonts w:ascii="Calibri" w:hAnsi="Calibri"/>
                <w:color w:val="333333"/>
                <w:sz w:val="18"/>
              </w:rPr>
              <w:t>Signal-driven scoring: 80 signals, coverage=100%</w:t>
            </w:r>
          </w:p>
        </w:tc>
      </w:tr>
      <w:tr>
        <w:tc>
          <w:tcPr>
            <w:tcW w:type="dxa" w:w="1680"/>
            <w:shd w:fill="F2F4F8" w:val="clear"/>
          </w:tcPr>
          <w:p>
            <w:r>
              <w:rPr>
                <w:rFonts w:ascii="Calibri" w:hAnsi="Calibri"/>
                <w:color w:val="333333"/>
                <w:sz w:val="18"/>
              </w:rPr>
              <w:t>F4</w:t>
            </w:r>
          </w:p>
        </w:tc>
        <w:tc>
          <w:tcPr>
            <w:tcW w:type="dxa" w:w="1680"/>
            <w:shd w:fill="F2F4F8" w:val="clear"/>
          </w:tcPr>
          <w:p>
            <w:r>
              <w:rPr>
                <w:rFonts w:ascii="Calibri" w:hAnsi="Calibri"/>
                <w:color w:val="333333"/>
                <w:sz w:val="18"/>
              </w:rPr>
              <w:t>IPO/SPAC/M&amp;A</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0.9</w:t>
            </w:r>
          </w:p>
        </w:tc>
        <w:tc>
          <w:tcPr>
            <w:tcW w:type="dxa" w:w="1680"/>
            <w:shd w:fill="F2F4F8" w:val="clear"/>
          </w:tcPr>
          <w:p>
            <w:r>
              <w:rPr>
                <w:rFonts w:ascii="Calibri" w:hAnsi="Calibri"/>
                <w:color w:val="333333"/>
                <w:sz w:val="18"/>
              </w:rPr>
              <w:t>9%</w:t>
            </w:r>
          </w:p>
        </w:tc>
        <w:tc>
          <w:tcPr>
            <w:tcW w:type="dxa" w:w="1680"/>
            <w:shd w:fill="F2F4F8" w:val="clear"/>
          </w:tcPr>
          <w:p>
            <w:r>
              <w:rPr>
                <w:rFonts w:ascii="Calibri" w:hAnsi="Calibri"/>
                <w:color w:val="333333"/>
                <w:sz w:val="18"/>
              </w:rPr>
              <w:t>Signal-driven scoring: 16 signals, coverage=100%</w:t>
            </w:r>
          </w:p>
        </w:tc>
      </w:tr>
      <w:tr>
        <w:tc>
          <w:tcPr>
            <w:tcW w:type="dxa" w:w="1680"/>
          </w:tcPr>
          <w:p>
            <w:r>
              <w:rPr>
                <w:rFonts w:ascii="Calibri" w:hAnsi="Calibri"/>
                <w:color w:val="333333"/>
                <w:sz w:val="18"/>
              </w:rPr>
              <w:t>F5</w:t>
            </w:r>
          </w:p>
        </w:tc>
        <w:tc>
          <w:tcPr>
            <w:tcW w:type="dxa" w:w="1680"/>
          </w:tcPr>
          <w:p>
            <w:r>
              <w:rPr>
                <w:rFonts w:ascii="Calibri" w:hAnsi="Calibri"/>
                <w:color w:val="333333"/>
                <w:sz w:val="18"/>
              </w:rPr>
              <w:t>Guidance Misses</w:t>
            </w:r>
          </w:p>
        </w:tc>
        <w:tc>
          <w:tcPr>
            <w:tcW w:type="dxa" w:w="1680"/>
          </w:tcPr>
          <w:p>
            <w:r>
              <w:rPr>
                <w:rFonts w:ascii="Calibri" w:hAnsi="Calibri"/>
                <w:color w:val="333333"/>
                <w:sz w:val="18"/>
              </w:rPr>
              <w:t>10</w:t>
            </w:r>
          </w:p>
        </w:tc>
        <w:tc>
          <w:tcPr>
            <w:tcW w:type="dxa" w:w="1680"/>
          </w:tcPr>
          <w:p>
            <w:r>
              <w:rPr>
                <w:rFonts w:ascii="Calibri" w:hAnsi="Calibri"/>
                <w:color w:val="333333"/>
                <w:sz w:val="18"/>
              </w:rPr>
              <w:t>0.0</w:t>
            </w:r>
          </w:p>
        </w:tc>
        <w:tc>
          <w:tcPr>
            <w:tcW w:type="dxa" w:w="1680"/>
          </w:tcPr>
          <w:p>
            <w:r>
              <w:rPr>
                <w:rFonts w:ascii="Calibri" w:hAnsi="Calibri"/>
                <w:color w:val="333333"/>
                <w:sz w:val="18"/>
              </w:rPr>
              <w:t>0%</w:t>
            </w:r>
          </w:p>
        </w:tc>
        <w:tc>
          <w:tcPr>
            <w:tcW w:type="dxa" w:w="1680"/>
          </w:tcPr>
          <w:p>
            <w:r>
              <w:rPr>
                <w:rFonts w:ascii="Calibri" w:hAnsi="Calibri"/>
                <w:color w:val="333333"/>
                <w:sz w:val="18"/>
              </w:rPr>
              <w:t>Signal-driven scoring: 27 signals, coverage=100%</w:t>
            </w:r>
          </w:p>
        </w:tc>
      </w:tr>
      <w:tr>
        <w:tc>
          <w:tcPr>
            <w:tcW w:type="dxa" w:w="1680"/>
            <w:shd w:fill="F2F4F8" w:val="clear"/>
          </w:tcPr>
          <w:p>
            <w:r>
              <w:rPr>
                <w:rFonts w:ascii="Calibri" w:hAnsi="Calibri"/>
                <w:color w:val="333333"/>
                <w:sz w:val="18"/>
              </w:rPr>
              <w:t>F6</w:t>
            </w:r>
          </w:p>
        </w:tc>
        <w:tc>
          <w:tcPr>
            <w:tcW w:type="dxa" w:w="1680"/>
            <w:shd w:fill="F2F4F8" w:val="clear"/>
          </w:tcPr>
          <w:p>
            <w:r>
              <w:rPr>
                <w:rFonts w:ascii="Calibri" w:hAnsi="Calibri"/>
                <w:color w:val="333333"/>
                <w:sz w:val="18"/>
              </w:rPr>
              <w:t>Short Interest</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1.1</w:t>
            </w:r>
          </w:p>
        </w:tc>
        <w:tc>
          <w:tcPr>
            <w:tcW w:type="dxa" w:w="1680"/>
            <w:shd w:fill="F2F4F8" w:val="clear"/>
          </w:tcPr>
          <w:p>
            <w:r>
              <w:rPr>
                <w:rFonts w:ascii="Calibri" w:hAnsi="Calibri"/>
                <w:color w:val="333333"/>
                <w:sz w:val="18"/>
              </w:rPr>
              <w:t>14%</w:t>
            </w:r>
          </w:p>
        </w:tc>
        <w:tc>
          <w:tcPr>
            <w:tcW w:type="dxa" w:w="1680"/>
            <w:shd w:fill="F2F4F8" w:val="clear"/>
          </w:tcPr>
          <w:p>
            <w:r>
              <w:rPr>
                <w:rFonts w:ascii="Calibri" w:hAnsi="Calibri"/>
                <w:color w:val="333333"/>
                <w:sz w:val="18"/>
              </w:rPr>
              <w:t>Signal-driven scoring: 22 signals, coverage=100%</w:t>
            </w:r>
          </w:p>
        </w:tc>
      </w:tr>
      <w:tr>
        <w:tc>
          <w:tcPr>
            <w:tcW w:type="dxa" w:w="1680"/>
          </w:tcPr>
          <w:p>
            <w:r>
              <w:rPr>
                <w:rFonts w:ascii="Calibri" w:hAnsi="Calibri"/>
                <w:color w:val="333333"/>
                <w:sz w:val="18"/>
              </w:rPr>
              <w:t>F7</w:t>
            </w:r>
          </w:p>
        </w:tc>
        <w:tc>
          <w:tcPr>
            <w:tcW w:type="dxa" w:w="1680"/>
          </w:tcPr>
          <w:p>
            <w:r>
              <w:rPr>
                <w:rFonts w:ascii="Calibri" w:hAnsi="Calibri"/>
                <w:color w:val="333333"/>
                <w:sz w:val="18"/>
              </w:rPr>
              <w:t>Stock Volatility</w:t>
            </w:r>
          </w:p>
        </w:tc>
        <w:tc>
          <w:tcPr>
            <w:tcW w:type="dxa" w:w="1680"/>
          </w:tcPr>
          <w:p>
            <w:r>
              <w:rPr>
                <w:rFonts w:ascii="Calibri" w:hAnsi="Calibri"/>
                <w:color w:val="333333"/>
                <w:sz w:val="18"/>
              </w:rPr>
              <w:t>7</w:t>
            </w:r>
          </w:p>
        </w:tc>
        <w:tc>
          <w:tcPr>
            <w:tcW w:type="dxa" w:w="1680"/>
          </w:tcPr>
          <w:p>
            <w:r>
              <w:rPr>
                <w:rFonts w:ascii="Calibri" w:hAnsi="Calibri"/>
                <w:color w:val="333333"/>
                <w:sz w:val="18"/>
              </w:rPr>
              <w:t>0.5</w:t>
            </w:r>
          </w:p>
        </w:tc>
        <w:tc>
          <w:tcPr>
            <w:tcW w:type="dxa" w:w="1680"/>
          </w:tcPr>
          <w:p>
            <w:r>
              <w:rPr>
                <w:rFonts w:ascii="Calibri" w:hAnsi="Calibri"/>
                <w:color w:val="333333"/>
                <w:sz w:val="18"/>
              </w:rPr>
              <w:t>7%</w:t>
            </w:r>
          </w:p>
        </w:tc>
        <w:tc>
          <w:tcPr>
            <w:tcW w:type="dxa" w:w="1680"/>
          </w:tcPr>
          <w:p>
            <w:r>
              <w:rPr>
                <w:rFonts w:ascii="Calibri" w:hAnsi="Calibri"/>
                <w:color w:val="333333"/>
                <w:sz w:val="18"/>
              </w:rPr>
              <w:t>Signal-driven scoring: 31 signals, coverage=100%</w:t>
            </w:r>
          </w:p>
        </w:tc>
      </w:tr>
      <w:tr>
        <w:tc>
          <w:tcPr>
            <w:tcW w:type="dxa" w:w="1680"/>
            <w:shd w:fill="F2F4F8" w:val="clear"/>
          </w:tcPr>
          <w:p>
            <w:r>
              <w:rPr>
                <w:rFonts w:ascii="Calibri" w:hAnsi="Calibri"/>
                <w:color w:val="333333"/>
                <w:sz w:val="18"/>
              </w:rPr>
              <w:t>F8</w:t>
            </w:r>
          </w:p>
        </w:tc>
        <w:tc>
          <w:tcPr>
            <w:tcW w:type="dxa" w:w="1680"/>
            <w:shd w:fill="F2F4F8" w:val="clear"/>
          </w:tcPr>
          <w:p>
            <w:r>
              <w:rPr>
                <w:rFonts w:ascii="Calibri" w:hAnsi="Calibri"/>
                <w:color w:val="333333"/>
                <w:sz w:val="18"/>
              </w:rPr>
              <w:t>Financial Distress</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0.0</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Signal-driven scoring: 14 signals, coverage=100%</w:t>
            </w:r>
          </w:p>
        </w:tc>
      </w:tr>
      <w:tr>
        <w:tc>
          <w:tcPr>
            <w:tcW w:type="dxa" w:w="1680"/>
          </w:tcPr>
          <w:p>
            <w:r>
              <w:rPr>
                <w:rFonts w:ascii="Calibri" w:hAnsi="Calibri"/>
                <w:color w:val="333333"/>
                <w:sz w:val="18"/>
              </w:rPr>
              <w:t>F9</w:t>
            </w:r>
          </w:p>
        </w:tc>
        <w:tc>
          <w:tcPr>
            <w:tcW w:type="dxa" w:w="1680"/>
          </w:tcPr>
          <w:p>
            <w:r>
              <w:rPr>
                <w:rFonts w:ascii="Calibri" w:hAnsi="Calibri"/>
                <w:color w:val="333333"/>
                <w:sz w:val="18"/>
              </w:rPr>
              <w:t>Governance Issues</w:t>
            </w:r>
          </w:p>
        </w:tc>
        <w:tc>
          <w:tcPr>
            <w:tcW w:type="dxa" w:w="1680"/>
          </w:tcPr>
          <w:p>
            <w:r>
              <w:rPr>
                <w:rFonts w:ascii="Calibri" w:hAnsi="Calibri"/>
                <w:color w:val="333333"/>
                <w:sz w:val="18"/>
              </w:rPr>
              <w:t>6</w:t>
            </w:r>
          </w:p>
        </w:tc>
        <w:tc>
          <w:tcPr>
            <w:tcW w:type="dxa" w:w="1680"/>
          </w:tcPr>
          <w:p>
            <w:r>
              <w:rPr>
                <w:rFonts w:ascii="Calibri" w:hAnsi="Calibri"/>
                <w:color w:val="333333"/>
                <w:sz w:val="18"/>
              </w:rPr>
              <w:t>0.6</w:t>
            </w:r>
          </w:p>
        </w:tc>
        <w:tc>
          <w:tcPr>
            <w:tcW w:type="dxa" w:w="1680"/>
          </w:tcPr>
          <w:p>
            <w:r>
              <w:rPr>
                <w:rFonts w:ascii="Calibri" w:hAnsi="Calibri"/>
                <w:color w:val="333333"/>
                <w:sz w:val="18"/>
              </w:rPr>
              <w:t>10%</w:t>
            </w:r>
          </w:p>
        </w:tc>
        <w:tc>
          <w:tcPr>
            <w:tcW w:type="dxa" w:w="1680"/>
          </w:tcPr>
          <w:p>
            <w:r>
              <w:rPr>
                <w:rFonts w:ascii="Calibri" w:hAnsi="Calibri"/>
                <w:color w:val="333333"/>
                <w:sz w:val="18"/>
              </w:rPr>
              <w:t>Signal-driven scoring: 40 signals, coverage=100%</w:t>
            </w:r>
          </w:p>
        </w:tc>
      </w:tr>
      <w:tr>
        <w:tc>
          <w:tcPr>
            <w:tcW w:type="dxa" w:w="1680"/>
            <w:shd w:fill="F2F4F8" w:val="clear"/>
          </w:tcPr>
          <w:p>
            <w:r>
              <w:rPr>
                <w:rFonts w:ascii="Calibri" w:hAnsi="Calibri"/>
                <w:color w:val="333333"/>
                <w:sz w:val="18"/>
              </w:rPr>
              <w:t>F10</w:t>
            </w:r>
          </w:p>
        </w:tc>
        <w:tc>
          <w:tcPr>
            <w:tcW w:type="dxa" w:w="1680"/>
            <w:shd w:fill="F2F4F8" w:val="clear"/>
          </w:tcPr>
          <w:p>
            <w:r>
              <w:rPr>
                <w:rFonts w:ascii="Calibri" w:hAnsi="Calibri"/>
                <w:color w:val="333333"/>
                <w:sz w:val="18"/>
              </w:rPr>
              <w:t>Officer Stability</w:t>
            </w:r>
          </w:p>
        </w:tc>
        <w:tc>
          <w:tcPr>
            <w:tcW w:type="dxa" w:w="1680"/>
            <w:shd w:fill="F2F4F8" w:val="clear"/>
          </w:tcPr>
          <w:p>
            <w:r>
              <w:rPr>
                <w:rFonts w:ascii="Calibri" w:hAnsi="Calibri"/>
                <w:color w:val="333333"/>
                <w:sz w:val="18"/>
              </w:rPr>
              <w:t>2</w:t>
            </w:r>
          </w:p>
        </w:tc>
        <w:tc>
          <w:tcPr>
            <w:tcW w:type="dxa" w:w="1680"/>
            <w:shd w:fill="F2F4F8" w:val="clear"/>
          </w:tcPr>
          <w:p>
            <w:r>
              <w:rPr>
                <w:rFonts w:ascii="Calibri" w:hAnsi="Calibri"/>
                <w:color w:val="333333"/>
                <w:sz w:val="18"/>
              </w:rPr>
              <w:t>0.1</w:t>
            </w:r>
          </w:p>
        </w:tc>
        <w:tc>
          <w:tcPr>
            <w:tcW w:type="dxa" w:w="1680"/>
            <w:shd w:fill="F2F4F8" w:val="clear"/>
          </w:tcPr>
          <w:p>
            <w:r>
              <w:rPr>
                <w:rFonts w:ascii="Calibri" w:hAnsi="Calibri"/>
                <w:color w:val="333333"/>
                <w:sz w:val="18"/>
              </w:rPr>
              <w:t>4%</w:t>
            </w:r>
          </w:p>
        </w:tc>
        <w:tc>
          <w:tcPr>
            <w:tcW w:type="dxa" w:w="1680"/>
            <w:shd w:fill="F2F4F8" w:val="clear"/>
          </w:tcPr>
          <w:p>
            <w:r>
              <w:rPr>
                <w:rFonts w:ascii="Calibri" w:hAnsi="Calibri"/>
                <w:color w:val="333333"/>
                <w:sz w:val="18"/>
              </w:rPr>
              <w:t>Signal-driven scoring: 91 signals, coverage=100%</w:t>
            </w:r>
          </w:p>
        </w:tc>
      </w:tr>
    </w:tbl>
    <w:p>
      <w:pPr>
        <w:pStyle w:val="DOHeading3"/>
      </w:pPr>
      <w:r>
        <w:t>10-Factor Risk Profile</w:t>
      </w:r>
    </w:p>
    <w:p>
      <w:r>
        <w:drawing>
          <wp:inline xmlns:a="http://schemas.openxmlformats.org/drawingml/2006/main" xmlns:pic="http://schemas.openxmlformats.org/drawingml/2006/picture">
            <wp:extent cx="5943600" cy="5605068"/>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5605068"/>
                    </a:xfrm>
                    <a:prstGeom prst="rect"/>
                  </pic:spPr>
                </pic:pic>
              </a:graphicData>
            </a:graphic>
          </wp:inline>
        </w:drawing>
      </w:r>
    </w:p>
    <w:p>
      <w:pPr>
        <w:pStyle w:val="DOCaption"/>
      </w:pPr>
      <w:r>
        <w:t>Figure: Radar chart showing risk fraction (points deducted / max) for each of the 10 scoring factors. Larger area = higher risk.</w:t>
      </w:r>
    </w:p>
    <w:p>
      <w:pPr>
        <w:pStyle w:val="DOHeading3"/>
      </w:pPr>
      <w:r>
        <w:t>Red Flag Gates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Description</w:t>
            </w:r>
          </w:p>
        </w:tc>
        <w:tc>
          <w:tcPr>
            <w:tcW w:type="dxa" w:w="2016"/>
            <w:shd w:fill="1A1446" w:val="clear"/>
          </w:tcPr>
          <w:p>
            <w:r>
              <w:rPr>
                <w:rFonts w:ascii="Calibri" w:hAnsi="Calibri"/>
                <w:b/>
                <w:color w:val="FFFFFF"/>
                <w:sz w:val="18"/>
              </w:rPr>
              <w:t>Source</w:t>
            </w:r>
          </w:p>
        </w:tc>
        <w:tc>
          <w:tcPr>
            <w:tcW w:type="dxa" w:w="2016"/>
            <w:shd w:fill="1A1446" w:val="clear"/>
          </w:tcPr>
          <w:p>
            <w:r>
              <w:rPr>
                <w:rFonts w:ascii="Calibri" w:hAnsi="Calibri"/>
                <w:b/>
                <w:color w:val="FFFFFF"/>
                <w:sz w:val="18"/>
              </w:rPr>
              <w:t>Impact</w:t>
            </w:r>
          </w:p>
        </w:tc>
        <w:tc>
          <w:tcPr>
            <w:tcW w:type="dxa" w:w="2016"/>
            <w:shd w:fill="1A1446" w:val="clear"/>
          </w:tcPr>
          <w:p>
            <w:r>
              <w:rPr>
                <w:rFonts w:ascii="Calibri" w:hAnsi="Calibri"/>
                <w:b/>
                <w:color w:val="FFFFFF"/>
                <w:sz w:val="18"/>
              </w:rPr>
              <w:t>Trajectory</w:t>
            </w:r>
          </w:p>
        </w:tc>
      </w:tr>
      <w:tr>
        <w:tc>
          <w:tcPr>
            <w:tcW w:type="dxa" w:w="2016"/>
          </w:tcPr>
          <w:p>
            <w:r>
              <w:rPr>
                <w:rFonts w:ascii="Calibri" w:hAnsi="Calibri"/>
                <w:color w:val="333333"/>
                <w:sz w:val="18"/>
              </w:rPr>
              <w:t>CRITICAL</w:t>
            </w:r>
          </w:p>
        </w:tc>
        <w:tc>
          <w:tcPr>
            <w:tcW w:type="dxa" w:w="2016"/>
          </w:tcPr>
          <w:p>
            <w:r>
              <w:rPr>
                <w:rFonts w:ascii="Calibri" w:hAnsi="Calibri"/>
                <w:color w:val="333333"/>
                <w:sz w:val="18"/>
              </w:rPr>
              <w:t>Critical Red Flag: Active Securities Class Action</w:t>
            </w:r>
          </w:p>
        </w:tc>
        <w:tc>
          <w:tcPr>
            <w:tcW w:type="dxa" w:w="2016"/>
          </w:tcPr>
          <w:p>
            <w:r>
              <w:rPr>
                <w:rFonts w:ascii="Calibri" w:hAnsi="Calibri"/>
                <w:color w:val="333333"/>
                <w:sz w:val="18"/>
              </w:rPr>
              <w:t>Active SCA: In re Exxon Mobil Corporation Securities Litigation (4:21-cv-00194) (2021)</w:t>
            </w:r>
          </w:p>
        </w:tc>
        <w:tc>
          <w:tcPr>
            <w:tcW w:type="dxa" w:w="2016"/>
          </w:tcPr>
          <w:p>
            <w:r>
              <w:rPr>
                <w:rFonts w:ascii="Calibri" w:hAnsi="Calibri"/>
                <w:color w:val="333333"/>
                <w:sz w:val="18"/>
              </w:rPr>
              <w:t>Ceiling: 70</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Prior Litigation: 5/20 points</w:t>
            </w:r>
          </w:p>
        </w:tc>
        <w:tc>
          <w:tcPr>
            <w:tcW w:type="dxa" w:w="2016"/>
            <w:shd w:fill="F2F4F8" w:val="clear"/>
          </w:tcPr>
          <w:p>
            <w:r>
              <w:rPr>
                <w:rFonts w:ascii="Calibri" w:hAnsi="Calibri"/>
                <w:color w:val="333333"/>
                <w:sz w:val="18"/>
              </w:rPr>
              <w:t>Signal-driven scoring: 65 signals, coverage=100%</w:t>
            </w:r>
          </w:p>
        </w:tc>
        <w:tc>
          <w:tcPr>
            <w:tcW w:type="dxa" w:w="2016"/>
            <w:shd w:fill="F2F4F8" w:val="clear"/>
          </w:tcPr>
          <w:p>
            <w:r>
              <w:rPr>
                <w:rFonts w:ascii="Calibri" w:hAnsi="Calibri"/>
                <w:color w:val="333333"/>
                <w:sz w:val="18"/>
              </w:rPr>
              <w:t>F1: 5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Stock Decline: 1/15 points</w:t>
            </w:r>
          </w:p>
        </w:tc>
        <w:tc>
          <w:tcPr>
            <w:tcW w:type="dxa" w:w="2016"/>
          </w:tcPr>
          <w:p>
            <w:r>
              <w:rPr>
                <w:rFonts w:ascii="Calibri" w:hAnsi="Calibri"/>
                <w:color w:val="333333"/>
                <w:sz w:val="18"/>
              </w:rPr>
              <w:t>Signal-driven scoring: 30 signals, coverage=100%; Drop contribution modifier: 0.34x (decay + company-specific + disclosure)</w:t>
            </w:r>
          </w:p>
        </w:tc>
        <w:tc>
          <w:tcPr>
            <w:tcW w:type="dxa" w:w="2016"/>
          </w:tcPr>
          <w:p>
            <w:r>
              <w:rPr>
                <w:rFonts w:ascii="Calibri" w:hAnsi="Calibri"/>
                <w:color w:val="333333"/>
                <w:sz w:val="18"/>
              </w:rPr>
              <w:t>F2: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Restatement/Audit Issues: 1/12 points</w:t>
            </w:r>
          </w:p>
        </w:tc>
        <w:tc>
          <w:tcPr>
            <w:tcW w:type="dxa" w:w="2016"/>
            <w:shd w:fill="F2F4F8" w:val="clear"/>
          </w:tcPr>
          <w:p>
            <w:r>
              <w:rPr>
                <w:rFonts w:ascii="Calibri" w:hAnsi="Calibri"/>
                <w:color w:val="333333"/>
                <w:sz w:val="18"/>
              </w:rPr>
              <w:t>Signal-driven scoring: 80 signals, coverage=100%</w:t>
            </w:r>
          </w:p>
        </w:tc>
        <w:tc>
          <w:tcPr>
            <w:tcW w:type="dxa" w:w="2016"/>
            <w:shd w:fill="F2F4F8" w:val="clear"/>
          </w:tcPr>
          <w:p>
            <w:r>
              <w:rPr>
                <w:rFonts w:ascii="Calibri" w:hAnsi="Calibri"/>
                <w:color w:val="333333"/>
                <w:sz w:val="18"/>
              </w:rPr>
              <w:t>F3: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IPO/SPAC/M&amp;A: 1/10 points</w:t>
            </w:r>
          </w:p>
        </w:tc>
        <w:tc>
          <w:tcPr>
            <w:tcW w:type="dxa" w:w="2016"/>
          </w:tcPr>
          <w:p>
            <w:r>
              <w:rPr>
                <w:rFonts w:ascii="Calibri" w:hAnsi="Calibri"/>
                <w:color w:val="333333"/>
                <w:sz w:val="18"/>
              </w:rPr>
              <w:t>Signal-driven scoring: 16 signals, coverage=100%</w:t>
            </w:r>
          </w:p>
        </w:tc>
        <w:tc>
          <w:tcPr>
            <w:tcW w:type="dxa" w:w="2016"/>
          </w:tcPr>
          <w:p>
            <w:r>
              <w:rPr>
                <w:rFonts w:ascii="Calibri" w:hAnsi="Calibri"/>
                <w:color w:val="333333"/>
                <w:sz w:val="18"/>
              </w:rPr>
              <w:t>F4: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Short Interest: 1/8 points</w:t>
            </w:r>
          </w:p>
        </w:tc>
        <w:tc>
          <w:tcPr>
            <w:tcW w:type="dxa" w:w="2016"/>
            <w:shd w:fill="F2F4F8" w:val="clear"/>
          </w:tcPr>
          <w:p>
            <w:r>
              <w:rPr>
                <w:rFonts w:ascii="Calibri" w:hAnsi="Calibri"/>
                <w:color w:val="333333"/>
                <w:sz w:val="18"/>
              </w:rPr>
              <w:t>Signal-driven scoring: 22 signals, coverage=100%</w:t>
            </w:r>
          </w:p>
        </w:tc>
        <w:tc>
          <w:tcPr>
            <w:tcW w:type="dxa" w:w="2016"/>
            <w:shd w:fill="F2F4F8" w:val="clear"/>
          </w:tcPr>
          <w:p>
            <w:r>
              <w:rPr>
                <w:rFonts w:ascii="Calibri" w:hAnsi="Calibri"/>
                <w:color w:val="333333"/>
                <w:sz w:val="18"/>
              </w:rPr>
              <w:t>F6: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Stock Volatility: 0/7 points</w:t>
            </w:r>
          </w:p>
        </w:tc>
        <w:tc>
          <w:tcPr>
            <w:tcW w:type="dxa" w:w="2016"/>
          </w:tcPr>
          <w:p>
            <w:r>
              <w:rPr>
                <w:rFonts w:ascii="Calibri" w:hAnsi="Calibri"/>
                <w:color w:val="333333"/>
                <w:sz w:val="18"/>
              </w:rPr>
              <w:t>Signal-driven scoring: 31 signals, coverage=100%</w:t>
            </w:r>
          </w:p>
        </w:tc>
        <w:tc>
          <w:tcPr>
            <w:tcW w:type="dxa" w:w="2016"/>
          </w:tcPr>
          <w:p>
            <w:r>
              <w:rPr>
                <w:rFonts w:ascii="Calibri" w:hAnsi="Calibri"/>
                <w:color w:val="333333"/>
                <w:sz w:val="18"/>
              </w:rPr>
              <w:t>F7: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Issues: 1/6 points</w:t>
            </w:r>
          </w:p>
        </w:tc>
        <w:tc>
          <w:tcPr>
            <w:tcW w:type="dxa" w:w="2016"/>
            <w:shd w:fill="F2F4F8" w:val="clear"/>
          </w:tcPr>
          <w:p>
            <w:r>
              <w:rPr>
                <w:rFonts w:ascii="Calibri" w:hAnsi="Calibri"/>
                <w:color w:val="333333"/>
                <w:sz w:val="18"/>
              </w:rPr>
              <w:t>Signal-driven scoring: 40 signals, coverage=100%</w:t>
            </w:r>
          </w:p>
        </w:tc>
        <w:tc>
          <w:tcPr>
            <w:tcW w:type="dxa" w:w="2016"/>
            <w:shd w:fill="F2F4F8" w:val="clear"/>
          </w:tcPr>
          <w:p>
            <w:r>
              <w:rPr>
                <w:rFonts w:ascii="Calibri" w:hAnsi="Calibri"/>
                <w:color w:val="333333"/>
                <w:sz w:val="18"/>
              </w:rPr>
              <w:t>F9: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Officer Stability: 0/2 points</w:t>
            </w:r>
          </w:p>
        </w:tc>
        <w:tc>
          <w:tcPr>
            <w:tcW w:type="dxa" w:w="2016"/>
          </w:tcPr>
          <w:p>
            <w:r>
              <w:rPr>
                <w:rFonts w:ascii="Calibri" w:hAnsi="Calibri"/>
                <w:color w:val="333333"/>
                <w:sz w:val="18"/>
              </w:rPr>
              <w:t>Signal-driven scoring: 91 signals, coverage=100%</w:t>
            </w:r>
          </w:p>
        </w:tc>
        <w:tc>
          <w:tcPr>
            <w:tcW w:type="dxa" w:w="2016"/>
          </w:tcPr>
          <w:p>
            <w:r>
              <w:rPr>
                <w:rFonts w:ascii="Calibri" w:hAnsi="Calibri"/>
                <w:color w:val="333333"/>
                <w:sz w:val="18"/>
              </w:rPr>
              <w:t>F10: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Pattern: Guidance Track Record (BASELINE)</w:t>
            </w:r>
          </w:p>
        </w:tc>
        <w:tc>
          <w:tcPr>
            <w:tcW w:type="dxa" w:w="2016"/>
            <w:shd w:fill="F2F4F8" w:val="clear"/>
          </w:tcPr>
          <w:p>
            <w:r>
              <w:rPr>
                <w:rFonts w:ascii="Calibri" w:hAnsi="Calibri"/>
                <w:color w:val="333333"/>
                <w:sz w:val="18"/>
              </w:rPr>
              <w:t>Pattern evaluation</w:t>
            </w:r>
          </w:p>
        </w:tc>
        <w:tc>
          <w:tcPr>
            <w:tcW w:type="dxa" w:w="2016"/>
            <w:shd w:fill="F2F4F8" w:val="clear"/>
          </w:tcPr>
          <w:p>
            <w:r>
              <w:rPr>
                <w:rFonts w:ascii="Calibri" w:hAnsi="Calibri"/>
                <w:color w:val="333333"/>
                <w:sz w:val="18"/>
              </w:rPr>
              <w:t>F5: 0</w:t>
            </w:r>
          </w:p>
        </w:tc>
        <w:tc>
          <w:tcPr>
            <w:tcW w:type="dxa" w:w="2016"/>
            <w:shd w:fill="F2F4F8" w:val="clear"/>
          </w:tcPr>
          <w:p>
            <w:r>
              <w:rPr>
                <w:rFonts w:ascii="Calibri" w:hAnsi="Calibri"/>
                <w:color w:val="333333"/>
                <w:sz w:val="18"/>
              </w:rPr>
              <w:t>NEW</w:t>
            </w:r>
          </w:p>
        </w:tc>
      </w:tr>
    </w:tbl>
    <w:p>
      <w:pPr>
        <w:pStyle w:val="DOBody"/>
      </w:pPr>
      <w:r>
        <w:t>Critical: 1, High: 0, Moderate: 0, Low: 9</w:t>
      </w:r>
    </w:p>
    <w:p>
      <w:pPr>
        <w:pStyle w:val="DOHeading3"/>
      </w:pPr>
      <w:r>
        <w:t>Risk Type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Primary Risk Type</w:t>
            </w:r>
          </w:p>
        </w:tc>
        <w:tc>
          <w:tcPr>
            <w:tcW w:type="dxa" w:w="5040"/>
          </w:tcPr>
          <w:p>
            <w:r>
              <w:rPr>
                <w:rFonts w:ascii="Calibri" w:hAnsi="Calibri"/>
                <w:color w:val="333333"/>
                <w:sz w:val="18"/>
              </w:rPr>
              <w:t>STABLE_MATURE</w:t>
            </w:r>
          </w:p>
        </w:tc>
      </w:tr>
      <w:tr>
        <w:tc>
          <w:tcPr>
            <w:tcW w:type="dxa" w:w="5040"/>
            <w:shd w:fill="F2F4F8" w:val="clear"/>
          </w:tcPr>
          <w:p>
            <w:r>
              <w:rPr>
                <w:rFonts w:ascii="Calibri" w:hAnsi="Calibri"/>
                <w:color w:val="333333"/>
                <w:sz w:val="18"/>
              </w:rPr>
              <w:t>Supporting Evidence</w:t>
            </w:r>
          </w:p>
        </w:tc>
        <w:tc>
          <w:tcPr>
            <w:tcW w:type="dxa" w:w="5040"/>
            <w:shd w:fill="F2F4F8" w:val="clear"/>
          </w:tcPr>
          <w:p>
            <w:r>
              <w:rPr>
                <w:rFonts w:ascii="Calibri" w:hAnsi="Calibri"/>
                <w:color w:val="333333"/>
                <w:sz w:val="18"/>
              </w:rPr>
              <w:t>No specific risk archetype triggers detected</w:t>
            </w:r>
          </w:p>
        </w:tc>
      </w:tr>
    </w:tbl>
    <w:p>
      <w:pPr>
        <w:pStyle w:val="DOHeading3"/>
      </w:pPr>
      <w:r>
        <w:t>Severity Scenarios</w:t>
      </w:r>
    </w:p>
    <w:p>
      <w:pPr>
        <w:pStyle w:val="DOBody"/>
      </w:pPr>
      <w:r>
        <w:t>Analysis based on market cap: $669.6B</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Percentile</w:t>
            </w:r>
          </w:p>
        </w:tc>
        <w:tc>
          <w:tcPr>
            <w:tcW w:type="dxa" w:w="2016"/>
            <w:shd w:fill="1A1446" w:val="clear"/>
          </w:tcPr>
          <w:p>
            <w:r>
              <w:rPr>
                <w:rFonts w:ascii="Calibri" w:hAnsi="Calibri"/>
                <w:b/>
                <w:color w:val="FFFFFF"/>
                <w:sz w:val="18"/>
              </w:rPr>
              <w:t>Label</w:t>
            </w:r>
          </w:p>
        </w:tc>
        <w:tc>
          <w:tcPr>
            <w:tcW w:type="dxa" w:w="2016"/>
            <w:shd w:fill="1A1446" w:val="clear"/>
          </w:tcPr>
          <w:p>
            <w:r>
              <w:rPr>
                <w:rFonts w:ascii="Calibri" w:hAnsi="Calibri"/>
                <w:b/>
                <w:color w:val="FFFFFF"/>
                <w:sz w:val="18"/>
              </w:rPr>
              <w:t>Settlement Est.</w:t>
            </w:r>
          </w:p>
        </w:tc>
        <w:tc>
          <w:tcPr>
            <w:tcW w:type="dxa" w:w="2016"/>
            <w:shd w:fill="1A1446" w:val="clear"/>
          </w:tcPr>
          <w:p>
            <w:r>
              <w:rPr>
                <w:rFonts w:ascii="Calibri" w:hAnsi="Calibri"/>
                <w:b/>
                <w:color w:val="FFFFFF"/>
                <w:sz w:val="18"/>
              </w:rPr>
              <w:t>Defense Costs</w:t>
            </w:r>
          </w:p>
        </w:tc>
        <w:tc>
          <w:tcPr>
            <w:tcW w:type="dxa" w:w="2016"/>
            <w:shd w:fill="1A1446" w:val="clear"/>
          </w:tcPr>
          <w:p>
            <w:r>
              <w:rPr>
                <w:rFonts w:ascii="Calibri" w:hAnsi="Calibri"/>
                <w:b/>
                <w:color w:val="FFFFFF"/>
                <w:sz w:val="18"/>
              </w:rPr>
              <w:t>Total Exposure</w:t>
            </w:r>
          </w:p>
        </w:tc>
      </w:tr>
      <w:tr>
        <w:tc>
          <w:tcPr>
            <w:tcW w:type="dxa" w:w="2016"/>
          </w:tcPr>
          <w:p>
            <w:r>
              <w:rPr>
                <w:rFonts w:ascii="Calibri" w:hAnsi="Calibri"/>
                <w:color w:val="333333"/>
                <w:sz w:val="18"/>
              </w:rPr>
              <w:t>25th</w:t>
            </w:r>
          </w:p>
        </w:tc>
        <w:tc>
          <w:tcPr>
            <w:tcW w:type="dxa" w:w="2016"/>
          </w:tcPr>
          <w:p>
            <w:r>
              <w:rPr>
                <w:rFonts w:ascii="Calibri" w:hAnsi="Calibri"/>
                <w:color w:val="333333"/>
                <w:sz w:val="18"/>
              </w:rPr>
              <w:t>favorable</w:t>
            </w:r>
          </w:p>
        </w:tc>
        <w:tc>
          <w:tcPr>
            <w:tcW w:type="dxa" w:w="2016"/>
          </w:tcPr>
          <w:p>
            <w:r>
              <w:rPr>
                <w:rFonts w:ascii="Calibri" w:hAnsi="Calibri"/>
                <w:color w:val="333333"/>
                <w:sz w:val="18"/>
              </w:rPr>
              <w:t>$21.3M</w:t>
            </w:r>
          </w:p>
        </w:tc>
        <w:tc>
          <w:tcPr>
            <w:tcW w:type="dxa" w:w="2016"/>
          </w:tcPr>
          <w:p>
            <w:r>
              <w:rPr>
                <w:rFonts w:ascii="Calibri" w:hAnsi="Calibri"/>
                <w:color w:val="333333"/>
                <w:sz w:val="18"/>
              </w:rPr>
              <w:t>$3.2M</w:t>
            </w:r>
          </w:p>
        </w:tc>
        <w:tc>
          <w:tcPr>
            <w:tcW w:type="dxa" w:w="2016"/>
          </w:tcPr>
          <w:p>
            <w:r>
              <w:rPr>
                <w:rFonts w:ascii="Calibri" w:hAnsi="Calibri"/>
                <w:color w:val="333333"/>
                <w:sz w:val="18"/>
              </w:rPr>
              <w:t>$24.5M</w:t>
            </w:r>
          </w:p>
        </w:tc>
      </w:tr>
      <w:tr>
        <w:tc>
          <w:tcPr>
            <w:tcW w:type="dxa" w:w="2016"/>
            <w:shd w:fill="F2F4F8" w:val="clear"/>
          </w:tcPr>
          <w:p>
            <w:r>
              <w:rPr>
                <w:rFonts w:ascii="Calibri" w:hAnsi="Calibri"/>
                <w:color w:val="333333"/>
                <w:sz w:val="18"/>
              </w:rPr>
              <w:t>50th</w:t>
            </w:r>
          </w:p>
        </w:tc>
        <w:tc>
          <w:tcPr>
            <w:tcW w:type="dxa" w:w="2016"/>
            <w:shd w:fill="F2F4F8" w:val="clear"/>
          </w:tcPr>
          <w:p>
            <w:r>
              <w:rPr>
                <w:rFonts w:ascii="Calibri" w:hAnsi="Calibri"/>
                <w:color w:val="333333"/>
                <w:sz w:val="18"/>
              </w:rPr>
              <w:t>median</w:t>
            </w:r>
          </w:p>
        </w:tc>
        <w:tc>
          <w:tcPr>
            <w:tcW w:type="dxa" w:w="2016"/>
            <w:shd w:fill="F2F4F8" w:val="clear"/>
          </w:tcPr>
          <w:p>
            <w:r>
              <w:rPr>
                <w:rFonts w:ascii="Calibri" w:hAnsi="Calibri"/>
                <w:color w:val="333333"/>
                <w:sz w:val="18"/>
              </w:rPr>
              <w:t>$42.6M</w:t>
            </w:r>
          </w:p>
        </w:tc>
        <w:tc>
          <w:tcPr>
            <w:tcW w:type="dxa" w:w="2016"/>
            <w:shd w:fill="F2F4F8" w:val="clear"/>
          </w:tcPr>
          <w:p>
            <w:r>
              <w:rPr>
                <w:rFonts w:ascii="Calibri" w:hAnsi="Calibri"/>
                <w:color w:val="333333"/>
                <w:sz w:val="18"/>
              </w:rPr>
              <w:t>$8.5M</w:t>
            </w:r>
          </w:p>
        </w:tc>
        <w:tc>
          <w:tcPr>
            <w:tcW w:type="dxa" w:w="2016"/>
            <w:shd w:fill="F2F4F8" w:val="clear"/>
          </w:tcPr>
          <w:p>
            <w:r>
              <w:rPr>
                <w:rFonts w:ascii="Calibri" w:hAnsi="Calibri"/>
                <w:color w:val="333333"/>
                <w:sz w:val="18"/>
              </w:rPr>
              <w:t>$51.1M</w:t>
            </w:r>
          </w:p>
        </w:tc>
      </w:tr>
      <w:tr>
        <w:tc>
          <w:tcPr>
            <w:tcW w:type="dxa" w:w="2016"/>
          </w:tcPr>
          <w:p>
            <w:r>
              <w:rPr>
                <w:rFonts w:ascii="Calibri" w:hAnsi="Calibri"/>
                <w:color w:val="333333"/>
                <w:sz w:val="18"/>
              </w:rPr>
              <w:t>75th</w:t>
            </w:r>
          </w:p>
        </w:tc>
        <w:tc>
          <w:tcPr>
            <w:tcW w:type="dxa" w:w="2016"/>
          </w:tcPr>
          <w:p>
            <w:r>
              <w:rPr>
                <w:rFonts w:ascii="Calibri" w:hAnsi="Calibri"/>
                <w:color w:val="333333"/>
                <w:sz w:val="18"/>
              </w:rPr>
              <w:t>adverse</w:t>
            </w:r>
          </w:p>
        </w:tc>
        <w:tc>
          <w:tcPr>
            <w:tcW w:type="dxa" w:w="2016"/>
          </w:tcPr>
          <w:p>
            <w:r>
              <w:rPr>
                <w:rFonts w:ascii="Calibri" w:hAnsi="Calibri"/>
                <w:color w:val="333333"/>
                <w:sz w:val="18"/>
              </w:rPr>
              <w:t>$85.1M</w:t>
            </w:r>
          </w:p>
        </w:tc>
        <w:tc>
          <w:tcPr>
            <w:tcW w:type="dxa" w:w="2016"/>
          </w:tcPr>
          <w:p>
            <w:r>
              <w:rPr>
                <w:rFonts w:ascii="Calibri" w:hAnsi="Calibri"/>
                <w:color w:val="333333"/>
                <w:sz w:val="18"/>
              </w:rPr>
              <w:t>$21.3M</w:t>
            </w:r>
          </w:p>
        </w:tc>
        <w:tc>
          <w:tcPr>
            <w:tcW w:type="dxa" w:w="2016"/>
          </w:tcPr>
          <w:p>
            <w:r>
              <w:rPr>
                <w:rFonts w:ascii="Calibri" w:hAnsi="Calibri"/>
                <w:color w:val="333333"/>
                <w:sz w:val="18"/>
              </w:rPr>
              <w:t>$106.4M</w:t>
            </w:r>
          </w:p>
        </w:tc>
      </w:tr>
      <w:tr>
        <w:tc>
          <w:tcPr>
            <w:tcW w:type="dxa" w:w="2016"/>
            <w:shd w:fill="F2F4F8" w:val="clear"/>
          </w:tcPr>
          <w:p>
            <w:r>
              <w:rPr>
                <w:rFonts w:ascii="Calibri" w:hAnsi="Calibri"/>
                <w:color w:val="333333"/>
                <w:sz w:val="18"/>
              </w:rPr>
              <w:t>95th</w:t>
            </w:r>
          </w:p>
        </w:tc>
        <w:tc>
          <w:tcPr>
            <w:tcW w:type="dxa" w:w="2016"/>
            <w:shd w:fill="F2F4F8" w:val="clear"/>
          </w:tcPr>
          <w:p>
            <w:r>
              <w:rPr>
                <w:rFonts w:ascii="Calibri" w:hAnsi="Calibri"/>
                <w:color w:val="333333"/>
                <w:sz w:val="18"/>
              </w:rPr>
              <w:t>catastrophic</w:t>
            </w:r>
          </w:p>
        </w:tc>
        <w:tc>
          <w:tcPr>
            <w:tcW w:type="dxa" w:w="2016"/>
            <w:shd w:fill="F2F4F8" w:val="clear"/>
          </w:tcPr>
          <w:p>
            <w:r>
              <w:rPr>
                <w:rFonts w:ascii="Calibri" w:hAnsi="Calibri"/>
                <w:color w:val="333333"/>
                <w:sz w:val="18"/>
              </w:rPr>
              <w:t>$170.3M</w:t>
            </w:r>
          </w:p>
        </w:tc>
        <w:tc>
          <w:tcPr>
            <w:tcW w:type="dxa" w:w="2016"/>
            <w:shd w:fill="F2F4F8" w:val="clear"/>
          </w:tcPr>
          <w:p>
            <w:r>
              <w:rPr>
                <w:rFonts w:ascii="Calibri" w:hAnsi="Calibri"/>
                <w:color w:val="333333"/>
                <w:sz w:val="18"/>
              </w:rPr>
              <w:t>$51.1M</w:t>
            </w:r>
          </w:p>
        </w:tc>
        <w:tc>
          <w:tcPr>
            <w:tcW w:type="dxa" w:w="2016"/>
            <w:shd w:fill="F2F4F8" w:val="clear"/>
          </w:tcPr>
          <w:p>
            <w:r>
              <w:rPr>
                <w:rFonts w:ascii="Calibri" w:hAnsi="Calibri"/>
                <w:color w:val="333333"/>
                <w:sz w:val="18"/>
              </w:rPr>
              <w:t>$221.3M</w:t>
            </w:r>
          </w:p>
        </w:tc>
      </w:tr>
    </w:tbl>
    <w:p>
      <w:pPr>
        <w:pStyle w:val="DOHeading3"/>
      </w:pPr>
      <w:r>
        <w:t>Calibration Notes (SECT7-11)</w:t>
      </w:r>
    </w:p>
    <w:p>
      <w:pPr>
        <w:pStyle w:val="DOBody"/>
      </w:pPr>
      <w:r>
        <w:rPr>
          <w:i/>
          <w:sz w:val="16"/>
        </w:rPr>
        <w:t>The following items are flagged NEEDS CALIBRATION and require expert review before final pricing:</w:t>
      </w:r>
    </w:p>
    <w:p>
      <w:pPr>
        <w:pStyle w:val="DOBody"/>
      </w:pPr>
      <w:r>
        <w:t xml:space="preserve">  - SECT7-11: All scoring parameters require calibration against historical cases</w:t>
      </w:r>
    </w:p>
    <w:p>
      <w:pPr>
        <w:pStyle w:val="DOHeading3"/>
      </w:pPr>
      <w:r>
        <w:t>Factor Detail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Factor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Deducted</w:t>
            </w:r>
          </w:p>
        </w:tc>
        <w:tc>
          <w:tcPr>
            <w:tcW w:type="dxa" w:w="2016"/>
            <w:shd w:fill="1A1446" w:val="clear"/>
          </w:tcPr>
          <w:p>
            <w:r>
              <w:rPr>
                <w:rFonts w:ascii="Calibri" w:hAnsi="Calibri"/>
                <w:b/>
                <w:color w:val="FFFFFF"/>
                <w:sz w:val="18"/>
              </w:rPr>
              <w:t>Rules Triggered</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F1</w:t>
            </w:r>
          </w:p>
        </w:tc>
        <w:tc>
          <w:tcPr>
            <w:tcW w:type="dxa" w:w="2016"/>
          </w:tcPr>
          <w:p>
            <w:r>
              <w:rPr>
                <w:rFonts w:ascii="Calibri" w:hAnsi="Calibri"/>
                <w:color w:val="333333"/>
                <w:sz w:val="18"/>
              </w:rPr>
              <w:t>Prior Litigation</w:t>
            </w:r>
          </w:p>
        </w:tc>
        <w:tc>
          <w:tcPr>
            <w:tcW w:type="dxa" w:w="2016"/>
          </w:tcPr>
          <w:p>
            <w:r>
              <w:rPr>
                <w:rFonts w:ascii="Calibri" w:hAnsi="Calibri"/>
                <w:color w:val="333333"/>
                <w:sz w:val="18"/>
              </w:rPr>
              <w:t>5.0</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65 signals, coverage=100%</w:t>
            </w:r>
          </w:p>
        </w:tc>
      </w:tr>
      <w:tr>
        <w:tc>
          <w:tcPr>
            <w:tcW w:type="dxa" w:w="2016"/>
            <w:shd w:fill="F2F4F8" w:val="clear"/>
          </w:tcPr>
          <w:p>
            <w:r>
              <w:rPr>
                <w:rFonts w:ascii="Calibri" w:hAnsi="Calibri"/>
                <w:color w:val="333333"/>
                <w:sz w:val="18"/>
              </w:rPr>
              <w:t>F2</w:t>
            </w:r>
          </w:p>
        </w:tc>
        <w:tc>
          <w:tcPr>
            <w:tcW w:type="dxa" w:w="2016"/>
            <w:shd w:fill="F2F4F8" w:val="clear"/>
          </w:tcPr>
          <w:p>
            <w:r>
              <w:rPr>
                <w:rFonts w:ascii="Calibri" w:hAnsi="Calibri"/>
                <w:color w:val="333333"/>
                <w:sz w:val="18"/>
              </w:rPr>
              <w:t>Stock Decline</w:t>
            </w:r>
          </w:p>
        </w:tc>
        <w:tc>
          <w:tcPr>
            <w:tcW w:type="dxa" w:w="2016"/>
            <w:shd w:fill="F2F4F8" w:val="clear"/>
          </w:tcPr>
          <w:p>
            <w:r>
              <w:rPr>
                <w:rFonts w:ascii="Calibri" w:hAnsi="Calibri"/>
                <w:color w:val="333333"/>
                <w:sz w:val="18"/>
              </w:rPr>
              <w:t>0.9</w:t>
            </w:r>
          </w:p>
        </w:tc>
        <w:tc>
          <w:tcPr>
            <w:tcW w:type="dxa" w:w="2016"/>
            <w:shd w:fill="F2F4F8" w:val="clear"/>
          </w:tcPr>
          <w:p>
            <w:r>
              <w:rPr>
                <w:rFonts w:ascii="Calibri" w:hAnsi="Calibri"/>
                <w:color w:val="333333"/>
                <w:sz w:val="18"/>
              </w:rPr>
              <w:t>drop_contribution_adjustment</w:t>
            </w:r>
          </w:p>
        </w:tc>
        <w:tc>
          <w:tcPr>
            <w:tcW w:type="dxa" w:w="2016"/>
            <w:shd w:fill="F2F4F8" w:val="clear"/>
          </w:tcPr>
          <w:p>
            <w:r>
              <w:rPr>
                <w:rFonts w:ascii="Calibri" w:hAnsi="Calibri"/>
                <w:color w:val="333333"/>
                <w:sz w:val="18"/>
              </w:rPr>
              <w:t>Signal-driven scoring: 30 signals, coverage=100%; Drop contribution modifier: 0.34x (decay + company-specific + disclosure)</w:t>
            </w:r>
          </w:p>
        </w:tc>
      </w:tr>
      <w:tr>
        <w:tc>
          <w:tcPr>
            <w:tcW w:type="dxa" w:w="2016"/>
          </w:tcPr>
          <w:p>
            <w:r>
              <w:rPr>
                <w:rFonts w:ascii="Calibri" w:hAnsi="Calibri"/>
                <w:color w:val="333333"/>
                <w:sz w:val="18"/>
              </w:rPr>
              <w:t>F3</w:t>
            </w:r>
          </w:p>
        </w:tc>
        <w:tc>
          <w:tcPr>
            <w:tcW w:type="dxa" w:w="2016"/>
          </w:tcPr>
          <w:p>
            <w:r>
              <w:rPr>
                <w:rFonts w:ascii="Calibri" w:hAnsi="Calibri"/>
                <w:color w:val="333333"/>
                <w:sz w:val="18"/>
              </w:rPr>
              <w:t>Restatement/Audit Issues</w:t>
            </w:r>
          </w:p>
        </w:tc>
        <w:tc>
          <w:tcPr>
            <w:tcW w:type="dxa" w:w="2016"/>
          </w:tcPr>
          <w:p>
            <w:r>
              <w:rPr>
                <w:rFonts w:ascii="Calibri" w:hAnsi="Calibri"/>
                <w:color w:val="333333"/>
                <w:sz w:val="18"/>
              </w:rPr>
              <w:t>0.7</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80 signals, coverage=100%</w:t>
            </w:r>
          </w:p>
        </w:tc>
      </w:tr>
      <w:tr>
        <w:tc>
          <w:tcPr>
            <w:tcW w:type="dxa" w:w="2016"/>
            <w:shd w:fill="F2F4F8" w:val="clear"/>
          </w:tcPr>
          <w:p>
            <w:r>
              <w:rPr>
                <w:rFonts w:ascii="Calibri" w:hAnsi="Calibri"/>
                <w:color w:val="333333"/>
                <w:sz w:val="18"/>
              </w:rPr>
              <w:t>F4</w:t>
            </w:r>
          </w:p>
        </w:tc>
        <w:tc>
          <w:tcPr>
            <w:tcW w:type="dxa" w:w="2016"/>
            <w:shd w:fill="F2F4F8" w:val="clear"/>
          </w:tcPr>
          <w:p>
            <w:r>
              <w:rPr>
                <w:rFonts w:ascii="Calibri" w:hAnsi="Calibri"/>
                <w:color w:val="333333"/>
                <w:sz w:val="18"/>
              </w:rPr>
              <w:t>IPO/SPAC/M&amp;A</w:t>
            </w:r>
          </w:p>
        </w:tc>
        <w:tc>
          <w:tcPr>
            <w:tcW w:type="dxa" w:w="2016"/>
            <w:shd w:fill="F2F4F8" w:val="clear"/>
          </w:tcPr>
          <w:p>
            <w:r>
              <w:rPr>
                <w:rFonts w:ascii="Calibri" w:hAnsi="Calibri"/>
                <w:color w:val="333333"/>
                <w:sz w:val="18"/>
              </w:rPr>
              <w:t>0.9</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16 signals, coverage=100%</w:t>
            </w:r>
          </w:p>
        </w:tc>
      </w:tr>
      <w:tr>
        <w:tc>
          <w:tcPr>
            <w:tcW w:type="dxa" w:w="2016"/>
          </w:tcPr>
          <w:p>
            <w:r>
              <w:rPr>
                <w:rFonts w:ascii="Calibri" w:hAnsi="Calibri"/>
                <w:color w:val="333333"/>
                <w:sz w:val="18"/>
              </w:rPr>
              <w:t>F6</w:t>
            </w:r>
          </w:p>
        </w:tc>
        <w:tc>
          <w:tcPr>
            <w:tcW w:type="dxa" w:w="2016"/>
          </w:tcPr>
          <w:p>
            <w:r>
              <w:rPr>
                <w:rFonts w:ascii="Calibri" w:hAnsi="Calibri"/>
                <w:color w:val="333333"/>
                <w:sz w:val="18"/>
              </w:rPr>
              <w:t>Short Interest</w:t>
            </w:r>
          </w:p>
        </w:tc>
        <w:tc>
          <w:tcPr>
            <w:tcW w:type="dxa" w:w="2016"/>
          </w:tcPr>
          <w:p>
            <w:r>
              <w:rPr>
                <w:rFonts w:ascii="Calibri" w:hAnsi="Calibri"/>
                <w:color w:val="333333"/>
                <w:sz w:val="18"/>
              </w:rPr>
              <w:t>1.1</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22 signals, coverage=100%</w:t>
            </w:r>
          </w:p>
        </w:tc>
      </w:tr>
      <w:tr>
        <w:tc>
          <w:tcPr>
            <w:tcW w:type="dxa" w:w="2016"/>
            <w:shd w:fill="F2F4F8" w:val="clear"/>
          </w:tcPr>
          <w:p>
            <w:r>
              <w:rPr>
                <w:rFonts w:ascii="Calibri" w:hAnsi="Calibri"/>
                <w:color w:val="333333"/>
                <w:sz w:val="18"/>
              </w:rPr>
              <w:t>F7</w:t>
            </w:r>
          </w:p>
        </w:tc>
        <w:tc>
          <w:tcPr>
            <w:tcW w:type="dxa" w:w="2016"/>
            <w:shd w:fill="F2F4F8" w:val="clear"/>
          </w:tcPr>
          <w:p>
            <w:r>
              <w:rPr>
                <w:rFonts w:ascii="Calibri" w:hAnsi="Calibri"/>
                <w:color w:val="333333"/>
                <w:sz w:val="18"/>
              </w:rPr>
              <w:t>Stock Volatility</w:t>
            </w:r>
          </w:p>
        </w:tc>
        <w:tc>
          <w:tcPr>
            <w:tcW w:type="dxa" w:w="2016"/>
            <w:shd w:fill="F2F4F8" w:val="clear"/>
          </w:tcPr>
          <w:p>
            <w:r>
              <w:rPr>
                <w:rFonts w:ascii="Calibri" w:hAnsi="Calibri"/>
                <w:color w:val="333333"/>
                <w:sz w:val="18"/>
              </w:rPr>
              <w:t>0.5</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31 signals, coverage=100%</w:t>
            </w:r>
          </w:p>
        </w:tc>
      </w:tr>
      <w:tr>
        <w:tc>
          <w:tcPr>
            <w:tcW w:type="dxa" w:w="2016"/>
          </w:tcPr>
          <w:p>
            <w:r>
              <w:rPr>
                <w:rFonts w:ascii="Calibri" w:hAnsi="Calibri"/>
                <w:color w:val="333333"/>
                <w:sz w:val="18"/>
              </w:rPr>
              <w:t>F9</w:t>
            </w:r>
          </w:p>
        </w:tc>
        <w:tc>
          <w:tcPr>
            <w:tcW w:type="dxa" w:w="2016"/>
          </w:tcPr>
          <w:p>
            <w:r>
              <w:rPr>
                <w:rFonts w:ascii="Calibri" w:hAnsi="Calibri"/>
                <w:color w:val="333333"/>
                <w:sz w:val="18"/>
              </w:rPr>
              <w:t>Governance Issues</w:t>
            </w:r>
          </w:p>
        </w:tc>
        <w:tc>
          <w:tcPr>
            <w:tcW w:type="dxa" w:w="2016"/>
          </w:tcPr>
          <w:p>
            <w:r>
              <w:rPr>
                <w:rFonts w:ascii="Calibri" w:hAnsi="Calibri"/>
                <w:color w:val="333333"/>
                <w:sz w:val="18"/>
              </w:rPr>
              <w:t>0.6</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40 signals, coverage=100%</w:t>
            </w:r>
          </w:p>
        </w:tc>
      </w:tr>
      <w:tr>
        <w:tc>
          <w:tcPr>
            <w:tcW w:type="dxa" w:w="2016"/>
            <w:shd w:fill="F2F4F8" w:val="clear"/>
          </w:tcPr>
          <w:p>
            <w:r>
              <w:rPr>
                <w:rFonts w:ascii="Calibri" w:hAnsi="Calibri"/>
                <w:color w:val="333333"/>
                <w:sz w:val="18"/>
              </w:rPr>
              <w:t>F10</w:t>
            </w:r>
          </w:p>
        </w:tc>
        <w:tc>
          <w:tcPr>
            <w:tcW w:type="dxa" w:w="2016"/>
            <w:shd w:fill="F2F4F8" w:val="clear"/>
          </w:tcPr>
          <w:p>
            <w:r>
              <w:rPr>
                <w:rFonts w:ascii="Calibri" w:hAnsi="Calibri"/>
                <w:color w:val="333333"/>
                <w:sz w:val="18"/>
              </w:rPr>
              <w:t>Officer Stability</w:t>
            </w:r>
          </w:p>
        </w:tc>
        <w:tc>
          <w:tcPr>
            <w:tcW w:type="dxa" w:w="2016"/>
            <w:shd w:fill="F2F4F8" w:val="clear"/>
          </w:tcPr>
          <w:p>
            <w:r>
              <w:rPr>
                <w:rFonts w:ascii="Calibri" w:hAnsi="Calibri"/>
                <w:color w:val="333333"/>
                <w:sz w:val="18"/>
              </w:rPr>
              <w:t>0.1</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91 signals, coverage=100%</w:t>
            </w:r>
          </w:p>
        </w:tc>
      </w:tr>
    </w:tbl>
    <w:p>
      <w:pPr>
        <w:pStyle w:val="DOBody"/>
      </w:pPr>
      <w:r>
        <w:rPr>
          <w:b/>
          <w:sz w:val="20"/>
        </w:rPr>
        <w:t>Sub-Component Breakdown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Factor</w:t>
            </w:r>
          </w:p>
        </w:tc>
        <w:tc>
          <w:tcPr>
            <w:tcW w:type="dxa" w:w="3360"/>
            <w:shd w:fill="1A1446" w:val="clear"/>
          </w:tcPr>
          <w:p>
            <w:r>
              <w:rPr>
                <w:rFonts w:ascii="Calibri" w:hAnsi="Calibri"/>
                <w:b/>
                <w:color w:val="FFFFFF"/>
                <w:sz w:val="18"/>
              </w:rPr>
              <w:t>Component</w:t>
            </w:r>
          </w:p>
        </w:tc>
        <w:tc>
          <w:tcPr>
            <w:tcW w:type="dxa" w:w="3360"/>
            <w:shd w:fill="1A1446" w:val="clear"/>
          </w:tcPr>
          <w:p>
            <w:r>
              <w:rPr>
                <w:rFonts w:ascii="Calibri" w:hAnsi="Calibri"/>
                <w:b/>
                <w:color w:val="FFFFFF"/>
                <w:sz w:val="18"/>
              </w:rPr>
              <w:t>Value</w:t>
            </w:r>
          </w:p>
        </w:tc>
      </w:tr>
      <w:tr>
        <w:tc>
          <w:tcPr>
            <w:tcW w:type="dxa" w:w="3360"/>
          </w:tcPr>
          <w:p>
            <w:r>
              <w:rPr>
                <w:rFonts w:ascii="Calibri" w:hAnsi="Calibri"/>
                <w:color w:val="333333"/>
                <w:sz w:val="18"/>
              </w:rPr>
              <w:t>F1</w:t>
            </w:r>
          </w:p>
        </w:tc>
        <w:tc>
          <w:tcPr>
            <w:tcW w:type="dxa" w:w="3360"/>
          </w:tcPr>
          <w:p>
            <w:r>
              <w:rPr>
                <w:rFonts w:ascii="Calibri" w:hAnsi="Calibri"/>
                <w:color w:val="333333"/>
                <w:sz w:val="18"/>
              </w:rPr>
              <w:t>base</w:t>
            </w:r>
          </w:p>
        </w:tc>
        <w:tc>
          <w:tcPr>
            <w:tcW w:type="dxa" w:w="3360"/>
          </w:tcPr>
          <w:p>
            <w:r>
              <w:rPr>
                <w:rFonts w:ascii="Calibri" w:hAnsi="Calibri"/>
                <w:color w:val="333333"/>
                <w:sz w:val="18"/>
              </w:rPr>
              <w:t>5.00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5.00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5.00</w:t>
            </w:r>
          </w:p>
        </w:tc>
      </w:tr>
      <w:tr>
        <w:tc>
          <w:tcPr>
            <w:tcW w:type="dxa" w:w="3360"/>
          </w:tcPr>
          <w:p>
            <w:r>
              <w:rPr>
                <w:rFonts w:ascii="Calibri" w:hAnsi="Calibri"/>
                <w:color w:val="333333"/>
                <w:sz w:val="18"/>
              </w:rPr>
              <w:t>F2</w:t>
            </w:r>
          </w:p>
        </w:tc>
        <w:tc>
          <w:tcPr>
            <w:tcW w:type="dxa" w:w="3360"/>
          </w:tcPr>
          <w:p>
            <w:r>
              <w:rPr>
                <w:rFonts w:ascii="Calibri" w:hAnsi="Calibri"/>
                <w:color w:val="333333"/>
                <w:sz w:val="18"/>
              </w:rPr>
              <w:t>base</w:t>
            </w:r>
          </w:p>
        </w:tc>
        <w:tc>
          <w:tcPr>
            <w:tcW w:type="dxa" w:w="3360"/>
          </w:tcPr>
          <w:p>
            <w:r>
              <w:rPr>
                <w:rFonts w:ascii="Calibri" w:hAnsi="Calibri"/>
                <w:color w:val="333333"/>
                <w:sz w:val="18"/>
              </w:rPr>
              <w:t>2.73</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drop_contribution_modifier</w:t>
            </w:r>
          </w:p>
        </w:tc>
        <w:tc>
          <w:tcPr>
            <w:tcW w:type="dxa" w:w="3360"/>
          </w:tcPr>
          <w:p>
            <w:r>
              <w:rPr>
                <w:rFonts w:ascii="Calibri" w:hAnsi="Calibri"/>
                <w:color w:val="333333"/>
                <w:sz w:val="18"/>
              </w:rPr>
              <w:t>0.34</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0.91</w:t>
            </w:r>
          </w:p>
        </w:tc>
      </w:tr>
      <w:tr>
        <w:tc>
          <w:tcPr>
            <w:tcW w:type="dxa" w:w="3360"/>
          </w:tcPr>
          <w:p>
            <w:r>
              <w:rPr>
                <w:rFonts w:ascii="Calibri" w:hAnsi="Calibri"/>
                <w:color w:val="333333"/>
                <w:sz w:val="18"/>
              </w:rPr>
              <w:t>F2</w:t>
            </w:r>
          </w:p>
        </w:tc>
        <w:tc>
          <w:tcPr>
            <w:tcW w:type="dxa" w:w="3360"/>
          </w:tcPr>
          <w:p>
            <w:r>
              <w:rPr>
                <w:rFonts w:ascii="Calibri" w:hAnsi="Calibri"/>
                <w:color w:val="333333"/>
                <w:sz w:val="18"/>
              </w:rPr>
              <w:t>capped</w:t>
            </w:r>
          </w:p>
        </w:tc>
        <w:tc>
          <w:tcPr>
            <w:tcW w:type="dxa" w:w="3360"/>
          </w:tcPr>
          <w:p>
            <w:r>
              <w:rPr>
                <w:rFonts w:ascii="Calibri" w:hAnsi="Calibri"/>
                <w:color w:val="333333"/>
                <w:sz w:val="18"/>
              </w:rPr>
              <w:t>0.91</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0.78</w:t>
            </w:r>
          </w:p>
        </w:tc>
      </w:tr>
      <w:tr>
        <w:tc>
          <w:tcPr>
            <w:tcW w:type="dxa" w:w="3360"/>
          </w:tcPr>
          <w:p>
            <w:r>
              <w:rPr>
                <w:rFonts w:ascii="Calibri" w:hAnsi="Calibri"/>
                <w:color w:val="333333"/>
                <w:sz w:val="18"/>
              </w:rPr>
              <w:t>F3</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F3</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0.78</w:t>
            </w:r>
          </w:p>
        </w:tc>
      </w:tr>
      <w:tr>
        <w:tc>
          <w:tcPr>
            <w:tcW w:type="dxa" w:w="3360"/>
          </w:tcPr>
          <w:p>
            <w:r>
              <w:rPr>
                <w:rFonts w:ascii="Calibri" w:hAnsi="Calibri"/>
                <w:color w:val="333333"/>
                <w:sz w:val="18"/>
              </w:rPr>
              <w:t>F3</w:t>
            </w:r>
          </w:p>
        </w:tc>
        <w:tc>
          <w:tcPr>
            <w:tcW w:type="dxa" w:w="3360"/>
          </w:tcPr>
          <w:p>
            <w:r>
              <w:rPr>
                <w:rFonts w:ascii="Calibri" w:hAnsi="Calibri"/>
                <w:color w:val="333333"/>
                <w:sz w:val="18"/>
              </w:rPr>
              <w:t>capped</w:t>
            </w:r>
          </w:p>
        </w:tc>
        <w:tc>
          <w:tcPr>
            <w:tcW w:type="dxa" w:w="3360"/>
          </w:tcPr>
          <w:p>
            <w:r>
              <w:rPr>
                <w:rFonts w:ascii="Calibri" w:hAnsi="Calibri"/>
                <w:color w:val="333333"/>
                <w:sz w:val="18"/>
              </w:rPr>
              <w:t>0.78</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F4</w:t>
            </w:r>
          </w:p>
        </w:tc>
        <w:tc>
          <w:tcPr>
            <w:tcW w:type="dxa" w:w="3360"/>
          </w:tcPr>
          <w:p>
            <w:r>
              <w:rPr>
                <w:rFonts w:ascii="Calibri" w:hAnsi="Calibri"/>
                <w:color w:val="333333"/>
                <w:sz w:val="18"/>
              </w:rPr>
              <w:t>base</w:t>
            </w:r>
          </w:p>
        </w:tc>
        <w:tc>
          <w:tcPr>
            <w:tcW w:type="dxa" w:w="3360"/>
          </w:tcPr>
          <w:p>
            <w:r>
              <w:rPr>
                <w:rFonts w:ascii="Calibri" w:hAnsi="Calibri"/>
                <w:color w:val="333333"/>
                <w:sz w:val="18"/>
              </w:rPr>
              <w:t>0.94</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0.94</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0.94</w:t>
            </w:r>
          </w:p>
        </w:tc>
      </w:tr>
      <w:tr>
        <w:tc>
          <w:tcPr>
            <w:tcW w:type="dxa" w:w="3360"/>
          </w:tcPr>
          <w:p>
            <w:r>
              <w:rPr>
                <w:rFonts w:ascii="Calibri" w:hAnsi="Calibri"/>
                <w:color w:val="333333"/>
                <w:sz w:val="18"/>
              </w:rPr>
              <w:t>F6</w:t>
            </w:r>
          </w:p>
        </w:tc>
        <w:tc>
          <w:tcPr>
            <w:tcW w:type="dxa" w:w="3360"/>
          </w:tcPr>
          <w:p>
            <w:r>
              <w:rPr>
                <w:rFonts w:ascii="Calibri" w:hAnsi="Calibri"/>
                <w:color w:val="333333"/>
                <w:sz w:val="18"/>
              </w:rPr>
              <w:t>base</w:t>
            </w:r>
          </w:p>
        </w:tc>
        <w:tc>
          <w:tcPr>
            <w:tcW w:type="dxa" w:w="3360"/>
          </w:tcPr>
          <w:p>
            <w:r>
              <w:rPr>
                <w:rFonts w:ascii="Calibri" w:hAnsi="Calibri"/>
                <w:color w:val="333333"/>
                <w:sz w:val="18"/>
              </w:rPr>
              <w:t>1.33</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1.33</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1.33</w:t>
            </w:r>
          </w:p>
        </w:tc>
      </w:tr>
      <w:tr>
        <w:tc>
          <w:tcPr>
            <w:tcW w:type="dxa" w:w="3360"/>
          </w:tcPr>
          <w:p>
            <w:r>
              <w:rPr>
                <w:rFonts w:ascii="Calibri" w:hAnsi="Calibri"/>
                <w:color w:val="333333"/>
                <w:sz w:val="18"/>
              </w:rPr>
              <w:t>F6</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0.56</w:t>
            </w:r>
          </w:p>
        </w:tc>
      </w:tr>
      <w:tr>
        <w:tc>
          <w:tcPr>
            <w:tcW w:type="dxa" w:w="3360"/>
          </w:tcPr>
          <w:p>
            <w:r>
              <w:rPr>
                <w:rFonts w:ascii="Calibri" w:hAnsi="Calibri"/>
                <w:color w:val="333333"/>
                <w:sz w:val="18"/>
              </w:rPr>
              <w:t>F7</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0.56</w:t>
            </w:r>
          </w:p>
        </w:tc>
      </w:tr>
      <w:tr>
        <w:tc>
          <w:tcPr>
            <w:tcW w:type="dxa" w:w="3360"/>
          </w:tcPr>
          <w:p>
            <w:r>
              <w:rPr>
                <w:rFonts w:ascii="Calibri" w:hAnsi="Calibri"/>
                <w:color w:val="333333"/>
                <w:sz w:val="18"/>
              </w:rPr>
              <w:t>F7</w:t>
            </w:r>
          </w:p>
        </w:tc>
        <w:tc>
          <w:tcPr>
            <w:tcW w:type="dxa" w:w="3360"/>
          </w:tcPr>
          <w:p>
            <w:r>
              <w:rPr>
                <w:rFonts w:ascii="Calibri" w:hAnsi="Calibri"/>
                <w:color w:val="333333"/>
                <w:sz w:val="18"/>
              </w:rPr>
              <w:t>capped</w:t>
            </w:r>
          </w:p>
        </w:tc>
        <w:tc>
          <w:tcPr>
            <w:tcW w:type="dxa" w:w="3360"/>
          </w:tcPr>
          <w:p>
            <w:r>
              <w:rPr>
                <w:rFonts w:ascii="Calibri" w:hAnsi="Calibri"/>
                <w:color w:val="333333"/>
                <w:sz w:val="18"/>
              </w:rPr>
              <w:t>0.56</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F9</w:t>
            </w:r>
          </w:p>
        </w:tc>
        <w:tc>
          <w:tcPr>
            <w:tcW w:type="dxa" w:w="3360"/>
          </w:tcPr>
          <w:p>
            <w:r>
              <w:rPr>
                <w:rFonts w:ascii="Calibri" w:hAnsi="Calibri"/>
                <w:color w:val="333333"/>
                <w:sz w:val="18"/>
              </w:rPr>
              <w:t>base</w:t>
            </w:r>
          </w:p>
        </w:tc>
        <w:tc>
          <w:tcPr>
            <w:tcW w:type="dxa" w:w="3360"/>
          </w:tcPr>
          <w:p>
            <w:r>
              <w:rPr>
                <w:rFonts w:ascii="Calibri" w:hAnsi="Calibri"/>
                <w:color w:val="333333"/>
                <w:sz w:val="18"/>
              </w:rPr>
              <w:t>0.69</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0.69</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0.69</w:t>
            </w:r>
          </w:p>
        </w:tc>
      </w:tr>
      <w:tr>
        <w:tc>
          <w:tcPr>
            <w:tcW w:type="dxa" w:w="3360"/>
          </w:tcPr>
          <w:p>
            <w:r>
              <w:rPr>
                <w:rFonts w:ascii="Calibri" w:hAnsi="Calibri"/>
                <w:color w:val="333333"/>
                <w:sz w:val="18"/>
              </w:rPr>
              <w:t>F9</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0.08</w:t>
            </w:r>
          </w:p>
        </w:tc>
      </w:tr>
      <w:tr>
        <w:tc>
          <w:tcPr>
            <w:tcW w:type="dxa" w:w="3360"/>
          </w:tcPr>
          <w:p>
            <w:r>
              <w:rPr>
                <w:rFonts w:ascii="Calibri" w:hAnsi="Calibri"/>
                <w:color w:val="333333"/>
                <w:sz w:val="18"/>
              </w:rPr>
              <w:t>F10</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0.08</w:t>
            </w:r>
          </w:p>
        </w:tc>
      </w:tr>
      <w:tr>
        <w:tc>
          <w:tcPr>
            <w:tcW w:type="dxa" w:w="3360"/>
          </w:tcPr>
          <w:p>
            <w:r>
              <w:rPr>
                <w:rFonts w:ascii="Calibri" w:hAnsi="Calibri"/>
                <w:color w:val="333333"/>
                <w:sz w:val="18"/>
              </w:rPr>
              <w:t>F10</w:t>
            </w:r>
          </w:p>
        </w:tc>
        <w:tc>
          <w:tcPr>
            <w:tcW w:type="dxa" w:w="3360"/>
          </w:tcPr>
          <w:p>
            <w:r>
              <w:rPr>
                <w:rFonts w:ascii="Calibri" w:hAnsi="Calibri"/>
                <w:color w:val="333333"/>
                <w:sz w:val="18"/>
              </w:rPr>
              <w:t>capped</w:t>
            </w:r>
          </w:p>
        </w:tc>
        <w:tc>
          <w:tcPr>
            <w:tcW w:type="dxa" w:w="3360"/>
          </w:tcPr>
          <w:p>
            <w:r>
              <w:rPr>
                <w:rFonts w:ascii="Calibri" w:hAnsi="Calibri"/>
                <w:color w:val="333333"/>
                <w:sz w:val="18"/>
              </w:rPr>
              <w:t>0.08</w:t>
            </w:r>
          </w:p>
        </w:tc>
      </w:tr>
    </w:tbl>
    <w:p>
      <w:pPr>
        <w:pStyle w:val="DOHeading3"/>
      </w:pPr>
      <w:r>
        <w:t>Pattern Detection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Pattern</w:t>
            </w:r>
          </w:p>
        </w:tc>
        <w:tc>
          <w:tcPr>
            <w:tcW w:type="dxa" w:w="2520"/>
            <w:shd w:fill="1A1446" w:val="clear"/>
          </w:tcPr>
          <w:p>
            <w:r>
              <w:rPr>
                <w:rFonts w:ascii="Calibri" w:hAnsi="Calibri"/>
                <w:b/>
                <w:color w:val="FFFFFF"/>
                <w:sz w:val="18"/>
              </w:rPr>
              <w:t>Severity</w:t>
            </w:r>
          </w:p>
        </w:tc>
        <w:tc>
          <w:tcPr>
            <w:tcW w:type="dxa" w:w="2520"/>
            <w:shd w:fill="1A1446" w:val="clear"/>
          </w:tcPr>
          <w:p>
            <w:r>
              <w:rPr>
                <w:rFonts w:ascii="Calibri" w:hAnsi="Calibri"/>
                <w:b/>
                <w:color w:val="FFFFFF"/>
                <w:sz w:val="18"/>
              </w:rPr>
              <w:t>Triggers Matched</w:t>
            </w:r>
          </w:p>
        </w:tc>
        <w:tc>
          <w:tcPr>
            <w:tcW w:type="dxa" w:w="2520"/>
            <w:shd w:fill="1A1446" w:val="clear"/>
          </w:tcPr>
          <w:p>
            <w:r>
              <w:rPr>
                <w:rFonts w:ascii="Calibri" w:hAnsi="Calibri"/>
                <w:b/>
                <w:color w:val="FFFFFF"/>
                <w:sz w:val="18"/>
              </w:rPr>
              <w:t>Score Impact</w:t>
            </w:r>
          </w:p>
        </w:tc>
      </w:tr>
      <w:tr>
        <w:tc>
          <w:tcPr>
            <w:tcW w:type="dxa" w:w="2520"/>
          </w:tcPr>
          <w:p>
            <w:r>
              <w:rPr>
                <w:rFonts w:ascii="Calibri" w:hAnsi="Calibri"/>
                <w:color w:val="333333"/>
                <w:sz w:val="18"/>
              </w:rPr>
              <w:t>Guidance Track Record</w:t>
            </w:r>
          </w:p>
        </w:tc>
        <w:tc>
          <w:tcPr>
            <w:tcW w:type="dxa" w:w="2520"/>
          </w:tcPr>
          <w:p>
            <w:r>
              <w:rPr>
                <w:rFonts w:ascii="Calibri" w:hAnsi="Calibri"/>
                <w:color w:val="333333"/>
                <w:sz w:val="18"/>
              </w:rPr>
              <w:t>BASELINE</w:t>
            </w:r>
          </w:p>
        </w:tc>
        <w:tc>
          <w:tcPr>
            <w:tcW w:type="dxa" w:w="2520"/>
          </w:tcPr>
          <w:p>
            <w:r>
              <w:rPr>
                <w:rFonts w:ascii="Calibri" w:hAnsi="Calibri"/>
                <w:color w:val="333333"/>
                <w:sz w:val="18"/>
              </w:rPr>
            </w:r>
          </w:p>
        </w:tc>
        <w:tc>
          <w:tcPr>
            <w:tcW w:type="dxa" w:w="2520"/>
          </w:tcPr>
          <w:p>
            <w:r>
              <w:rPr>
                <w:rFonts w:ascii="Calibri" w:hAnsi="Calibri"/>
                <w:color w:val="333333"/>
                <w:sz w:val="18"/>
              </w:rPr>
              <w:t>F5: +0</w:t>
            </w:r>
          </w:p>
        </w:tc>
      </w:tr>
    </w:tbl>
    <w:p>
      <w:pPr>
        <w:pStyle w:val="DOHeading3"/>
      </w:pPr>
      <w:r>
        <w:t>Allegation Theory Mapping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Theory</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Factor Sources</w:t>
            </w:r>
          </w:p>
        </w:tc>
        <w:tc>
          <w:tcPr>
            <w:tcW w:type="dxa" w:w="2520"/>
            <w:shd w:fill="1A1446" w:val="clear"/>
          </w:tcPr>
          <w:p>
            <w:r>
              <w:rPr>
                <w:rFonts w:ascii="Calibri" w:hAnsi="Calibri"/>
                <w:b/>
                <w:color w:val="FFFFFF"/>
                <w:sz w:val="18"/>
              </w:rPr>
              <w:t>Key Findings</w:t>
            </w:r>
          </w:p>
        </w:tc>
      </w:tr>
      <w:tr>
        <w:tc>
          <w:tcPr>
            <w:tcW w:type="dxa" w:w="2520"/>
          </w:tcPr>
          <w:p>
            <w:r>
              <w:rPr>
                <w:rFonts w:ascii="Calibri" w:hAnsi="Calibri"/>
                <w:color w:val="333333"/>
                <w:sz w:val="18"/>
              </w:rPr>
              <w:t>A_DISCLOSURE</w:t>
            </w:r>
          </w:p>
        </w:tc>
        <w:tc>
          <w:tcPr>
            <w:tcW w:type="dxa" w:w="2520"/>
          </w:tcPr>
          <w:p>
            <w:r>
              <w:rPr>
                <w:rFonts w:ascii="Calibri" w:hAnsi="Calibri"/>
                <w:color w:val="333333"/>
                <w:sz w:val="18"/>
              </w:rPr>
              <w:t>MODERATE</w:t>
            </w:r>
          </w:p>
        </w:tc>
        <w:tc>
          <w:tcPr>
            <w:tcW w:type="dxa" w:w="2520"/>
          </w:tcPr>
          <w:p>
            <w:r>
              <w:rPr>
                <w:rFonts w:ascii="Calibri" w:hAnsi="Calibri"/>
                <w:color w:val="333333"/>
                <w:sz w:val="18"/>
              </w:rPr>
              <w:t>F1, F3</w:t>
            </w:r>
          </w:p>
        </w:tc>
        <w:tc>
          <w:tcPr>
            <w:tcW w:type="dxa" w:w="2520"/>
          </w:tcPr>
          <w:p>
            <w:r>
              <w:rPr>
                <w:rFonts w:ascii="Calibri" w:hAnsi="Calibri"/>
                <w:color w:val="333333"/>
                <w:sz w:val="18"/>
              </w:rPr>
              <w:t>F1: Signal-driven scoring: 65 signals, coverage=100%; F3: Signal-driven scoring: 80 signals, coverage=100%</w:t>
            </w:r>
          </w:p>
        </w:tc>
      </w:tr>
      <w:tr>
        <w:tc>
          <w:tcPr>
            <w:tcW w:type="dxa" w:w="2520"/>
            <w:shd w:fill="F2F4F8" w:val="clear"/>
          </w:tcPr>
          <w:p>
            <w:r>
              <w:rPr>
                <w:rFonts w:ascii="Calibri" w:hAnsi="Calibri"/>
                <w:color w:val="333333"/>
                <w:sz w:val="18"/>
              </w:rPr>
              <w:t>B_GUIDANCE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F2</w:t>
            </w:r>
          </w:p>
        </w:tc>
        <w:tc>
          <w:tcPr>
            <w:tcW w:type="dxa" w:w="2520"/>
            <w:shd w:fill="F2F4F8" w:val="clear"/>
          </w:tcPr>
          <w:p>
            <w:r>
              <w:rPr>
                <w:rFonts w:ascii="Calibri" w:hAnsi="Calibri"/>
                <w:color w:val="333333"/>
                <w:sz w:val="18"/>
              </w:rPr>
              <w:t>F2: Signal-driven scoring: 30 signals, coverage=100%; F2: Drop contribution modifier: 0.34x (decay + company-specific + disclosure)</w:t>
            </w:r>
          </w:p>
        </w:tc>
      </w:tr>
      <w:tr>
        <w:tc>
          <w:tcPr>
            <w:tcW w:type="dxa" w:w="2520"/>
          </w:tcPr>
          <w:p>
            <w:r>
              <w:rPr>
                <w:rFonts w:ascii="Calibri" w:hAnsi="Calibri"/>
                <w:color w:val="333333"/>
                <w:sz w:val="18"/>
              </w:rPr>
              <w:t>C_PRODUCT_OPS</w:t>
            </w:r>
          </w:p>
        </w:tc>
        <w:tc>
          <w:tcPr>
            <w:tcW w:type="dxa" w:w="2520"/>
          </w:tcPr>
          <w:p>
            <w:r>
              <w:rPr>
                <w:rFonts w:ascii="Calibri" w:hAnsi="Calibri"/>
                <w:color w:val="333333"/>
                <w:sz w:val="18"/>
              </w:rPr>
              <w:t>LOW</w:t>
            </w:r>
          </w:p>
        </w:tc>
        <w:tc>
          <w:tcPr>
            <w:tcW w:type="dxa" w:w="2520"/>
          </w:tcPr>
          <w:p>
            <w:r>
              <w:rPr>
                <w:rFonts w:ascii="Calibri" w:hAnsi="Calibri"/>
                <w:color w:val="333333"/>
                <w:sz w:val="18"/>
              </w:rPr>
              <w:t>F7</w:t>
            </w:r>
          </w:p>
        </w:tc>
        <w:tc>
          <w:tcPr>
            <w:tcW w:type="dxa" w:w="2520"/>
          </w:tcPr>
          <w:p>
            <w:r>
              <w:rPr>
                <w:rFonts w:ascii="Calibri" w:hAnsi="Calibri"/>
                <w:color w:val="333333"/>
                <w:sz w:val="18"/>
              </w:rPr>
              <w:t>F7: Signal-driven scoring: 31 signals, coverage=100%; 4 regulatory proceedings</w:t>
            </w:r>
          </w:p>
        </w:tc>
      </w:tr>
      <w:tr>
        <w:tc>
          <w:tcPr>
            <w:tcW w:type="dxa" w:w="2520"/>
            <w:shd w:fill="F2F4F8" w:val="clear"/>
          </w:tcPr>
          <w:p>
            <w:r>
              <w:rPr>
                <w:rFonts w:ascii="Calibri" w:hAnsi="Calibri"/>
                <w:color w:val="333333"/>
                <w:sz w:val="18"/>
              </w:rPr>
              <w:t>D_GOVERNANCE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F9, F10</w:t>
            </w:r>
          </w:p>
        </w:tc>
        <w:tc>
          <w:tcPr>
            <w:tcW w:type="dxa" w:w="2520"/>
            <w:shd w:fill="F2F4F8" w:val="clear"/>
          </w:tcPr>
          <w:p>
            <w:r>
              <w:rPr>
                <w:rFonts w:ascii="Calibri" w:hAnsi="Calibri"/>
                <w:color w:val="333333"/>
                <w:sz w:val="18"/>
              </w:rPr>
              <w:t>F9: Signal-driven scoring: 40 signals, coverage=100%; F10: Signal-driven scoring: 91 signals, coverage=100%</w:t>
            </w:r>
          </w:p>
        </w:tc>
      </w:tr>
      <w:tr>
        <w:tc>
          <w:tcPr>
            <w:tcW w:type="dxa" w:w="2520"/>
          </w:tcPr>
          <w:p>
            <w:r>
              <w:rPr>
                <w:rFonts w:ascii="Calibri" w:hAnsi="Calibri"/>
                <w:color w:val="333333"/>
                <w:sz w:val="18"/>
              </w:rPr>
              <w:t>E_MA</w:t>
            </w:r>
          </w:p>
        </w:tc>
        <w:tc>
          <w:tcPr>
            <w:tcW w:type="dxa" w:w="2520"/>
          </w:tcPr>
          <w:p>
            <w:r>
              <w:rPr>
                <w:rFonts w:ascii="Calibri" w:hAnsi="Calibri"/>
                <w:color w:val="333333"/>
                <w:sz w:val="18"/>
              </w:rPr>
              <w:t>LOW</w:t>
            </w:r>
          </w:p>
        </w:tc>
        <w:tc>
          <w:tcPr>
            <w:tcW w:type="dxa" w:w="2520"/>
          </w:tcPr>
          <w:p>
            <w:r>
              <w:rPr>
                <w:rFonts w:ascii="Calibri" w:hAnsi="Calibri"/>
                <w:color w:val="333333"/>
                <w:sz w:val="18"/>
              </w:rPr>
              <w:t>F4</w:t>
            </w:r>
          </w:p>
        </w:tc>
        <w:tc>
          <w:tcPr>
            <w:tcW w:type="dxa" w:w="2520"/>
          </w:tcPr>
          <w:p>
            <w:r>
              <w:rPr>
                <w:rFonts w:ascii="Calibri" w:hAnsi="Calibri"/>
                <w:color w:val="333333"/>
                <w:sz w:val="18"/>
              </w:rPr>
              <w:t>F4: Signal-driven scoring: 16 signals, coverage=100%</w:t>
            </w:r>
          </w:p>
        </w:tc>
      </w:tr>
    </w:tbl>
    <w:p>
      <w:pPr>
        <w:pStyle w:val="DOBody"/>
      </w:pPr>
      <w:r>
        <w:rPr>
          <w:i/>
          <w:sz w:val="16"/>
        </w:rPr>
        <w:t>D&amp;O Context: Primary allegation exposure is A_DISCLOSURE. MODERATE exposure in: A_DISCLOSURE.</w:t>
      </w:r>
    </w:p>
    <w:p>
      <w:pPr>
        <w:pStyle w:val="DOHeading3"/>
      </w:pPr>
      <w:r>
        <w:t>Claim Probability Detail</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Probability Band</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Range</w:t>
            </w:r>
          </w:p>
        </w:tc>
        <w:tc>
          <w:tcPr>
            <w:tcW w:type="dxa" w:w="5040"/>
            <w:shd w:fill="F2F4F8" w:val="clear"/>
          </w:tcPr>
          <w:p>
            <w:r>
              <w:rPr>
                <w:rFonts w:ascii="Calibri" w:hAnsi="Calibri"/>
                <w:color w:val="333333"/>
                <w:sz w:val="18"/>
              </w:rPr>
              <w:t>4.2% - 6.0%</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3.0%</w:t>
            </w:r>
          </w:p>
        </w:tc>
      </w:tr>
      <w:tr>
        <w:tc>
          <w:tcPr>
            <w:tcW w:type="dxa" w:w="5040"/>
            <w:shd w:fill="F2F4F8" w:val="clear"/>
          </w:tcPr>
          <w:p>
            <w:r>
              <w:rPr>
                <w:rFonts w:ascii="Calibri" w:hAnsi="Calibri"/>
                <w:color w:val="333333"/>
                <w:sz w:val="18"/>
              </w:rPr>
              <w:t>Adjustment Rationale</w:t>
            </w:r>
          </w:p>
        </w:tc>
        <w:tc>
          <w:tcPr>
            <w:tcW w:type="dxa" w:w="5040"/>
            <w:shd w:fill="F2F4F8" w:val="clear"/>
          </w:tcPr>
          <w:p>
            <w:r>
              <w:rPr>
                <w:rFonts w:ascii="Calibri" w:hAnsi="Calibri"/>
                <w:color w:val="333333"/>
                <w:sz w:val="18"/>
              </w:rPr>
              <w:t>Industry base rate: 3.0%. Tier WRITE (5-10%): Above base rate. Multiple risk fac</w:t>
            </w:r>
          </w:p>
        </w:tc>
      </w:tr>
    </w:tbl>
    <w:p>
      <w:pPr>
        <w:pStyle w:val="DOBody"/>
      </w:pPr>
      <w:r>
        <w:rPr>
          <w:b/>
        </w:rPr>
        <w:t>Claim probability: MODERATE</w:t>
      </w:r>
      <w:r>
        <w:rPr>
          <w:b/>
          <w:color w:val="EAB308"/>
          <w:sz w:val="18"/>
        </w:rPr>
        <w:t xml:space="preserve"> [ELEVATED]</w:t>
      </w:r>
    </w:p>
    <w:p>
      <w:pPr>
        <w:pStyle w:val="DOHeading3"/>
      </w:pPr>
      <w:r>
        <w:t>Tower Position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Recommended Position</w:t>
            </w:r>
          </w:p>
        </w:tc>
        <w:tc>
          <w:tcPr>
            <w:tcW w:type="dxa" w:w="5040"/>
          </w:tcPr>
          <w:p>
            <w:r>
              <w:rPr>
                <w:rFonts w:ascii="Calibri" w:hAnsi="Calibri"/>
                <w:color w:val="333333"/>
                <w:sz w:val="18"/>
              </w:rPr>
              <w:t>LOW_EXCESS</w:t>
            </w:r>
          </w:p>
        </w:tc>
      </w:tr>
      <w:tr>
        <w:tc>
          <w:tcPr>
            <w:tcW w:type="dxa" w:w="5040"/>
            <w:shd w:fill="F2F4F8" w:val="clear"/>
          </w:tcPr>
          <w:p>
            <w:r>
              <w:rPr>
                <w:rFonts w:ascii="Calibri" w:hAnsi="Calibri"/>
                <w:color w:val="333333"/>
                <w:sz w:val="18"/>
              </w:rPr>
              <w:t>Minimum Attachment</w:t>
            </w:r>
          </w:p>
        </w:tc>
        <w:tc>
          <w:tcPr>
            <w:tcW w:type="dxa" w:w="5040"/>
            <w:shd w:fill="F2F4F8" w:val="clear"/>
          </w:tcPr>
          <w:p>
            <w:r>
              <w:rPr>
                <w:rFonts w:ascii="Calibri" w:hAnsi="Calibri"/>
                <w:color w:val="333333"/>
                <w:sz w:val="18"/>
              </w:rPr>
              <w:t>$42.6M (based on 50th percentile settlement)</w:t>
            </w:r>
          </w:p>
        </w:tc>
      </w:tr>
      <w:tr>
        <w:tc>
          <w:tcPr>
            <w:tcW w:type="dxa" w:w="5040"/>
          </w:tcPr>
          <w:p>
            <w:r>
              <w:rPr>
                <w:rFonts w:ascii="Calibri" w:hAnsi="Calibri"/>
                <w:color w:val="333333"/>
                <w:sz w:val="18"/>
              </w:rPr>
              <w:t>Side A/DIC Assessment</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Position</w:t>
            </w:r>
          </w:p>
        </w:tc>
        <w:tc>
          <w:tcPr>
            <w:tcW w:type="dxa" w:w="2520"/>
            <w:shd w:fill="1A1446" w:val="clear"/>
          </w:tcPr>
          <w:p>
            <w:r>
              <w:rPr>
                <w:rFonts w:ascii="Calibri" w:hAnsi="Calibri"/>
                <w:b/>
                <w:color w:val="FFFFFF"/>
                <w:sz w:val="18"/>
              </w:rPr>
              <w:t>Risk Assessment</w:t>
            </w:r>
          </w:p>
        </w:tc>
        <w:tc>
          <w:tcPr>
            <w:tcW w:type="dxa" w:w="2520"/>
            <w:shd w:fill="1A1446" w:val="clear"/>
          </w:tcPr>
          <w:p>
            <w:r>
              <w:rPr>
                <w:rFonts w:ascii="Calibri" w:hAnsi="Calibri"/>
                <w:b/>
                <w:color w:val="FFFFFF"/>
                <w:sz w:val="18"/>
              </w:rPr>
              <w:t>Premium Guidance</w:t>
            </w:r>
          </w:p>
        </w:tc>
        <w:tc>
          <w:tcPr>
            <w:tcW w:type="dxa" w:w="2520"/>
            <w:shd w:fill="1A1446" w:val="clear"/>
          </w:tcPr>
          <w:p>
            <w:r>
              <w:rPr>
                <w:rFonts w:ascii="Calibri" w:hAnsi="Calibri"/>
                <w:b/>
                <w:color w:val="FFFFFF"/>
                <w:sz w:val="18"/>
              </w:rPr>
              <w:t>Attachment</w:t>
            </w:r>
          </w:p>
        </w:tc>
      </w:tr>
      <w:tr>
        <w:tc>
          <w:tcPr>
            <w:tcW w:type="dxa" w:w="2520"/>
          </w:tcPr>
          <w:p>
            <w:r>
              <w:rPr>
                <w:rFonts w:ascii="Calibri" w:hAnsi="Calibri"/>
                <w:color w:val="333333"/>
                <w:sz w:val="18"/>
              </w:rPr>
              <w:t>PRIMARY</w:t>
            </w:r>
          </w:p>
        </w:tc>
        <w:tc>
          <w:tcPr>
            <w:tcW w:type="dxa" w:w="2520"/>
          </w:tcPr>
          <w:p>
            <w:r>
              <w:rPr>
                <w:rFonts w:ascii="Calibri" w:hAnsi="Calibri"/>
                <w:color w:val="333333"/>
                <w:sz w:val="18"/>
              </w:rPr>
              <w:t>Primary layer carries 57% of expected loss exposur</w:t>
            </w:r>
          </w:p>
        </w:tc>
        <w:tc>
          <w:tcPr>
            <w:tcW w:type="dxa" w:w="2520"/>
          </w:tcPr>
          <w:p>
            <w:r>
              <w:rPr>
                <w:rFonts w:ascii="Calibri" w:hAnsi="Calibri"/>
                <w:color w:val="333333"/>
                <w:sz w:val="18"/>
              </w:rPr>
              <w:t>Full rate, slight discount for</w:t>
            </w:r>
          </w:p>
        </w:tc>
        <w:tc>
          <w:tcPr>
            <w:tcW w:type="dxa" w:w="2520"/>
          </w:tcPr>
          <w:p>
            <w:r>
              <w:rPr>
                <w:rFonts w:ascii="Calibri" w:hAnsi="Calibri"/>
                <w:color w:val="333333"/>
                <w:sz w:val="18"/>
              </w:rPr>
              <w:t>$0 ground-up</w:t>
            </w:r>
          </w:p>
        </w:tc>
      </w:tr>
      <w:tr>
        <w:tc>
          <w:tcPr>
            <w:tcW w:type="dxa" w:w="2520"/>
            <w:shd w:fill="F2F4F8" w:val="clear"/>
          </w:tcPr>
          <w:p>
            <w:r>
              <w:rPr>
                <w:rFonts w:ascii="Calibri" w:hAnsi="Calibri"/>
                <w:color w:val="333333"/>
                <w:sz w:val="18"/>
              </w:rPr>
              <w:t>LOW_EXCESS</w:t>
            </w:r>
          </w:p>
        </w:tc>
        <w:tc>
          <w:tcPr>
            <w:tcW w:type="dxa" w:w="2520"/>
            <w:shd w:fill="F2F4F8" w:val="clear"/>
          </w:tcPr>
          <w:p>
            <w:r>
              <w:rPr>
                <w:rFonts w:ascii="Calibri" w:hAnsi="Calibri"/>
                <w:color w:val="333333"/>
                <w:sz w:val="18"/>
              </w:rPr>
              <w:t>Low excess layer carries 18% of expected loss expo</w:t>
            </w:r>
          </w:p>
        </w:tc>
        <w:tc>
          <w:tcPr>
            <w:tcW w:type="dxa" w:w="2520"/>
            <w:shd w:fill="F2F4F8" w:val="clear"/>
          </w:tcPr>
          <w:p>
            <w:r>
              <w:rPr>
                <w:rFonts w:ascii="Calibri" w:hAnsi="Calibri"/>
                <w:color w:val="333333"/>
                <w:sz w:val="18"/>
              </w:rPr>
              <w:t>Market rate</w:t>
            </w:r>
          </w:p>
        </w:tc>
        <w:tc>
          <w:tcPr>
            <w:tcW w:type="dxa" w:w="2520"/>
            <w:shd w:fill="F2F4F8" w:val="clear"/>
          </w:tcPr>
          <w:p>
            <w:r>
              <w:rPr>
                <w:rFonts w:ascii="Calibri" w:hAnsi="Calibri"/>
                <w:color w:val="333333"/>
                <w:sz w:val="18"/>
              </w:rPr>
              <w:t>$5-15M xs $5-15M</w:t>
            </w:r>
          </w:p>
        </w:tc>
      </w:tr>
      <w:tr>
        <w:tc>
          <w:tcPr>
            <w:tcW w:type="dxa" w:w="2520"/>
          </w:tcPr>
          <w:p>
            <w:r>
              <w:rPr>
                <w:rFonts w:ascii="Calibri" w:hAnsi="Calibri"/>
                <w:color w:val="333333"/>
                <w:sz w:val="18"/>
              </w:rPr>
              <w:t>MID_EXCESS</w:t>
            </w:r>
          </w:p>
        </w:tc>
        <w:tc>
          <w:tcPr>
            <w:tcW w:type="dxa" w:w="2520"/>
          </w:tcPr>
          <w:p>
            <w:r>
              <w:rPr>
                <w:rFonts w:ascii="Calibri" w:hAnsi="Calibri"/>
                <w:color w:val="333333"/>
                <w:sz w:val="18"/>
              </w:rPr>
              <w:t>Mid excess layer carries 13% of expected loss expo</w:t>
            </w:r>
          </w:p>
        </w:tc>
        <w:tc>
          <w:tcPr>
            <w:tcW w:type="dxa" w:w="2520"/>
          </w:tcPr>
          <w:p>
            <w:r>
              <w:rPr>
                <w:rFonts w:ascii="Calibri" w:hAnsi="Calibri"/>
                <w:color w:val="333333"/>
                <w:sz w:val="18"/>
              </w:rPr>
              <w:t>Market to 1.3x</w:t>
            </w:r>
          </w:p>
        </w:tc>
        <w:tc>
          <w:tcPr>
            <w:tcW w:type="dxa" w:w="2520"/>
          </w:tcPr>
          <w:p>
            <w:r>
              <w:rPr>
                <w:rFonts w:ascii="Calibri" w:hAnsi="Calibri"/>
                <w:color w:val="333333"/>
                <w:sz w:val="18"/>
              </w:rPr>
              <w:t>$15-50M xs $15-50M</w:t>
            </w:r>
          </w:p>
        </w:tc>
      </w:tr>
      <w:tr>
        <w:tc>
          <w:tcPr>
            <w:tcW w:type="dxa" w:w="2520"/>
            <w:shd w:fill="F2F4F8" w:val="clear"/>
          </w:tcPr>
          <w:p>
            <w:r>
              <w:rPr>
                <w:rFonts w:ascii="Calibri" w:hAnsi="Calibri"/>
                <w:color w:val="333333"/>
                <w:sz w:val="18"/>
              </w:rPr>
              <w:t>HIGH_EXCESS</w:t>
            </w:r>
          </w:p>
        </w:tc>
        <w:tc>
          <w:tcPr>
            <w:tcW w:type="dxa" w:w="2520"/>
            <w:shd w:fill="F2F4F8" w:val="clear"/>
          </w:tcPr>
          <w:p>
            <w:r>
              <w:rPr>
                <w:rFonts w:ascii="Calibri" w:hAnsi="Calibri"/>
                <w:color w:val="333333"/>
                <w:sz w:val="18"/>
              </w:rPr>
              <w:t>High excess layer carries 11% of expected loss exp</w:t>
            </w:r>
          </w:p>
        </w:tc>
        <w:tc>
          <w:tcPr>
            <w:tcW w:type="dxa" w:w="2520"/>
            <w:shd w:fill="F2F4F8" w:val="clear"/>
          </w:tcPr>
          <w:p>
            <w:r>
              <w:rPr>
                <w:rFonts w:ascii="Calibri" w:hAnsi="Calibri"/>
                <w:color w:val="333333"/>
                <w:sz w:val="18"/>
              </w:rPr>
              <w:t>1.3-2x with attachment</w:t>
            </w:r>
          </w:p>
        </w:tc>
        <w:tc>
          <w:tcPr>
            <w:tcW w:type="dxa" w:w="2520"/>
            <w:shd w:fill="F2F4F8" w:val="clear"/>
          </w:tcPr>
          <w:p>
            <w:r>
              <w:rPr>
                <w:rFonts w:ascii="Calibri" w:hAnsi="Calibri"/>
                <w:color w:val="333333"/>
                <w:sz w:val="18"/>
              </w:rPr>
              <w:t>$50M+ xs $50M+</w:t>
            </w:r>
          </w:p>
        </w:tc>
      </w:tr>
      <w:tr>
        <w:tc>
          <w:tcPr>
            <w:tcW w:type="dxa" w:w="2520"/>
          </w:tcPr>
          <w:p>
            <w:r>
              <w:rPr>
                <w:rFonts w:ascii="Calibri" w:hAnsi="Calibri"/>
                <w:color w:val="333333"/>
                <w:sz w:val="18"/>
              </w:rPr>
              <w:t>DECLINE</w:t>
            </w:r>
          </w:p>
        </w:tc>
        <w:tc>
          <w:tcPr>
            <w:tcW w:type="dxa" w:w="2520"/>
          </w:tcPr>
          <w:p>
            <w:r>
              <w:rPr>
                <w:rFonts w:ascii="Calibri" w:hAnsi="Calibri"/>
                <w:color w:val="333333"/>
                <w:sz w:val="18"/>
              </w:rPr>
              <w:t>WALK+ with compounding factors</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2"/>
      </w:pPr>
      <w:r>
        <w:t>Forensic Composite Scores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Composite</w:t>
            </w:r>
          </w:p>
        </w:tc>
        <w:tc>
          <w:tcPr>
            <w:tcW w:type="dxa" w:w="3360"/>
            <w:shd w:fill="1A1446" w:val="clear"/>
          </w:tcPr>
          <w:p>
            <w:r>
              <w:rPr>
                <w:rFonts w:ascii="Calibri" w:hAnsi="Calibri"/>
                <w:b/>
                <w:color w:val="FFFFFF"/>
                <w:sz w:val="18"/>
              </w:rPr>
              <w:t>Score</w:t>
            </w:r>
          </w:p>
        </w:tc>
        <w:tc>
          <w:tcPr>
            <w:tcW w:type="dxa" w:w="3360"/>
            <w:shd w:fill="1A1446" w:val="clear"/>
          </w:tcPr>
          <w:p>
            <w:r>
              <w:rPr>
                <w:rFonts w:ascii="Calibri" w:hAnsi="Calibri"/>
                <w:b/>
                <w:color w:val="FFFFFF"/>
                <w:sz w:val="18"/>
              </w:rPr>
              <w:t>Interpretation</w:t>
            </w:r>
          </w:p>
        </w:tc>
      </w:tr>
      <w:tr>
        <w:tc>
          <w:tcPr>
            <w:tcW w:type="dxa" w:w="3360"/>
          </w:tcPr>
          <w:p>
            <w:r>
              <w:rPr>
                <w:rFonts w:ascii="Calibri" w:hAnsi="Calibri"/>
                <w:color w:val="333333"/>
                <w:sz w:val="18"/>
              </w:rPr>
              <w:t>Financial Integrity Score (FIS)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r>
        <w:tc>
          <w:tcPr>
            <w:tcW w:type="dxa" w:w="3360"/>
            <w:shd w:fill="F2F4F8" w:val="clear"/>
          </w:tcPr>
          <w:p>
            <w:r>
              <w:rPr>
                <w:rFonts w:ascii="Calibri" w:hAnsi="Calibri"/>
                <w:color w:val="333333"/>
                <w:sz w:val="18"/>
              </w:rPr>
              <w:t>Reporting Quality Score (RQS)</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Not available</w:t>
            </w:r>
          </w:p>
        </w:tc>
      </w:tr>
      <w:tr>
        <w:tc>
          <w:tcPr>
            <w:tcW w:type="dxa" w:w="3360"/>
          </w:tcPr>
          <w:p>
            <w:r>
              <w:rPr>
                <w:rFonts w:ascii="Calibri" w:hAnsi="Calibri"/>
                <w:color w:val="333333"/>
                <w:sz w:val="18"/>
              </w:rPr>
              <w:t>Cash Flow Quality Score (CFQS)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bl>
    <w:p>
      <w:pPr>
        <w:pStyle w:val="DOHeading2"/>
      </w:pPr>
      <w:r>
        <w:t>Executive Risk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Weighted Score</w:t>
            </w:r>
          </w:p>
        </w:tc>
        <w:tc>
          <w:tcPr>
            <w:tcW w:type="dxa" w:w="5040"/>
          </w:tcPr>
          <w:p>
            <w:r>
              <w:rPr>
                <w:rFonts w:ascii="Calibri" w:hAnsi="Calibri"/>
                <w:color w:val="333333"/>
                <w:sz w:val="18"/>
              </w:rPr>
              <w:t>15</w:t>
            </w:r>
          </w:p>
        </w:tc>
      </w:tr>
      <w:tr>
        <w:tc>
          <w:tcPr>
            <w:tcW w:type="dxa" w:w="5040"/>
            <w:shd w:fill="F2F4F8" w:val="clear"/>
          </w:tcPr>
          <w:p>
            <w:r>
              <w:rPr>
                <w:rFonts w:ascii="Calibri" w:hAnsi="Calibri"/>
                <w:color w:val="333333"/>
                <w:sz w:val="18"/>
              </w:rPr>
              <w:t>Risk Level</w:t>
            </w:r>
          </w:p>
        </w:tc>
        <w:tc>
          <w:tcPr>
            <w:tcW w:type="dxa" w:w="5040"/>
            <w:shd w:fill="F2F4F8" w:val="clear"/>
          </w:tcPr>
          <w:p>
            <w:r>
              <w:rPr>
                <w:rFonts w:ascii="Calibri" w:hAnsi="Calibri"/>
                <w:color w:val="333333"/>
                <w:sz w:val="18"/>
              </w:rPr>
              <w:t>N/A</w:t>
            </w:r>
          </w:p>
        </w:tc>
      </w:tr>
    </w:tbl>
    <w:p>
      <w:pPr>
        <w:pStyle w:val="DOBody"/>
      </w:pPr>
      <w:r>
        <w:t>- [Exxon Mobil (CEO)]: Prior litigation: title: Ramirez v. Exxon Mobil Corp. - The Climate Litigation Database</w:t>
      </w:r>
    </w:p>
    <w:p>
      <w:pPr>
        <w:pStyle w:val="DOBody"/>
      </w:pPr>
      <w:r>
        <w:t>- [Exxon Mobil (CEO)]: Prior litigation: url: https://www.climatecasechart.com/collections/ramirez-v-exxon-mobil-corp-_353014</w:t>
      </w:r>
    </w:p>
    <w:p>
      <w:pPr>
        <w:pStyle w:val="DOBody"/>
      </w:pPr>
      <w:r>
        <w:t xml:space="preserve">- [Exxon Mobil (CEO)]: Prior litigation: snippet: Ramirez v. Exxon Mobil Corp. ↗ · 08/21/2023. Texas Federal Court Declined to Certify Class </w:t>
      </w:r>
    </w:p>
    <w:p>
      <w:pPr>
        <w:pStyle w:val="DOBody"/>
      </w:pPr>
      <w:r>
        <w:t>- [Powell Mc (CFO)]: Prior litigation: url: https://s.yimg.com/uu/api/res/1.2/9eBZTXh4BJSMCSq8u5IruA--~B/aD02NDA7dz0xMjgwO2FwcGlkPXl0YWNoeW</w:t>
      </w:r>
    </w:p>
    <w:p>
      <w:pPr>
        <w:pStyle w:val="DOBody"/>
      </w:pPr>
      <w:r>
        <w:t>- [Leading Results Driven (Director)]: Prior litigation: title: Kuppy Event Driven Monitor 1.9.2021 | PDF | Coal - Scribd</w:t>
      </w:r>
    </w:p>
    <w:p>
      <w:pPr>
        <w:pStyle w:val="DOBody"/>
      </w:pPr>
      <w:r>
        <w:t>- [Leading Results Driven (Director)]: Prior litigation: url: https://www.scribd.com/document/493369169/Kuppy-Event-Driven-Monitor-1-9-2021</w:t>
      </w:r>
    </w:p>
    <w:p>
      <w:pPr>
        <w:pStyle w:val="DOBody"/>
      </w:pPr>
      <w:r>
        <w:t>- [Leading Results Driven (Director)]: Prior litigation: title: Kuppy Event Driven Monitor 1.9.2021 | PDF | Coal - Scribd</w:t>
      </w:r>
    </w:p>
    <w:p>
      <w:pPr>
        <w:pStyle w:val="DOBody"/>
      </w:pPr>
      <w:r>
        <w:t xml:space="preserve">- [New Views (Director)]: Prior litigation: snippet: The latest international Exxon Mobil Corp news and views from Reuters - one of the world's </w:t>
      </w:r>
    </w:p>
    <w:p>
      <w:pPr>
        <w:pStyle w:val="DOBody"/>
      </w:pPr>
      <w:r>
        <w:t>- [New Views (Director)]: Prior litigation: title: What Oil Shock? S&amp;P 500 Estimates Keep Rising. These Stocks' Views Rise Most.</w:t>
      </w:r>
    </w:p>
    <w:p>
      <w:pPr>
        <w:pStyle w:val="DOBody"/>
      </w:pPr>
      <w:r>
        <w:t>- [Thoughtful Debate More (Director)]: Prior litigation: title: Lone Star Ambitions: More Public Companies Propose Moving to ...</w:t>
      </w:r>
    </w:p>
    <w:p>
      <w:pPr>
        <w:pStyle w:val="DOHeading2"/>
      </w:pPr>
      <w:r>
        <w:t>Temporal Signals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Type</w:t>
            </w:r>
          </w:p>
        </w:tc>
        <w:tc>
          <w:tcPr>
            <w:tcW w:type="dxa" w:w="2520"/>
            <w:shd w:fill="1A1446" w:val="clear"/>
          </w:tcPr>
          <w:p>
            <w:r>
              <w:rPr>
                <w:rFonts w:ascii="Calibri" w:hAnsi="Calibri"/>
                <w:b/>
                <w:color w:val="FFFFFF"/>
                <w:sz w:val="18"/>
              </w:rPr>
              <w:t>Direction</w:t>
            </w:r>
          </w:p>
        </w:tc>
        <w:tc>
          <w:tcPr>
            <w:tcW w:type="dxa" w:w="2520"/>
            <w:shd w:fill="1A1446" w:val="clear"/>
          </w:tcPr>
          <w:p>
            <w:r>
              <w:rPr>
                <w:rFonts w:ascii="Calibri" w:hAnsi="Calibri"/>
                <w:b/>
                <w:color w:val="FFFFFF"/>
                <w:sz w:val="18"/>
              </w:rPr>
              <w:t>Magnitude</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bl>
    <w:p>
      <w:pPr>
        <w:pStyle w:val="DOHeading2"/>
      </w:pPr>
      <w:r>
        <w:t>NLP Filing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Readability Score</w:t>
            </w:r>
          </w:p>
        </w:tc>
        <w:tc>
          <w:tcPr>
            <w:tcW w:type="dxa" w:w="5040"/>
          </w:tcPr>
          <w:p>
            <w:r>
              <w:rPr>
                <w:rFonts w:ascii="Calibri" w:hAnsi="Calibri"/>
                <w:color w:val="333333"/>
                <w:sz w:val="18"/>
              </w:rPr>
              <w:t>{'current_fog': 22.22, 'prior_fog': None, 'fog_change': None, 'current_flesch': 9.92, 'prior_flesch': None, 'classification': 'CURRENT_ONLY', 'evidence': 'Current Fog Index: 22.2 (prior year unavailable)'}</w:t>
            </w:r>
          </w:p>
        </w:tc>
      </w:tr>
      <w:tr>
        <w:tc>
          <w:tcPr>
            <w:tcW w:type="dxa" w:w="5040"/>
            <w:shd w:fill="F2F4F8" w:val="clear"/>
          </w:tcPr>
          <w:p>
            <w:r>
              <w:rPr>
                <w:rFonts w:ascii="Calibri" w:hAnsi="Calibri"/>
                <w:color w:val="333333"/>
                <w:sz w:val="18"/>
              </w:rPr>
              <w:t>Tone Assessment</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Risk Language Density</w:t>
            </w:r>
          </w:p>
        </w:tc>
        <w:tc>
          <w:tcPr>
            <w:tcW w:type="dxa" w:w="5040"/>
          </w:tcPr>
          <w:p>
            <w:r>
              <w:rPr>
                <w:rFonts w:ascii="Calibri" w:hAnsi="Calibri"/>
                <w:color w:val="333333"/>
                <w:sz w:val="18"/>
              </w:rPr>
              <w:t>N/A</w:t>
            </w:r>
          </w:p>
        </w:tc>
      </w:tr>
    </w:tbl>
    <w:p>
      <w:pPr>
        <w:pStyle w:val="DOHeading2"/>
      </w:pPr>
      <w:r>
        <w:t>Peril Assessment</w:t>
      </w:r>
    </w:p>
    <w:p>
      <w:pPr>
        <w:pStyle w:val="DOHeading3"/>
      </w:pPr>
      <w:r>
        <w:t>Plaintiff Peril Heat Map</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Plaintiff Type</w:t>
            </w:r>
          </w:p>
        </w:tc>
        <w:tc>
          <w:tcPr>
            <w:tcW w:type="dxa" w:w="3360"/>
            <w:shd w:fill="1A1446" w:val="clear"/>
          </w:tcPr>
          <w:p>
            <w:r>
              <w:rPr>
                <w:rFonts w:ascii="Calibri" w:hAnsi="Calibri"/>
                <w:b/>
                <w:color w:val="FFFFFF"/>
                <w:sz w:val="18"/>
              </w:rPr>
              <w:t>Probability</w:t>
            </w:r>
          </w:p>
        </w:tc>
        <w:tc>
          <w:tcPr>
            <w:tcW w:type="dxa" w:w="3360"/>
            <w:shd w:fill="1A1446" w:val="clear"/>
          </w:tcPr>
          <w:p>
            <w:r>
              <w:rPr>
                <w:rFonts w:ascii="Calibri" w:hAnsi="Calibri"/>
                <w:b/>
                <w:color w:val="FFFFFF"/>
                <w:sz w:val="18"/>
              </w:rPr>
              <w:t>Severity</w:t>
            </w:r>
          </w:p>
        </w:tc>
      </w:tr>
      <w:tr>
        <w:tc>
          <w:tcPr>
            <w:tcW w:type="dxa" w:w="3360"/>
          </w:tcPr>
          <w:p>
            <w:r>
              <w:rPr>
                <w:rFonts w:ascii="Calibri" w:hAnsi="Calibri"/>
                <w:b/>
                <w:color w:val="333333"/>
                <w:sz w:val="18"/>
              </w:rPr>
              <w:t>Shareholders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Regulators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Customers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Competitors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Employees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Creditors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Government</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bl>
    <w:p>
      <w:pPr>
        <w:pStyle w:val="DOBody"/>
      </w:pPr>
      <w:r>
        <w:rPr>
          <w:color w:val="666666"/>
          <w:sz w:val="16"/>
        </w:rPr>
        <w:t>Shareholders: 43 triggered checks. Key: Litigation History Profile: 3 (elevated vs benchmark of 0)</w:t>
      </w:r>
    </w:p>
    <w:p>
      <w:pPr>
        <w:pStyle w:val="DOBody"/>
      </w:pPr>
      <w:r>
        <w:rPr>
          <w:color w:val="666666"/>
          <w:sz w:val="16"/>
        </w:rPr>
        <w:t>Regulators: 13 triggered checks. Key: Holding Structure Complexity: 111 (elevated vs benchmark of 100)</w:t>
      </w:r>
    </w:p>
    <w:p>
      <w:pPr>
        <w:pStyle w:val="DOHeading3"/>
      </w:pPr>
      <w:r>
        <w:t>Bear Cases</w:t>
      </w:r>
    </w:p>
    <w:p>
      <w:pPr>
        <w:pStyle w:val="DOHeading3"/>
      </w:pPr>
      <w:r>
        <w:t>Bear Case: A Disclosure</w:t>
      </w:r>
    </w:p>
    <w:p>
      <w:pPr>
        <w:pStyle w:val="DOBody"/>
      </w:pPr>
      <w:r>
        <w:rPr>
          <w:b/>
        </w:rPr>
        <w:t>EXXON MOBIL CORP faces elevated exposure to securities disclosure fraud claims. Key risk indicators: Litigation History Profile (critical); Subsidiary Count Complexity (critical). Estimated severity is significant, warranting detailed underwriter review.</w:t>
      </w:r>
    </w:p>
    <w:p>
      <w:pPr>
        <w:pStyle w:val="DOBody"/>
      </w:pPr>
      <w:r>
        <w:rPr>
          <w:i/>
        </w:rPr>
        <w:t>Defense: Defense: No active Section 11 windows — statute of limitations expired for offering claims</w:t>
      </w:r>
    </w:p>
    <w:p>
      <w:pPr>
        <w:pStyle w:val="DOBody"/>
      </w:pPr>
      <w:r>
        <w:rPr>
          <w:b/>
          <w:sz w:val="20"/>
        </w:rPr>
        <w:t>Evidence Chain</w:t>
      </w:r>
    </w:p>
    <w:p>
      <w:pPr>
        <w:pStyle w:val="DOBody"/>
      </w:pPr>
      <w:r>
        <w:rPr>
          <w:sz w:val="16"/>
        </w:rPr>
        <w:t>1. [BIZ.CLASS.litigation_history] Litigation History Profile (Source: total_sca_count)</w:t>
      </w:r>
    </w:p>
    <w:p>
      <w:pPr>
        <w:pStyle w:val="DOBody"/>
      </w:pPr>
      <w:r>
        <w:rPr>
          <w:sz w:val="16"/>
        </w:rPr>
        <w:t>2. [BIZ.STRUCT.subsidiary_count] Subsidiary Count Complexity (Source: subsidiary_count)</w:t>
      </w:r>
    </w:p>
    <w:p>
      <w:pPr>
        <w:pStyle w:val="DOBody"/>
      </w:pPr>
      <w:r>
        <w:rPr>
          <w:sz w:val="16"/>
        </w:rPr>
        <w:t>3. [BIZ.STRUCT.vie_spe] VIE/SPE Off-Balance-Sheet Structures (Source: vie_spe_present)</w:t>
      </w:r>
    </w:p>
    <w:p>
      <w:pPr>
        <w:pStyle w:val="DOBody"/>
      </w:pPr>
      <w:r>
        <w:rPr>
          <w:sz w:val="16"/>
        </w:rPr>
        <w:t>4. [BIZ.EVENT.ipo_exposure] IPO/Offering Exposure Window (Source: event_ipo_exposure_score)</w:t>
      </w:r>
    </w:p>
    <w:p>
      <w:pPr>
        <w:pStyle w:val="DOBody"/>
      </w:pPr>
      <w:r>
        <w:rPr>
          <w:sz w:val="16"/>
        </w:rPr>
        <w:t>5. [BIZ.OPS.workforce] Workforce Distribution (Source: workforce_distribution)</w:t>
      </w:r>
    </w:p>
    <w:p>
      <w:pPr>
        <w:pStyle w:val="DOBody"/>
      </w:pPr>
      <w:r>
        <w:rPr>
          <w:sz w:val="16"/>
        </w:rPr>
        <w:t>6. [EXEC.PRIOR_LIT.any_officer] Any Officer With Prior Litigation at Previous Company (Source: value)</w:t>
      </w:r>
    </w:p>
    <w:p>
      <w:pPr>
        <w:pStyle w:val="DOBody"/>
      </w:pPr>
      <w:r>
        <w:rPr>
          <w:sz w:val="16"/>
        </w:rPr>
        <w:t>7. [EXEC.PRIOR_LIT.ceo_cfo] CEO or CFO With Prior Litigation (Source: value)</w:t>
      </w:r>
    </w:p>
    <w:p>
      <w:pPr>
        <w:pStyle w:val="DOBody"/>
      </w:pPr>
      <w:r>
        <w:rPr>
          <w:sz w:val="16"/>
        </w:rPr>
        <w:t>8. [EXEC.AGGREGATE.board_risk] Board Aggregate Risk Score (Source: value)</w:t>
      </w:r>
    </w:p>
    <w:p>
      <w:pPr>
        <w:pStyle w:val="DOBody"/>
      </w:pPr>
      <w:r>
        <w:rPr>
          <w:sz w:val="16"/>
        </w:rPr>
        <w:t>9. [FIN.LIQ.efficiency] Liquidity Efficiency (Source: xbrl_cash_ratio)</w:t>
      </w:r>
    </w:p>
    <w:p>
      <w:pPr>
        <w:pStyle w:val="DOBody"/>
      </w:pPr>
      <w:r>
        <w:rPr>
          <w:sz w:val="16"/>
        </w:rPr>
        <w:t>10. [FIN.LIQ.trend] Liquidity Trend (Source: xbrl_current_ratio)</w:t>
      </w:r>
    </w:p>
    <w:p>
      <w:pPr>
        <w:pStyle w:val="DOBody"/>
      </w:pPr>
      <w:r>
        <w:rPr>
          <w:color w:val="666666"/>
          <w:sz w:val="16"/>
        </w:rPr>
        <w:t>Probability: ELEVATED | Severity: SIGNIFICANT</w:t>
      </w:r>
    </w:p>
    <w:p>
      <w:pPr>
        <w:pStyle w:val="DOHeading3"/>
      </w:pPr>
      <w:r>
        <w:t>Settlement Prediction</w:t>
      </w:r>
    </w:p>
    <w:p>
      <w:pPr>
        <w:pStyle w:val="DOBody"/>
      </w:pPr>
      <w:r>
        <w:t>Settlement prediction computed but no scenarios available.</w:t>
      </w:r>
    </w:p>
    <w:p>
      <w:pPr>
        <w:pStyle w:val="DOHeading3"/>
      </w:pPr>
      <w:r>
        <w:t>Tower Risk Characterization</w:t>
      </w:r>
    </w:p>
    <w:p>
      <w:pPr>
        <w:pStyle w:val="DOBody"/>
      </w:pPr>
      <w:r>
        <w:t>Tower characterization not available.</w:t>
      </w:r>
    </w:p>
    <w:p>
      <w:pPr>
        <w:pStyle w:val="DOHeading2"/>
      </w:pPr>
      <w:r>
        <w:t>Coverage Gaps -- Data Not Available</w:t>
      </w:r>
    </w:p>
    <w:p>
      <w:pPr>
        <w:pStyle w:val="DOBody"/>
      </w:pPr>
      <w:r>
        <w:rPr>
          <w:i/>
        </w:rPr>
        <w:t>The following checks could not be evaluated because required data was not acquired. These items are NOT cleared -- they represent gaps in coverage that should be considered in the underwriting decision.</w:t>
      </w:r>
    </w:p>
    <w:p>
      <w:pPr>
        <w:pStyle w:val="DOHeading3"/>
      </w:pPr>
      <w:r>
        <w:t>Executive Summary &amp; Key Metrics</w:t>
      </w:r>
    </w:p>
    <w:p>
      <w:pPr>
        <w:pStyle w:val="DOBody"/>
      </w:pPr>
      <w:r>
        <w:rPr>
          <w:b/>
          <w:sz w:val="16"/>
        </w:rPr>
        <w:t xml:space="preserve">  [REQUIRED] </w:t>
      </w:r>
      <w:r>
        <w:rPr>
          <w:sz w:val="16"/>
        </w:rPr>
        <w:t>BIZ.SIZE.growth_trajectory (Public Company Tenure): Required data not available from filings</w:t>
      </w:r>
    </w:p>
    <w:p>
      <w:pPr>
        <w:pStyle w:val="DOBody"/>
      </w:pPr>
      <w:r>
        <w:rPr>
          <w:b/>
          <w:sz w:val="16"/>
        </w:rPr>
        <w:t xml:space="preserve">  [REQUIRED] </w:t>
      </w:r>
      <w:r>
        <w:rPr>
          <w:sz w:val="16"/>
        </w:rPr>
        <w:t>BIZ.SIZE.public_tenure (Revenue Growth YoY): Required data not available from filings</w:t>
      </w:r>
    </w:p>
    <w:p>
      <w:pPr>
        <w:pStyle w:val="DOBody"/>
      </w:pPr>
      <w:r>
        <w:rPr>
          <w:b/>
          <w:sz w:val="16"/>
        </w:rPr>
        <w:t xml:space="preserve">  [EVALUATIVE] </w:t>
      </w:r>
      <w:r>
        <w:rPr>
          <w:sz w:val="16"/>
        </w:rPr>
        <w:t>BIZ.DEPEND.labor (Concentration Risk Composite): Required data not available from filings</w:t>
      </w:r>
    </w:p>
    <w:p>
      <w:pPr>
        <w:pStyle w:val="DOBody"/>
      </w:pPr>
      <w:r>
        <w:rPr>
          <w:b/>
          <w:sz w:val="16"/>
        </w:rPr>
        <w:t xml:space="preserve">  [REQUIRED] </w:t>
      </w:r>
      <w:r>
        <w:rPr>
          <w:sz w:val="16"/>
        </w:rPr>
        <w:t>BIZ.MA.goodwill_balance (Goodwill Balance): Required data not available from filings</w:t>
      </w:r>
    </w:p>
    <w:p>
      <w:pPr>
        <w:pStyle w:val="DOBody"/>
      </w:pPr>
      <w:r>
        <w:rPr>
          <w:b/>
          <w:sz w:val="16"/>
        </w:rPr>
        <w:t xml:space="preserve">  [EVALUATIVE] </w:t>
      </w:r>
      <w:r>
        <w:rPr>
          <w:sz w:val="16"/>
        </w:rPr>
        <w:t>BIZ.MA.goodwill_change (Goodwill Trajectory): Required data not available from filings</w:t>
      </w:r>
    </w:p>
    <w:p>
      <w:pPr>
        <w:pStyle w:val="DOBody"/>
      </w:pPr>
      <w:r>
        <w:rPr>
          <w:b/>
          <w:sz w:val="16"/>
        </w:rPr>
        <w:t xml:space="preserve">  [REQUIRED] </w:t>
      </w:r>
      <w:r>
        <w:rPr>
          <w:sz w:val="16"/>
        </w:rPr>
        <w:t>BIZ.MODEL.lifecycle (Segment Lifecycle Risk): Required data not available from filings</w:t>
      </w:r>
    </w:p>
    <w:p>
      <w:pPr>
        <w:pStyle w:val="DOBody"/>
      </w:pPr>
      <w:r>
        <w:rPr>
          <w:b/>
          <w:sz w:val="16"/>
        </w:rPr>
        <w:t xml:space="preserve">  [REQUIRED] </w:t>
      </w:r>
      <w:r>
        <w:rPr>
          <w:sz w:val="16"/>
        </w:rPr>
        <w:t>BIZ.MODEL.segment_margins (Segment Margin Profile): Required data not available from filings</w:t>
      </w:r>
    </w:p>
    <w:p>
      <w:pPr>
        <w:pStyle w:val="DOBody"/>
      </w:pPr>
      <w:r>
        <w:rPr>
          <w:b/>
          <w:sz w:val="16"/>
        </w:rPr>
        <w:t xml:space="preserve">  [EVALUATIVE] </w:t>
      </w:r>
      <w:r>
        <w:rPr>
          <w:sz w:val="16"/>
        </w:rPr>
        <w:t>DISC.YOY.new_risk_factors (New Risk Factors (YoY)): No trend data available for field</w:t>
      </w:r>
    </w:p>
    <w:p>
      <w:pPr>
        <w:pStyle w:val="DOBody"/>
      </w:pPr>
      <w:r>
        <w:rPr>
          <w:b/>
          <w:sz w:val="16"/>
        </w:rPr>
        <w:t xml:space="preserve">  [EVALUATIVE] </w:t>
      </w:r>
      <w:r>
        <w:rPr>
          <w:sz w:val="16"/>
        </w:rPr>
        <w:t>DISC.YOY.removed_risk_factors (Removed Risk Factors (YoY)): No trend data available for field</w:t>
      </w:r>
    </w:p>
    <w:p>
      <w:pPr>
        <w:pStyle w:val="DOBody"/>
      </w:pPr>
      <w:r>
        <w:rPr>
          <w:b/>
          <w:sz w:val="16"/>
        </w:rPr>
        <w:t xml:space="preserve">  [EVALUATIVE] </w:t>
      </w:r>
      <w:r>
        <w:rPr>
          <w:sz w:val="16"/>
        </w:rPr>
        <w:t>DISC.YOY.escalated_risk_factors (Escalated Risk Factors (YoY)): No trend data available for field</w:t>
      </w:r>
    </w:p>
    <w:p>
      <w:pPr>
        <w:pStyle w:val="DOBody"/>
      </w:pPr>
      <w:r>
        <w:rPr>
          <w:b/>
          <w:sz w:val="16"/>
        </w:rPr>
        <w:t xml:space="preserve">  [EVALUATIVE] </w:t>
      </w:r>
      <w:r>
        <w:rPr>
          <w:sz w:val="16"/>
        </w:rPr>
        <w:t>DISC.YOY.material_weakness (Material Weakness Change): No trend data available for field</w:t>
      </w:r>
    </w:p>
    <w:p>
      <w:pPr>
        <w:pStyle w:val="DOBody"/>
      </w:pPr>
      <w:r>
        <w:rPr>
          <w:b/>
          <w:sz w:val="16"/>
        </w:rPr>
        <w:t xml:space="preserve">  [EVALUATIVE] </w:t>
      </w:r>
      <w:r>
        <w:rPr>
          <w:sz w:val="16"/>
        </w:rPr>
        <w:t>DISC.YOY.controls_changed (Internal Controls Disclosure Change): No trend data available for field</w:t>
      </w:r>
    </w:p>
    <w:p>
      <w:pPr>
        <w:pStyle w:val="DOBody"/>
      </w:pPr>
      <w:r>
        <w:rPr>
          <w:b/>
          <w:sz w:val="16"/>
        </w:rPr>
        <w:t xml:space="preserve">  [EVALUATIVE] </w:t>
      </w:r>
      <w:r>
        <w:rPr>
          <w:sz w:val="16"/>
        </w:rPr>
        <w:t>DISC.YOY.legal_proceedings_delta (Legal Proceedings Change (YoY)): No trend data available for field</w:t>
      </w:r>
    </w:p>
    <w:p>
      <w:pPr>
        <w:pStyle w:val="DOBody"/>
      </w:pPr>
      <w:r>
        <w:rPr>
          <w:b/>
          <w:sz w:val="16"/>
        </w:rPr>
        <w:t xml:space="preserve">  [EVALUATIVE] </w:t>
      </w:r>
      <w:r>
        <w:rPr>
          <w:sz w:val="16"/>
        </w:rPr>
        <w:t>ABS.DISC.audit_fees (Missing Audit Fee Disclosure): Expected signals not found in evaluation results</w:t>
      </w:r>
    </w:p>
    <w:p>
      <w:pPr>
        <w:pStyle w:val="DOBody"/>
      </w:pPr>
      <w:r>
        <w:rPr>
          <w:b/>
          <w:sz w:val="16"/>
        </w:rPr>
        <w:t xml:space="preserve">  [EVALUATIVE] </w:t>
      </w:r>
      <w:r>
        <w:rPr>
          <w:sz w:val="16"/>
        </w:rPr>
        <w:t>ABS.DISC.board_independence (Missing Board Independence Disclosure): Could not determine disclosure presence or absence</w:t>
      </w:r>
    </w:p>
    <w:p>
      <w:pPr>
        <w:pStyle w:val="DOBody"/>
      </w:pPr>
      <w:r>
        <w:rPr>
          <w:b/>
          <w:sz w:val="16"/>
        </w:rPr>
        <w:t xml:space="preserve">  [EVALUATIVE] </w:t>
      </w:r>
      <w:r>
        <w:rPr>
          <w:sz w:val="16"/>
        </w:rPr>
        <w:t>ABS.DISC.clawback_policy (Missing Clawback Policy Disclosure): Expected signals not found in evaluation results</w:t>
      </w:r>
    </w:p>
    <w:p>
      <w:pPr>
        <w:pStyle w:val="DOBody"/>
      </w:pPr>
      <w:r>
        <w:rPr>
          <w:b/>
          <w:sz w:val="16"/>
        </w:rPr>
        <w:t xml:space="preserve">  [EVALUATIVE] </w:t>
      </w:r>
      <w:r>
        <w:rPr>
          <w:sz w:val="16"/>
        </w:rPr>
        <w:t>ABS.DISC.cyber_risk (Missing Cybersecurity Risk Disclosure): Expected signals not found in evaluation results</w:t>
      </w:r>
    </w:p>
    <w:p>
      <w:pPr>
        <w:pStyle w:val="DOBody"/>
      </w:pPr>
      <w:r>
        <w:rPr>
          <w:b/>
          <w:sz w:val="16"/>
        </w:rPr>
        <w:t xml:space="preserve">  [EVALUATIVE] </w:t>
      </w:r>
      <w:r>
        <w:rPr>
          <w:sz w:val="16"/>
        </w:rPr>
        <w:t>ABS.DISC.debt_covenants (Missing Debt Covenant Disclosure): Expected signals not found in evaluation results</w:t>
      </w:r>
    </w:p>
    <w:p>
      <w:pPr>
        <w:pStyle w:val="DOBody"/>
      </w:pPr>
      <w:r>
        <w:rPr>
          <w:b/>
          <w:sz w:val="16"/>
        </w:rPr>
        <w:t xml:space="preserve">  [EVALUATIVE] </w:t>
      </w:r>
      <w:r>
        <w:rPr>
          <w:sz w:val="16"/>
        </w:rPr>
        <w:t>ABS.DISC.derivative_instruments (Missing Derivative Instruments Disclosure): Expected signals not found in evaluation results</w:t>
      </w:r>
    </w:p>
    <w:p>
      <w:pPr>
        <w:pStyle w:val="DOBody"/>
      </w:pPr>
      <w:r>
        <w:rPr>
          <w:b/>
          <w:sz w:val="16"/>
        </w:rPr>
        <w:t xml:space="preserve">  [EVALUATIVE] </w:t>
      </w:r>
      <w:r>
        <w:rPr>
          <w:sz w:val="16"/>
        </w:rPr>
        <w:t>ABS.DISC.esg (Missing ESG Disclosure): Expected signals not found in evaluation results</w:t>
      </w:r>
    </w:p>
    <w:p>
      <w:pPr>
        <w:pStyle w:val="DOBody"/>
      </w:pPr>
      <w:r>
        <w:rPr>
          <w:b/>
          <w:sz w:val="16"/>
        </w:rPr>
        <w:t xml:space="preserve">  [EVALUATIVE] </w:t>
      </w:r>
      <w:r>
        <w:rPr>
          <w:sz w:val="16"/>
        </w:rPr>
        <w:t>ABS.DISC.executive_comp (Missing Executive Compensation Disclosure): Expected signals not found in evaluation results</w:t>
      </w:r>
    </w:p>
    <w:p>
      <w:pPr>
        <w:pStyle w:val="DOBody"/>
      </w:pPr>
      <w:r>
        <w:rPr>
          <w:b/>
          <w:sz w:val="16"/>
        </w:rPr>
        <w:t xml:space="preserve">  [EVALUATIVE] </w:t>
      </w:r>
      <w:r>
        <w:rPr>
          <w:sz w:val="16"/>
        </w:rPr>
        <w:t>ABS.DISC.goodwill_impairment (Missing Goodwill Impairment Disclosure): Expected signals not found in evaluation results</w:t>
      </w:r>
    </w:p>
    <w:p>
      <w:pPr>
        <w:pStyle w:val="DOBody"/>
      </w:pPr>
      <w:r>
        <w:rPr>
          <w:b/>
          <w:sz w:val="16"/>
        </w:rPr>
        <w:t xml:space="preserve">  [EVALUATIVE] </w:t>
      </w:r>
      <w:r>
        <w:rPr>
          <w:sz w:val="16"/>
        </w:rPr>
        <w:t>ABS.DISC.lease_obligations (Missing Lease Obligation Disclosure): Expected signals not found in evaluation results</w:t>
      </w:r>
    </w:p>
    <w:p>
      <w:pPr>
        <w:pStyle w:val="DOBody"/>
      </w:pPr>
      <w:r>
        <w:rPr>
          <w:b/>
          <w:sz w:val="16"/>
        </w:rPr>
        <w:t xml:space="preserve">  [EVALUATIVE] </w:t>
      </w:r>
      <w:r>
        <w:rPr>
          <w:sz w:val="16"/>
        </w:rPr>
        <w:t>ABS.DISC.litigation_contingency (Missing Litigation Contingency Disclosure): Expected signals not found in evaluation results</w:t>
      </w:r>
    </w:p>
    <w:p>
      <w:pPr>
        <w:pStyle w:val="DOBody"/>
      </w:pPr>
      <w:r>
        <w:rPr>
          <w:b/>
          <w:sz w:val="16"/>
        </w:rPr>
        <w:t xml:space="preserve">  [EVALUATIVE] </w:t>
      </w:r>
      <w:r>
        <w:rPr>
          <w:sz w:val="16"/>
        </w:rPr>
        <w:t>ABS.DISC.pension_obligations (Missing Pension Obligation Disclosure): Expected signals not found in evaluation results</w:t>
      </w:r>
    </w:p>
    <w:p>
      <w:pPr>
        <w:pStyle w:val="DOBody"/>
      </w:pPr>
      <w:r>
        <w:rPr>
          <w:b/>
          <w:sz w:val="16"/>
        </w:rPr>
        <w:t xml:space="preserve">  [EVALUATIVE] </w:t>
      </w:r>
      <w:r>
        <w:rPr>
          <w:sz w:val="16"/>
        </w:rPr>
        <w:t>ABS.DISC.related_party (Missing Related-Party Transaction Disclosure): Expected signals not found in evaluation results</w:t>
      </w:r>
    </w:p>
    <w:p>
      <w:pPr>
        <w:pStyle w:val="DOBody"/>
      </w:pPr>
      <w:r>
        <w:rPr>
          <w:b/>
          <w:sz w:val="16"/>
        </w:rPr>
        <w:t xml:space="preserve">  [EVALUATIVE] </w:t>
      </w:r>
      <w:r>
        <w:rPr>
          <w:sz w:val="16"/>
        </w:rPr>
        <w:t>ABS.DISC.revenue_recognition (Missing Revenue Recognition Policy Disclosure): Expected signals not found in evaluation results</w:t>
      </w:r>
    </w:p>
    <w:p>
      <w:pPr>
        <w:pStyle w:val="DOBody"/>
      </w:pPr>
      <w:r>
        <w:rPr>
          <w:b/>
          <w:sz w:val="16"/>
        </w:rPr>
        <w:t xml:space="preserve">  [EVALUATIVE] </w:t>
      </w:r>
      <w:r>
        <w:rPr>
          <w:sz w:val="16"/>
        </w:rPr>
        <w:t>ABS.DISC.risk_factors (Missing Risk Factor Disclosure): Expected signals not found in evaluation results</w:t>
      </w:r>
    </w:p>
    <w:p>
      <w:pPr>
        <w:pStyle w:val="DOBody"/>
      </w:pPr>
      <w:r>
        <w:rPr>
          <w:b/>
          <w:sz w:val="16"/>
        </w:rPr>
        <w:t xml:space="preserve">  [EVALUATIVE] </w:t>
      </w:r>
      <w:r>
        <w:rPr>
          <w:sz w:val="16"/>
        </w:rPr>
        <w:t>ABS.DISC.segment_reporting (Missing Segment Reporting Disclosure): Expected signals not found in evaluation results</w:t>
      </w:r>
    </w:p>
    <w:p>
      <w:pPr>
        <w:pStyle w:val="DOBody"/>
      </w:pPr>
      <w:r>
        <w:rPr>
          <w:b/>
          <w:sz w:val="16"/>
        </w:rPr>
        <w:t xml:space="preserve">  [EVALUATIVE] </w:t>
      </w:r>
      <w:r>
        <w:rPr>
          <w:sz w:val="16"/>
        </w:rPr>
        <w:t>ABS.DISC.stock_comp (Missing Stock Compensation Disclosure): Expected signals not found in evaluation results</w:t>
      </w:r>
    </w:p>
    <w:p>
      <w:pPr>
        <w:pStyle w:val="DOBody"/>
      </w:pPr>
      <w:r>
        <w:rPr>
          <w:b/>
          <w:sz w:val="16"/>
        </w:rPr>
        <w:t xml:space="preserve">  [EVALUATIVE] </w:t>
      </w:r>
      <w:r>
        <w:rPr>
          <w:sz w:val="16"/>
        </w:rPr>
        <w:t>ABS.DISC.tax_positions (Missing Uncertain Tax Position Disclosure): Expected signals not found in evaluation results</w:t>
      </w:r>
    </w:p>
    <w:p>
      <w:pPr>
        <w:pStyle w:val="DOBody"/>
      </w:pPr>
      <w:r>
        <w:rPr>
          <w:b/>
          <w:sz w:val="16"/>
        </w:rPr>
        <w:t xml:space="preserve">  [EVALUATIVE] </w:t>
      </w:r>
      <w:r>
        <w:rPr>
          <w:sz w:val="16"/>
        </w:rPr>
        <w:t>CONJ.COMP.perf_divergence (Compensation-Performance Divergence): 3/3 component signals unavailable</w:t>
      </w:r>
    </w:p>
    <w:p>
      <w:pPr>
        <w:pStyle w:val="DOBody"/>
      </w:pPr>
      <w:r>
        <w:rPr>
          <w:b/>
          <w:sz w:val="16"/>
        </w:rPr>
        <w:t xml:space="preserve">  [EVALUATIVE] </w:t>
      </w:r>
      <w:r>
        <w:rPr>
          <w:sz w:val="16"/>
        </w:rPr>
        <w:t>CONJ.DISTRESS.insider (Financial Distress + Insider Selling): 2/3 component signals unavailable</w:t>
      </w:r>
    </w:p>
    <w:p>
      <w:pPr>
        <w:pStyle w:val="DOBody"/>
      </w:pPr>
      <w:r>
        <w:rPr>
          <w:b/>
          <w:sz w:val="16"/>
        </w:rPr>
        <w:t xml:space="preserve">  [EVALUATIVE] </w:t>
      </w:r>
      <w:r>
        <w:rPr>
          <w:sz w:val="16"/>
        </w:rPr>
        <w:t>CONJ.GOV.governance_event (Weak Governance + Adverse Event): 3/5 component signals unavailable</w:t>
      </w:r>
    </w:p>
    <w:p>
      <w:pPr>
        <w:pStyle w:val="DOBody"/>
      </w:pPr>
      <w:r>
        <w:rPr>
          <w:b/>
          <w:sz w:val="16"/>
        </w:rPr>
        <w:t xml:space="preserve">  [EVALUATIVE] </w:t>
      </w:r>
      <w:r>
        <w:rPr>
          <w:sz w:val="16"/>
        </w:rPr>
        <w:t>CONJ.FIN.growth_margin_guidance (Rapid Growth + Margin Compression + Guidance Miss): 3/3 component signals unavailable</w:t>
      </w:r>
    </w:p>
    <w:p>
      <w:pPr>
        <w:pStyle w:val="DOBody"/>
      </w:pPr>
      <w:r>
        <w:rPr>
          <w:b/>
          <w:sz w:val="16"/>
        </w:rPr>
        <w:t xml:space="preserve">  [EVALUATIVE] </w:t>
      </w:r>
      <w:r>
        <w:rPr>
          <w:sz w:val="16"/>
        </w:rPr>
        <w:t>CONJ.INSIDER.news_gap (Insider Selling + Material News Gap): 3/3 component signals unavailable</w:t>
      </w:r>
    </w:p>
    <w:p>
      <w:pPr>
        <w:pStyle w:val="DOBody"/>
      </w:pPr>
      <w:r>
        <w:rPr>
          <w:b/>
          <w:sz w:val="16"/>
        </w:rPr>
        <w:t xml:space="preserve">  [EVALUATIVE] </w:t>
      </w:r>
      <w:r>
        <w:rPr>
          <w:sz w:val="16"/>
        </w:rPr>
        <w:t>CONJ.REG.litigation (Regulatory Action + New Material Litigation): 3/3 component signals unavailable</w:t>
      </w:r>
    </w:p>
    <w:p>
      <w:pPr>
        <w:pStyle w:val="DOBody"/>
      </w:pPr>
      <w:r>
        <w:rPr>
          <w:b/>
          <w:sz w:val="16"/>
        </w:rPr>
        <w:t xml:space="preserve">  [EVALUATIVE] </w:t>
      </w:r>
      <w:r>
        <w:rPr>
          <w:sz w:val="16"/>
        </w:rPr>
        <w:t>CTX.FIN.capex_sector (Capital Expenditure in Sector Context): Source signal FIN.INVEST.capex_ratio not in results</w:t>
      </w:r>
    </w:p>
    <w:p>
      <w:pPr>
        <w:pStyle w:val="DOBody"/>
      </w:pPr>
      <w:r>
        <w:rPr>
          <w:b/>
          <w:sz w:val="16"/>
        </w:rPr>
        <w:t xml:space="preserve">  [EVALUATIVE] </w:t>
      </w:r>
      <w:r>
        <w:rPr>
          <w:sz w:val="16"/>
        </w:rPr>
        <w:t>CTX.COMP.lifecycle (CEO Compensation in Lifecycle Context): Source signal EXEC.COMP.ceo_total_comp not in results</w:t>
      </w:r>
    </w:p>
    <w:p>
      <w:pPr>
        <w:pStyle w:val="DOBody"/>
      </w:pPr>
      <w:r>
        <w:rPr>
          <w:b/>
          <w:sz w:val="16"/>
        </w:rPr>
        <w:t xml:space="preserve">  [EVALUATIVE] </w:t>
      </w:r>
      <w:r>
        <w:rPr>
          <w:sz w:val="16"/>
        </w:rPr>
        <w:t>CTX.COMP.product_tower (Compensation Severity by Product/Tower): Source signal EXEC.COMP.ceo_total_comp not in results</w:t>
      </w:r>
    </w:p>
    <w:p>
      <w:pPr>
        <w:pStyle w:val="DOBody"/>
      </w:pPr>
      <w:r>
        <w:rPr>
          <w:b/>
          <w:sz w:val="16"/>
        </w:rPr>
        <w:t xml:space="preserve">  [EVALUATIVE] </w:t>
      </w:r>
      <w:r>
        <w:rPr>
          <w:sz w:val="16"/>
        </w:rPr>
        <w:t>CTX.FIN.debt_maturity (Debt Maturity Profile in Lifecycle Context): Source signal FIN.DEBT.maturity_profile not in results</w:t>
      </w:r>
    </w:p>
    <w:p>
      <w:pPr>
        <w:pStyle w:val="DOBody"/>
      </w:pPr>
      <w:r>
        <w:rPr>
          <w:b/>
          <w:sz w:val="16"/>
        </w:rPr>
        <w:t xml:space="preserve">  [EVALUATIVE] </w:t>
      </w:r>
      <w:r>
        <w:rPr>
          <w:sz w:val="16"/>
        </w:rPr>
        <w:t>CTX.FIN.distress_product (Financial Distress by Product/Tower): Source signal FIN.FORENSIC.altman_z not in results</w:t>
      </w:r>
    </w:p>
    <w:p>
      <w:pPr>
        <w:pStyle w:val="DOBody"/>
      </w:pPr>
      <w:r>
        <w:rPr>
          <w:b/>
          <w:sz w:val="16"/>
        </w:rPr>
        <w:t xml:space="preserve">  [EVALUATIVE] </w:t>
      </w:r>
      <w:r>
        <w:rPr>
          <w:sz w:val="16"/>
        </w:rPr>
        <w:t>CTX.FIN.dividend_lifecycle (Dividend Policy in Lifecycle Context): Source signal FIN.RETURN.dividend_yield not in results</w:t>
      </w:r>
    </w:p>
    <w:p>
      <w:pPr>
        <w:pStyle w:val="DOBody"/>
      </w:pPr>
      <w:r>
        <w:rPr>
          <w:b/>
          <w:sz w:val="16"/>
        </w:rPr>
        <w:t xml:space="preserve">  [EVALUATIVE] </w:t>
      </w:r>
      <w:r>
        <w:rPr>
          <w:sz w:val="16"/>
        </w:rPr>
        <w:t>CTX.EXEC.tenure_lifecycle (Executive Tenure in Lifecycle Context): Source signal EXEC.TURN.c_suite not in results</w:t>
      </w:r>
    </w:p>
    <w:p>
      <w:pPr>
        <w:pStyle w:val="DOBody"/>
      </w:pPr>
      <w:r>
        <w:rPr>
          <w:b/>
          <w:sz w:val="16"/>
        </w:rPr>
        <w:t xml:space="preserve">  [EVALUATIVE] </w:t>
      </w:r>
      <w:r>
        <w:rPr>
          <w:sz w:val="16"/>
        </w:rPr>
        <w:t>CTX.GOV.lifecycle (Board Independence in Lifecycle Context): Required context dimensions ['lifecycle_stage'] not available</w:t>
      </w:r>
    </w:p>
    <w:p>
      <w:pPr>
        <w:pStyle w:val="DOBody"/>
      </w:pPr>
      <w:r>
        <w:rPr>
          <w:b/>
          <w:sz w:val="16"/>
        </w:rPr>
        <w:t xml:space="preserve">  [EVALUATIVE] </w:t>
      </w:r>
      <w:r>
        <w:rPr>
          <w:sz w:val="16"/>
        </w:rPr>
        <w:t>CTX.FIN.growth_lifecycle (Revenue Growth in Lifecycle Context): Required context dimensions ['lifecycle_stage'] not available</w:t>
      </w:r>
    </w:p>
    <w:p>
      <w:pPr>
        <w:pStyle w:val="DOBody"/>
      </w:pPr>
      <w:r>
        <w:rPr>
          <w:b/>
          <w:sz w:val="16"/>
        </w:rPr>
        <w:t xml:space="preserve">  [EVALUATIVE] </w:t>
      </w:r>
      <w:r>
        <w:rPr>
          <w:sz w:val="16"/>
        </w:rPr>
        <w:t>CTX.MKT.insider_lifecycle (Insider Trading in Lifecycle Context): Source signal STOCK.INSIDER.net_selling not in results</w:t>
      </w:r>
    </w:p>
    <w:p>
      <w:pPr>
        <w:pStyle w:val="DOBody"/>
      </w:pPr>
      <w:r>
        <w:rPr>
          <w:b/>
          <w:sz w:val="16"/>
        </w:rPr>
        <w:t xml:space="preserve">  [EVALUATIVE] </w:t>
      </w:r>
      <w:r>
        <w:rPr>
          <w:sz w:val="16"/>
        </w:rPr>
        <w:t>CTX.FIN.leverage_sector (Leverage in Sector Context): Source signal FIN.DEBT.leverage_ratio not in results</w:t>
      </w:r>
    </w:p>
    <w:p>
      <w:pPr>
        <w:pStyle w:val="DOBody"/>
      </w:pPr>
      <w:r>
        <w:rPr>
          <w:b/>
          <w:sz w:val="16"/>
        </w:rPr>
        <w:t xml:space="preserve">  [EVALUATIVE] </w:t>
      </w:r>
      <w:r>
        <w:rPr>
          <w:sz w:val="16"/>
        </w:rPr>
        <w:t>CTX.LIT.size (Litigation Frequency by Company Size): Source signal LIT.SCA.active_cases not in results</w:t>
      </w:r>
    </w:p>
    <w:p>
      <w:pPr>
        <w:pStyle w:val="DOBody"/>
      </w:pPr>
      <w:r>
        <w:rPr>
          <w:b/>
          <w:sz w:val="16"/>
        </w:rPr>
        <w:t xml:space="preserve">  [EVALUATIVE] </w:t>
      </w:r>
      <w:r>
        <w:rPr>
          <w:sz w:val="16"/>
        </w:rPr>
        <w:t>CTX.RISK.ma_lifecycle (M&amp;A Activity in Lifecycle Context): Source signal BIZ.MA.acquisition_activity not in results</w:t>
      </w:r>
    </w:p>
    <w:p>
      <w:pPr>
        <w:pStyle w:val="DOBody"/>
      </w:pPr>
      <w:r>
        <w:rPr>
          <w:b/>
          <w:sz w:val="16"/>
        </w:rPr>
        <w:t xml:space="preserve">  [EVALUATIVE] </w:t>
      </w:r>
      <w:r>
        <w:rPr>
          <w:sz w:val="16"/>
        </w:rPr>
        <w:t>CTX.RISK.regulatory_sector (Regulatory Risk in Sector Context): Source signal LIT.SEC.enforcement not in results</w:t>
      </w:r>
    </w:p>
    <w:p>
      <w:pPr>
        <w:pStyle w:val="DOBody"/>
      </w:pPr>
      <w:r>
        <w:rPr>
          <w:b/>
          <w:sz w:val="16"/>
        </w:rPr>
        <w:t xml:space="preserve">  [EVALUATIVE] </w:t>
      </w:r>
      <w:r>
        <w:rPr>
          <w:sz w:val="16"/>
        </w:rPr>
        <w:t>CTX.RISK.rpt_sector (Related-Party Risk in Sector Context): Source signal GOV.RPT.related_party not in results</w:t>
      </w:r>
    </w:p>
    <w:p>
      <w:pPr>
        <w:pStyle w:val="DOBody"/>
      </w:pPr>
      <w:r>
        <w:rPr>
          <w:b/>
          <w:sz w:val="16"/>
        </w:rPr>
        <w:t xml:space="preserve">  [EVALUATIVE] </w:t>
      </w:r>
      <w:r>
        <w:rPr>
          <w:sz w:val="16"/>
        </w:rPr>
        <w:t>CTX.MKT.short_interest_sector (Short Interest in Sector Context): Source signal STOCK.SHORT.interest_ratio not in results</w:t>
      </w:r>
    </w:p>
    <w:p>
      <w:pPr>
        <w:pStyle w:val="DOBody"/>
      </w:pPr>
      <w:r>
        <w:rPr>
          <w:b/>
          <w:sz w:val="16"/>
        </w:rPr>
        <w:t xml:space="preserve">  [EVALUATIVE] </w:t>
      </w:r>
      <w:r>
        <w:rPr>
          <w:sz w:val="16"/>
        </w:rPr>
        <w:t>CTX.MKT.turnover_sector (Stock Turnover in Sector Context): Source signal STOCK.VOL.turnover_rate not in results</w:t>
      </w:r>
    </w:p>
    <w:p>
      <w:pPr>
        <w:pStyle w:val="DOBody"/>
      </w:pPr>
      <w:r>
        <w:rPr>
          <w:b/>
          <w:sz w:val="16"/>
        </w:rPr>
        <w:t xml:space="preserve">  [EVALUATIVE] </w:t>
      </w:r>
      <w:r>
        <w:rPr>
          <w:sz w:val="16"/>
        </w:rPr>
        <w:t>CTX.MKT.volatility_sector (Stock Volatility in Sector Context): Source signal STOCK.VOL.historical not in results</w:t>
      </w:r>
    </w:p>
    <w:p>
      <w:pPr>
        <w:pStyle w:val="DOHeading3"/>
      </w:pPr>
      <w:r>
        <w:t>Financial Health</w:t>
      </w:r>
    </w:p>
    <w:p>
      <w:pPr>
        <w:pStyle w:val="DOBody"/>
      </w:pPr>
      <w:r>
        <w:rPr>
          <w:b/>
          <w:sz w:val="16"/>
        </w:rPr>
        <w:t xml:space="preserve">  [EVALUATIVE] </w:t>
      </w:r>
      <w:r>
        <w:rPr>
          <w:sz w:val="16"/>
        </w:rPr>
        <w:t>FIN.PEER.revenue_bottom_quartile (Revenue Bottom Quartile (Cross-Filer)): No peer comparison data available</w:t>
      </w:r>
    </w:p>
    <w:p>
      <w:pPr>
        <w:pStyle w:val="DOBody"/>
      </w:pPr>
      <w:r>
        <w:rPr>
          <w:b/>
          <w:sz w:val="16"/>
        </w:rPr>
        <w:t xml:space="preserve">  [EVALUATIVE] </w:t>
      </w:r>
      <w:r>
        <w:rPr>
          <w:sz w:val="16"/>
        </w:rPr>
        <w:t>FIN.PEER.leverage_top_decile (Leverage Top Decile (Sector-Relative)): No peer comparison data available</w:t>
      </w:r>
    </w:p>
    <w:p>
      <w:pPr>
        <w:pStyle w:val="DOBody"/>
      </w:pPr>
      <w:r>
        <w:rPr>
          <w:b/>
          <w:sz w:val="16"/>
        </w:rPr>
        <w:t xml:space="preserve">  [EVALUATIVE] </w:t>
      </w:r>
      <w:r>
        <w:rPr>
          <w:sz w:val="16"/>
        </w:rPr>
        <w:t>FIN.PEER.margin_compression (Operating Margin Compression (Cross-Filer)): No peer comparison data available</w:t>
      </w:r>
    </w:p>
    <w:p>
      <w:pPr>
        <w:pStyle w:val="DOBody"/>
      </w:pPr>
      <w:r>
        <w:rPr>
          <w:b/>
          <w:sz w:val="16"/>
        </w:rPr>
        <w:t xml:space="preserve">  [EVALUATIVE] </w:t>
      </w:r>
      <w:r>
        <w:rPr>
          <w:sz w:val="16"/>
        </w:rPr>
        <w:t>FIN.PEER.profitability_laggard (Profitability Laggard (Sector-Relative)): No peer comparison data available</w:t>
      </w:r>
    </w:p>
    <w:p>
      <w:pPr>
        <w:pStyle w:val="DOBody"/>
      </w:pPr>
      <w:r>
        <w:rPr>
          <w:b/>
          <w:sz w:val="16"/>
        </w:rPr>
        <w:t xml:space="preserve">  [EVALUATIVE] </w:t>
      </w:r>
      <w:r>
        <w:rPr>
          <w:sz w:val="16"/>
        </w:rPr>
        <w:t>FIN.PEER.size_outlier_small (Size Outlier Small (Cross-Filer)): No peer comparison data available</w:t>
      </w:r>
    </w:p>
    <w:p>
      <w:pPr>
        <w:pStyle w:val="DOBody"/>
      </w:pPr>
      <w:r>
        <w:rPr>
          <w:b/>
          <w:sz w:val="16"/>
        </w:rPr>
        <w:t xml:space="preserve">  [EVALUATIVE] </w:t>
      </w:r>
      <w:r>
        <w:rPr>
          <w:sz w:val="16"/>
        </w:rPr>
        <w:t>FIN.PEER.cash_flow_weak (Cash Flow Weakness (Cross-Filer)): No peer comparison data available</w:t>
      </w:r>
    </w:p>
    <w:p>
      <w:pPr>
        <w:pStyle w:val="DOBody"/>
      </w:pPr>
      <w:r>
        <w:rPr>
          <w:b/>
          <w:sz w:val="16"/>
        </w:rPr>
        <w:t xml:space="preserve">  [EVALUATIVE] </w:t>
      </w:r>
      <w:r>
        <w:rPr>
          <w:sz w:val="16"/>
        </w:rPr>
        <w:t>LIT.DEFENSE.forum_selection (Federal Forum Selection Clause): Required data not available from filings</w:t>
      </w:r>
    </w:p>
    <w:p>
      <w:pPr>
        <w:pStyle w:val="DOHeading3"/>
      </w:pPr>
      <w:r>
        <w:t>Governance &amp; Leadership</w:t>
      </w:r>
    </w:p>
    <w:p>
      <w:pPr>
        <w:pStyle w:val="DOBody"/>
      </w:pPr>
      <w:r>
        <w:rPr>
          <w:b/>
          <w:sz w:val="16"/>
        </w:rPr>
        <w:t xml:space="preserve">  [EVALUATIVE] </w:t>
      </w:r>
      <w:r>
        <w:rPr>
          <w:sz w:val="16"/>
        </w:rPr>
        <w:t>EXEC.INSIDER.ceo_net_selling (CEO Net Seller of Stock): Required data not available from filings</w:t>
      </w:r>
    </w:p>
    <w:p>
      <w:pPr>
        <w:pStyle w:val="DOBody"/>
      </w:pPr>
      <w:r>
        <w:rPr>
          <w:b/>
          <w:sz w:val="16"/>
        </w:rPr>
        <w:t xml:space="preserve">  [EVALUATIVE] </w:t>
      </w:r>
      <w:r>
        <w:rPr>
          <w:sz w:val="16"/>
        </w:rPr>
        <w:t>EXEC.INSIDER.cfo_net_selling (CFO Net Seller of Stock): Required data not available from filings</w:t>
      </w:r>
    </w:p>
    <w:p>
      <w:pPr>
        <w:pStyle w:val="DOBody"/>
      </w:pPr>
      <w:r>
        <w:rPr>
          <w:b/>
          <w:sz w:val="16"/>
        </w:rPr>
        <w:t xml:space="preserve">  [REQUIRED] </w:t>
      </w:r>
      <w:r>
        <w:rPr>
          <w:sz w:val="16"/>
        </w:rPr>
        <w:t>EXEC.PROFILE.board_size (Board Size (Number of Members)): Required data not available from filings</w:t>
      </w:r>
    </w:p>
    <w:p>
      <w:pPr>
        <w:pStyle w:val="DOBody"/>
      </w:pPr>
      <w:r>
        <w:rPr>
          <w:b/>
          <w:sz w:val="16"/>
        </w:rPr>
        <w:t xml:space="preserve">  [REQUIRED] </w:t>
      </w:r>
      <w:r>
        <w:rPr>
          <w:sz w:val="16"/>
        </w:rPr>
        <w:t>EXEC.PROFILE.independent_ratio (Board Independence Percentage): Required data not available from filings</w:t>
      </w:r>
    </w:p>
    <w:p>
      <w:pPr>
        <w:pStyle w:val="DOBody"/>
      </w:pPr>
      <w:r>
        <w:rPr>
          <w:b/>
          <w:sz w:val="16"/>
        </w:rPr>
        <w:t xml:space="preserve">  [EVALUATIVE] </w:t>
      </w:r>
      <w:r>
        <w:rPr>
          <w:sz w:val="16"/>
        </w:rPr>
        <w:t>EXEC.PROFILE.overboarded_directors (Directors Serving on 4+ Boards): Required data not available from filings</w:t>
      </w:r>
    </w:p>
    <w:p>
      <w:pPr>
        <w:pStyle w:val="DOBody"/>
      </w:pPr>
      <w:r>
        <w:rPr>
          <w:b/>
          <w:sz w:val="16"/>
        </w:rPr>
        <w:t xml:space="preserve">  [EVALUATIVE] </w:t>
      </w:r>
      <w:r>
        <w:rPr>
          <w:sz w:val="16"/>
        </w:rPr>
        <w:t>GOV.BOARD.size (Board Size): Required data not available from filings</w:t>
      </w:r>
    </w:p>
    <w:p>
      <w:pPr>
        <w:pStyle w:val="DOBody"/>
      </w:pPr>
      <w:r>
        <w:rPr>
          <w:b/>
          <w:sz w:val="16"/>
        </w:rPr>
        <w:t xml:space="preserve">  [EVALUATIVE] </w:t>
      </w:r>
      <w:r>
        <w:rPr>
          <w:sz w:val="16"/>
        </w:rPr>
        <w:t>GOV.BOARD.independence (Board Independence): Required data not available from filings</w:t>
      </w:r>
    </w:p>
    <w:p>
      <w:pPr>
        <w:pStyle w:val="DOBody"/>
      </w:pPr>
      <w:r>
        <w:rPr>
          <w:b/>
          <w:sz w:val="16"/>
        </w:rPr>
        <w:t xml:space="preserve">  [EVALUATIVE] </w:t>
      </w:r>
      <w:r>
        <w:rPr>
          <w:sz w:val="16"/>
        </w:rPr>
        <w:t>GOV.BOARD.diversity (Board Diversity): Required data not available from filings</w:t>
      </w:r>
    </w:p>
    <w:p>
      <w:pPr>
        <w:pStyle w:val="DOBody"/>
      </w:pPr>
      <w:r>
        <w:rPr>
          <w:b/>
          <w:sz w:val="16"/>
        </w:rPr>
        <w:t xml:space="preserve">  [EVALUATIVE] </w:t>
      </w:r>
      <w:r>
        <w:rPr>
          <w:sz w:val="16"/>
        </w:rPr>
        <w:t>GOV.BOARD.tenure (Tenure): Required data not available from filings</w:t>
      </w:r>
    </w:p>
    <w:p>
      <w:pPr>
        <w:pStyle w:val="DOBody"/>
      </w:pPr>
      <w:r>
        <w:rPr>
          <w:b/>
          <w:sz w:val="16"/>
        </w:rPr>
        <w:t xml:space="preserve">  [EVALUATIVE] </w:t>
      </w:r>
      <w:r>
        <w:rPr>
          <w:sz w:val="16"/>
        </w:rPr>
        <w:t>GOV.BOARD.overboarding (Overboarding): Required data not available from filings</w:t>
      </w:r>
    </w:p>
    <w:p>
      <w:pPr>
        <w:pStyle w:val="DOBody"/>
      </w:pPr>
      <w:r>
        <w:rPr>
          <w:b/>
          <w:sz w:val="16"/>
        </w:rPr>
        <w:t xml:space="preserve">  [EVALUATIVE] </w:t>
      </w:r>
      <w:r>
        <w:rPr>
          <w:sz w:val="16"/>
        </w:rPr>
        <w:t>GOV.BOARD.attendance (Attendance): Required data not available from filings</w:t>
      </w:r>
    </w:p>
    <w:p>
      <w:pPr>
        <w:pStyle w:val="DOBody"/>
      </w:pPr>
      <w:r>
        <w:rPr>
          <w:b/>
          <w:sz w:val="16"/>
        </w:rPr>
        <w:t xml:space="preserve">  [EVALUATIVE] </w:t>
      </w:r>
      <w:r>
        <w:rPr>
          <w:sz w:val="16"/>
        </w:rPr>
        <w:t>GOV.BOARD.meetings (Meetings): Required data not available from filings</w:t>
      </w:r>
    </w:p>
    <w:p>
      <w:pPr>
        <w:pStyle w:val="DOBody"/>
      </w:pPr>
      <w:r>
        <w:rPr>
          <w:b/>
          <w:sz w:val="16"/>
        </w:rPr>
        <w:t xml:space="preserve">  [EVALUATIVE] </w:t>
      </w:r>
      <w:r>
        <w:rPr>
          <w:sz w:val="16"/>
        </w:rPr>
        <w:t>GOV.BOARD.succession (Succession): Required data not available from filings</w:t>
      </w:r>
    </w:p>
    <w:p>
      <w:pPr>
        <w:pStyle w:val="DOBody"/>
      </w:pPr>
      <w:r>
        <w:rPr>
          <w:b/>
          <w:sz w:val="16"/>
        </w:rPr>
        <w:t xml:space="preserve">  [EVALUATIVE] </w:t>
      </w:r>
      <w:r>
        <w:rPr>
          <w:sz w:val="16"/>
        </w:rPr>
        <w:t>GOV.PAY.golden_para (Golden Para): Required data not available from filings</w:t>
      </w:r>
    </w:p>
    <w:p>
      <w:pPr>
        <w:pStyle w:val="DOBody"/>
      </w:pPr>
      <w:r>
        <w:rPr>
          <w:b/>
          <w:sz w:val="16"/>
        </w:rPr>
        <w:t xml:space="preserve">  [EVALUATIVE] </w:t>
      </w:r>
      <w:r>
        <w:rPr>
          <w:sz w:val="16"/>
        </w:rPr>
        <w:t>GOV.PAY.equity_burn (Equity Burn): Required data not available from filings</w:t>
      </w:r>
    </w:p>
    <w:p>
      <w:pPr>
        <w:pStyle w:val="DOBody"/>
      </w:pPr>
      <w:r>
        <w:rPr>
          <w:b/>
          <w:sz w:val="16"/>
        </w:rPr>
        <w:t xml:space="preserve">  [EVALUATIVE] </w:t>
      </w:r>
      <w:r>
        <w:rPr>
          <w:sz w:val="16"/>
        </w:rPr>
        <w:t>GOV.PAY.hedging (Hedging): Required data not available from filings</w:t>
      </w:r>
    </w:p>
    <w:p>
      <w:pPr>
        <w:pStyle w:val="DOBody"/>
      </w:pPr>
      <w:r>
        <w:rPr>
          <w:b/>
          <w:sz w:val="16"/>
        </w:rPr>
        <w:t xml:space="preserve">  [REQUIRED] </w:t>
      </w:r>
      <w:r>
        <w:rPr>
          <w:sz w:val="16"/>
        </w:rPr>
        <w:t>GOV.RIGHTS.bylaws (Bylaws): Required data not available from filings</w:t>
      </w:r>
    </w:p>
    <w:p>
      <w:pPr>
        <w:pStyle w:val="DOBody"/>
      </w:pPr>
      <w:r>
        <w:rPr>
          <w:b/>
          <w:sz w:val="16"/>
        </w:rPr>
        <w:t xml:space="preserve">  [EVALUATIVE] </w:t>
      </w:r>
      <w:r>
        <w:rPr>
          <w:sz w:val="16"/>
        </w:rPr>
        <w:t>GOV.RIGHTS.takeover (Takeover): Required data not available from filings</w:t>
      </w:r>
    </w:p>
    <w:p>
      <w:pPr>
        <w:pStyle w:val="DOBody"/>
      </w:pPr>
      <w:r>
        <w:rPr>
          <w:b/>
          <w:sz w:val="16"/>
        </w:rPr>
        <w:t xml:space="preserve">  [EVALUATIVE] </w:t>
      </w:r>
      <w:r>
        <w:rPr>
          <w:sz w:val="16"/>
        </w:rPr>
        <w:t>GOV.RIGHTS.proxy_access (Proxy Access): Required data not available from filings</w:t>
      </w:r>
    </w:p>
    <w:p>
      <w:pPr>
        <w:pStyle w:val="DOBody"/>
      </w:pPr>
      <w:r>
        <w:rPr>
          <w:b/>
          <w:sz w:val="16"/>
        </w:rPr>
        <w:t xml:space="preserve">  [REQUIRED] </w:t>
      </w:r>
      <w:r>
        <w:rPr>
          <w:sz w:val="16"/>
        </w:rPr>
        <w:t>GOV.RIGHTS.forum_select (Forum Select): Required data not available from filings</w:t>
      </w:r>
    </w:p>
    <w:p>
      <w:pPr>
        <w:pStyle w:val="DOBody"/>
      </w:pPr>
      <w:r>
        <w:rPr>
          <w:b/>
          <w:sz w:val="16"/>
        </w:rPr>
        <w:t xml:space="preserve">  [EVALUATIVE] </w:t>
      </w:r>
      <w:r>
        <w:rPr>
          <w:sz w:val="16"/>
        </w:rPr>
        <w:t>GOV.RIGHTS.supermajority (Supermajority): Required data not available from filings</w:t>
      </w:r>
    </w:p>
    <w:p>
      <w:pPr>
        <w:pStyle w:val="DOBody"/>
      </w:pPr>
      <w:r>
        <w:rPr>
          <w:b/>
          <w:sz w:val="16"/>
        </w:rPr>
        <w:t xml:space="preserve">  [EVALUATIVE] </w:t>
      </w:r>
      <w:r>
        <w:rPr>
          <w:sz w:val="16"/>
        </w:rPr>
        <w:t>GOV.RIGHTS.action_consent (Action Consent): Required data not available from filings</w:t>
      </w:r>
    </w:p>
    <w:p>
      <w:pPr>
        <w:pStyle w:val="DOBody"/>
      </w:pPr>
      <w:r>
        <w:rPr>
          <w:b/>
          <w:sz w:val="16"/>
        </w:rPr>
        <w:t xml:space="preserve">  [EVALUATIVE] </w:t>
      </w:r>
      <w:r>
        <w:rPr>
          <w:sz w:val="16"/>
        </w:rPr>
        <w:t>GOV.RIGHTS.special_mtg (Special Mtg): Required data not available from filings</w:t>
      </w:r>
    </w:p>
    <w:p>
      <w:pPr>
        <w:pStyle w:val="DOBody"/>
      </w:pPr>
      <w:r>
        <w:rPr>
          <w:b/>
          <w:sz w:val="16"/>
        </w:rPr>
        <w:t xml:space="preserve">  [EVALUATIVE] </w:t>
      </w:r>
      <w:r>
        <w:rPr>
          <w:sz w:val="16"/>
        </w:rPr>
        <w:t>GOV.RIGHTS.classified (Classified): Required data not available from filings</w:t>
      </w:r>
    </w:p>
    <w:p>
      <w:pPr>
        <w:pStyle w:val="DOHeading3"/>
      </w:pPr>
      <w:r>
        <w:t>Market &amp; Trading</w:t>
      </w:r>
    </w:p>
    <w:p>
      <w:pPr>
        <w:pStyle w:val="DOBody"/>
      </w:pPr>
      <w:r>
        <w:rPr>
          <w:b/>
          <w:sz w:val="16"/>
        </w:rPr>
        <w:t xml:space="preserve">  [EVALUATIVE] </w:t>
      </w:r>
      <w:r>
        <w:rPr>
          <w:sz w:val="16"/>
        </w:rPr>
        <w:t>FIN.ACCT.quality_indicators (Quality Indicators): Required data not available from filings</w:t>
      </w:r>
    </w:p>
    <w:p>
      <w:pPr>
        <w:pStyle w:val="DOBody"/>
      </w:pPr>
      <w:r>
        <w:rPr>
          <w:b/>
          <w:sz w:val="16"/>
        </w:rPr>
        <w:t xml:space="preserve">  [EVALUATIVE] </w:t>
      </w:r>
      <w:r>
        <w:rPr>
          <w:sz w:val="16"/>
        </w:rPr>
        <w:t>FIN.ASSET.goodwill_equity_ratio (Goodwill/Intangible as % of Equity): Required data not available from filings</w:t>
      </w:r>
    </w:p>
    <w:p>
      <w:pPr>
        <w:pStyle w:val="DOBody"/>
      </w:pPr>
      <w:r>
        <w:rPr>
          <w:b/>
          <w:sz w:val="16"/>
        </w:rPr>
        <w:t xml:space="preserve">  [EVALUATIVE] </w:t>
      </w:r>
      <w:r>
        <w:rPr>
          <w:sz w:val="16"/>
        </w:rPr>
        <w:t>FIN.COMP.sbc_dilution (Stock-Based Compensation Dilution): Required data not available from filings</w:t>
      </w:r>
    </w:p>
    <w:p>
      <w:pPr>
        <w:pStyle w:val="DOBody"/>
      </w:pPr>
      <w:r>
        <w:rPr>
          <w:b/>
          <w:sz w:val="16"/>
        </w:rPr>
        <w:t xml:space="preserve">  [EVALUATIVE] </w:t>
      </w:r>
      <w:r>
        <w:rPr>
          <w:sz w:val="16"/>
        </w:rPr>
        <w:t>FIN.COMP.unvested_cost (Unvested SBC Pipeline): Required data not available from filings</w:t>
      </w:r>
    </w:p>
    <w:p>
      <w:pPr>
        <w:pStyle w:val="DOBody"/>
      </w:pPr>
      <w:r>
        <w:rPr>
          <w:b/>
          <w:sz w:val="16"/>
        </w:rPr>
        <w:t xml:space="preserve">  [EVALUATIVE] </w:t>
      </w:r>
      <w:r>
        <w:rPr>
          <w:sz w:val="16"/>
        </w:rPr>
        <w:t>FIN.CONT.loss_accrual (Loss Contingency Accrual): Required data not available from filings</w:t>
      </w:r>
    </w:p>
    <w:p>
      <w:pPr>
        <w:pStyle w:val="DOBody"/>
      </w:pPr>
      <w:r>
        <w:rPr>
          <w:b/>
          <w:sz w:val="16"/>
        </w:rPr>
        <w:t xml:space="preserve">  [EVALUATIVE] </w:t>
      </w:r>
      <w:r>
        <w:rPr>
          <w:sz w:val="16"/>
        </w:rPr>
        <w:t>FIN.CONT.loss_estimate (Loss Contingency Estimate): Required data not available from filings</w:t>
      </w:r>
    </w:p>
    <w:p>
      <w:pPr>
        <w:pStyle w:val="DOBody"/>
      </w:pPr>
      <w:r>
        <w:rPr>
          <w:b/>
          <w:sz w:val="16"/>
        </w:rPr>
        <w:t xml:space="preserve">  [EVALUATIVE] </w:t>
      </w:r>
      <w:r>
        <w:rPr>
          <w:sz w:val="16"/>
        </w:rPr>
        <w:t>FIN.CONT.settlement_activity (Litigation Settlement Activity): Required data not available from filings</w:t>
      </w:r>
    </w:p>
    <w:p>
      <w:pPr>
        <w:pStyle w:val="DOBody"/>
      </w:pPr>
      <w:r>
        <w:rPr>
          <w:b/>
          <w:sz w:val="16"/>
        </w:rPr>
        <w:t xml:space="preserve">  [EVALUATIVE] </w:t>
      </w:r>
      <w:r>
        <w:rPr>
          <w:sz w:val="16"/>
        </w:rPr>
        <w:t>FIN.CONT.warranty_reserve (Product Warranty Reserve): Required data not available from filings</w:t>
      </w:r>
    </w:p>
    <w:p>
      <w:pPr>
        <w:pStyle w:val="DOBody"/>
      </w:pPr>
      <w:r>
        <w:rPr>
          <w:b/>
          <w:sz w:val="16"/>
        </w:rPr>
        <w:t xml:space="preserve">  [EVALUATIVE] </w:t>
      </w:r>
      <w:r>
        <w:rPr>
          <w:sz w:val="16"/>
        </w:rPr>
        <w:t>FIN.DEBT.facility_utilization (Credit Facility Utilization): Required data not available from filings</w:t>
      </w:r>
    </w:p>
    <w:p>
      <w:pPr>
        <w:pStyle w:val="DOBody"/>
      </w:pPr>
      <w:r>
        <w:rPr>
          <w:b/>
          <w:sz w:val="16"/>
        </w:rPr>
        <w:t xml:space="preserve">  [EVALUATIVE] </w:t>
      </w:r>
      <w:r>
        <w:rPr>
          <w:sz w:val="16"/>
        </w:rPr>
        <w:t>FIN.DEBT.maturity_concentration (Debt Maturity Concentration): Data mapping not configured for this check</w:t>
      </w:r>
    </w:p>
    <w:p>
      <w:pPr>
        <w:pStyle w:val="DOBody"/>
      </w:pPr>
      <w:r>
        <w:rPr>
          <w:b/>
          <w:sz w:val="16"/>
        </w:rPr>
        <w:t xml:space="preserve">  [EVALUATIVE] </w:t>
      </w:r>
      <w:r>
        <w:rPr>
          <w:sz w:val="16"/>
        </w:rPr>
        <w:t>FIN.DERIV.notional_exposure (Derivative Notional Exposure): Required data not available from filings</w:t>
      </w:r>
    </w:p>
    <w:p>
      <w:pPr>
        <w:pStyle w:val="DOBody"/>
      </w:pPr>
      <w:r>
        <w:rPr>
          <w:b/>
          <w:sz w:val="16"/>
        </w:rPr>
        <w:t xml:space="preserve">  [EVALUATIVE] </w:t>
      </w:r>
      <w:r>
        <w:rPr>
          <w:sz w:val="16"/>
        </w:rPr>
        <w:t>FIN.DERIV.fair_value_risk (Derivative Fair Value Risk): Required data not available from filings</w:t>
      </w:r>
    </w:p>
    <w:p>
      <w:pPr>
        <w:pStyle w:val="DOBody"/>
      </w:pPr>
      <w:r>
        <w:rPr>
          <w:b/>
          <w:sz w:val="16"/>
        </w:rPr>
        <w:t xml:space="preserve">  [EVALUATIVE] </w:t>
      </w:r>
      <w:r>
        <w:rPr>
          <w:sz w:val="16"/>
        </w:rPr>
        <w:t>FIN.QUALITY.q4_revenue_concentration (Q4 Revenue Concentration): Required data not available from filings</w:t>
      </w:r>
    </w:p>
    <w:p>
      <w:pPr>
        <w:pStyle w:val="DOBody"/>
      </w:pPr>
      <w:r>
        <w:rPr>
          <w:b/>
          <w:sz w:val="16"/>
        </w:rPr>
        <w:t xml:space="preserve">  [EVALUATIVE] </w:t>
      </w:r>
      <w:r>
        <w:rPr>
          <w:sz w:val="16"/>
        </w:rPr>
        <w:t>FIN.QUALITY.revenue_recognition_risk (Revenue Recognition Risk Indicators): Data mapping not configured for this check</w:t>
      </w:r>
    </w:p>
    <w:p>
      <w:pPr>
        <w:pStyle w:val="DOBody"/>
      </w:pPr>
      <w:r>
        <w:rPr>
          <w:b/>
          <w:sz w:val="16"/>
        </w:rPr>
        <w:t xml:space="preserve">  [EVALUATIVE] </w:t>
      </w:r>
      <w:r>
        <w:rPr>
          <w:sz w:val="16"/>
        </w:rPr>
        <w:t>FIN.FORENSIC.level3_fair_value (Level 3 Fair Value Asset Concentration): Data mapping not configured for this check</w:t>
      </w:r>
    </w:p>
    <w:p>
      <w:pPr>
        <w:pStyle w:val="DOBody"/>
      </w:pPr>
      <w:r>
        <w:rPr>
          <w:b/>
          <w:sz w:val="16"/>
        </w:rPr>
        <w:t xml:space="preserve">  [EVALUATIVE] </w:t>
      </w:r>
      <w:r>
        <w:rPr>
          <w:sz w:val="16"/>
        </w:rPr>
        <w:t>FIN.FORENSIC.goodwill_deterioration_pattern (Goodwill Deterioration Pattern): Data mapping not configured for this check</w:t>
      </w:r>
    </w:p>
    <w:p>
      <w:pPr>
        <w:pStyle w:val="DOBody"/>
      </w:pPr>
      <w:r>
        <w:rPr>
          <w:b/>
          <w:sz w:val="16"/>
        </w:rPr>
        <w:t xml:space="preserve">  [EVALUATIVE] </w:t>
      </w:r>
      <w:r>
        <w:rPr>
          <w:sz w:val="16"/>
        </w:rPr>
        <w:t>FIN.FORENSIC.related_party_revenue (Related Party Revenue Concentration): Data mapping not configured for this check</w:t>
      </w:r>
    </w:p>
    <w:p>
      <w:pPr>
        <w:pStyle w:val="DOBody"/>
      </w:pPr>
      <w:r>
        <w:rPr>
          <w:b/>
          <w:sz w:val="16"/>
        </w:rPr>
        <w:t xml:space="preserve">  [EVALUATIVE] </w:t>
      </w:r>
      <w:r>
        <w:rPr>
          <w:sz w:val="16"/>
        </w:rPr>
        <w:t>FWRD.EVENT.ma_integration_risk (M&amp;A Integration Risk): Data mapping not configured for this check</w:t>
      </w:r>
    </w:p>
    <w:p>
      <w:pPr>
        <w:pStyle w:val="DOBody"/>
      </w:pPr>
      <w:r>
        <w:rPr>
          <w:b/>
          <w:sz w:val="16"/>
        </w:rPr>
        <w:t xml:space="preserve">  [EVALUATIVE] </w:t>
      </w:r>
      <w:r>
        <w:rPr>
          <w:sz w:val="16"/>
        </w:rPr>
        <w:t>FIN.FORENSIC.goodwill_impairment_risk (Goodwill Impairment Risk): Data mapping not configured for this check</w:t>
      </w:r>
    </w:p>
    <w:p>
      <w:pPr>
        <w:pStyle w:val="DOBody"/>
      </w:pPr>
      <w:r>
        <w:rPr>
          <w:b/>
          <w:sz w:val="16"/>
        </w:rPr>
        <w:t xml:space="preserve">  [EVALUATIVE] </w:t>
      </w:r>
      <w:r>
        <w:rPr>
          <w:sz w:val="16"/>
        </w:rPr>
        <w:t>FIN.FORENSIC.intangible_concentration (Intangible Asset Concentration): Data mapping not configured for this check</w:t>
      </w:r>
    </w:p>
    <w:p>
      <w:pPr>
        <w:pStyle w:val="DOBody"/>
      </w:pPr>
      <w:r>
        <w:rPr>
          <w:b/>
          <w:sz w:val="16"/>
        </w:rPr>
        <w:t xml:space="preserve">  [EVALUATIVE] </w:t>
      </w:r>
      <w:r>
        <w:rPr>
          <w:sz w:val="16"/>
        </w:rPr>
        <w:t>FIN.FORENSIC.deferred_revenue_divergence (Deferred Revenue Divergence): Data mapping not configured for this check</w:t>
      </w:r>
    </w:p>
    <w:p>
      <w:pPr>
        <w:pStyle w:val="DOBody"/>
      </w:pPr>
      <w:r>
        <w:rPr>
          <w:b/>
          <w:sz w:val="16"/>
        </w:rPr>
        <w:t xml:space="preserve">  [EVALUATIVE] </w:t>
      </w:r>
      <w:r>
        <w:rPr>
          <w:sz w:val="16"/>
        </w:rPr>
        <w:t>FIN.FORENSIC.margin_compression (Forensic Margin Compression): Data mapping not configured for this check</w:t>
      </w:r>
    </w:p>
    <w:p>
      <w:pPr>
        <w:pStyle w:val="DOBody"/>
      </w:pPr>
      <w:r>
        <w:rPr>
          <w:b/>
          <w:sz w:val="16"/>
        </w:rPr>
        <w:t xml:space="preserve">  [EVALUATIVE] </w:t>
      </w:r>
      <w:r>
        <w:rPr>
          <w:sz w:val="16"/>
        </w:rPr>
        <w:t>FIN.FORENSIC.acquisition_effectiveness (Acquisition Effectiveness): Data mapping not configured for this check</w:t>
      </w:r>
    </w:p>
    <w:p>
      <w:pPr>
        <w:pStyle w:val="DOBody"/>
      </w:pPr>
      <w:r>
        <w:rPr>
          <w:b/>
          <w:sz w:val="16"/>
        </w:rPr>
        <w:t xml:space="preserve">  [EVALUATIVE] </w:t>
      </w:r>
      <w:r>
        <w:rPr>
          <w:sz w:val="16"/>
        </w:rPr>
        <w:t>FIN.FORENSIC.buyback_timing (Share Buyback Timing Quality): Data mapping not configured for this check</w:t>
      </w:r>
    </w:p>
    <w:p>
      <w:pPr>
        <w:pStyle w:val="DOBody"/>
      </w:pPr>
      <w:r>
        <w:rPr>
          <w:b/>
          <w:sz w:val="16"/>
        </w:rPr>
        <w:t xml:space="preserve">  [EVALUATIVE] </w:t>
      </w:r>
      <w:r>
        <w:rPr>
          <w:sz w:val="16"/>
        </w:rPr>
        <w:t>FIN.FORENSIC.debt_maturity_concentration (Debt Maturity Concentration): Data mapping not configured for this check</w:t>
      </w:r>
    </w:p>
    <w:p>
      <w:pPr>
        <w:pStyle w:val="DOBody"/>
      </w:pPr>
      <w:r>
        <w:rPr>
          <w:b/>
          <w:sz w:val="16"/>
        </w:rPr>
        <w:t xml:space="preserve">  [EVALUATIVE] </w:t>
      </w:r>
      <w:r>
        <w:rPr>
          <w:sz w:val="16"/>
        </w:rPr>
        <w:t>FIN.FORENSIC.dsri_elevated (Days Sales Receivable Index Elevated): Data mapping not configured for this check</w:t>
      </w:r>
    </w:p>
    <w:p>
      <w:pPr>
        <w:pStyle w:val="DOBody"/>
      </w:pPr>
      <w:r>
        <w:rPr>
          <w:b/>
          <w:sz w:val="16"/>
        </w:rPr>
        <w:t xml:space="preserve">  [EVALUATIVE] </w:t>
      </w:r>
      <w:r>
        <w:rPr>
          <w:sz w:val="16"/>
        </w:rPr>
        <w:t>FIN.FORENSIC.aqi_elevated (Asset Quality Index Elevated): Data mapping not configured for this check</w:t>
      </w:r>
    </w:p>
    <w:p>
      <w:pPr>
        <w:pStyle w:val="DOBody"/>
      </w:pPr>
      <w:r>
        <w:rPr>
          <w:b/>
          <w:sz w:val="16"/>
        </w:rPr>
        <w:t xml:space="preserve">  [EVALUATIVE] </w:t>
      </w:r>
      <w:r>
        <w:rPr>
          <w:sz w:val="16"/>
        </w:rPr>
        <w:t>FIN.FORENSIC.tata_elevated (Total Accruals to Total Assets Elevated): Data mapping not configured for this check</w:t>
      </w:r>
    </w:p>
    <w:p>
      <w:pPr>
        <w:pStyle w:val="DOBody"/>
      </w:pPr>
      <w:r>
        <w:rPr>
          <w:b/>
          <w:sz w:val="16"/>
        </w:rPr>
        <w:t xml:space="preserve">  [EVALUATIVE] </w:t>
      </w:r>
      <w:r>
        <w:rPr>
          <w:sz w:val="16"/>
        </w:rPr>
        <w:t>FIN.FORENSIC.sbc_dilution (Stock-Based Compensation Dilution): Data mapping not configured for this check</w:t>
      </w:r>
    </w:p>
    <w:p>
      <w:pPr>
        <w:pStyle w:val="DOBody"/>
      </w:pPr>
      <w:r>
        <w:rPr>
          <w:b/>
          <w:sz w:val="16"/>
        </w:rPr>
        <w:t xml:space="preserve">  [EVALUATIVE] </w:t>
      </w:r>
      <w:r>
        <w:rPr>
          <w:sz w:val="16"/>
        </w:rPr>
        <w:t>FIN.FORENSIC.non_gaap_gap (Non-GAAP to GAAP Earnings Gap): Data mapping not configured for this check</w:t>
      </w:r>
    </w:p>
    <w:p>
      <w:pPr>
        <w:pStyle w:val="DOBody"/>
      </w:pPr>
      <w:r>
        <w:rPr>
          <w:b/>
          <w:sz w:val="16"/>
        </w:rPr>
        <w:t xml:space="preserve">  [EVALUATIVE] </w:t>
      </w:r>
      <w:r>
        <w:rPr>
          <w:sz w:val="16"/>
        </w:rPr>
        <w:t>FIN.FORENSIC.goodwill_growth_rate (Goodwill Growth Rate): Data mapping not configured for this check</w:t>
      </w:r>
    </w:p>
    <w:p>
      <w:pPr>
        <w:pStyle w:val="DOBody"/>
      </w:pPr>
      <w:r>
        <w:rPr>
          <w:b/>
          <w:sz w:val="16"/>
        </w:rPr>
        <w:t xml:space="preserve">  [EVALUATIVE] </w:t>
      </w:r>
      <w:r>
        <w:rPr>
          <w:sz w:val="16"/>
        </w:rPr>
        <w:t>FIN.FORENSIC.acquisition_to_revenue (Acquisition Spend Relative to Revenue): Data mapping not configured for this check</w:t>
      </w:r>
    </w:p>
    <w:p>
      <w:pPr>
        <w:pStyle w:val="DOBody"/>
      </w:pPr>
      <w:r>
        <w:rPr>
          <w:b/>
          <w:sz w:val="16"/>
        </w:rPr>
        <w:t xml:space="preserve">  [EVALUATIVE] </w:t>
      </w:r>
      <w:r>
        <w:rPr>
          <w:sz w:val="16"/>
        </w:rPr>
        <w:t>FIN.PROFIT.revenue (Revenue Analysis): Required data not available from filings</w:t>
      </w:r>
    </w:p>
    <w:p>
      <w:pPr>
        <w:pStyle w:val="DOBody"/>
      </w:pPr>
      <w:r>
        <w:rPr>
          <w:b/>
          <w:sz w:val="16"/>
        </w:rPr>
        <w:t xml:space="preserve">  [EVALUATIVE] </w:t>
      </w:r>
      <w:r>
        <w:rPr>
          <w:sz w:val="16"/>
        </w:rPr>
        <w:t>FIN.GUIDE.track_record (Guidance Track Record): Required data not available from filings</w:t>
      </w:r>
    </w:p>
    <w:p>
      <w:pPr>
        <w:pStyle w:val="DOBody"/>
      </w:pPr>
      <w:r>
        <w:rPr>
          <w:b/>
          <w:sz w:val="16"/>
        </w:rPr>
        <w:t xml:space="preserve">  [EVALUATIVE] </w:t>
      </w:r>
      <w:r>
        <w:rPr>
          <w:sz w:val="16"/>
        </w:rPr>
        <w:t>FIN.OBS.contract_liability (Deferred Revenue Execution Risk): Required data not available from filings</w:t>
      </w:r>
    </w:p>
    <w:p>
      <w:pPr>
        <w:pStyle w:val="DOBody"/>
      </w:pPr>
      <w:r>
        <w:rPr>
          <w:b/>
          <w:sz w:val="16"/>
        </w:rPr>
        <w:t xml:space="preserve">  [EVALUATIVE] </w:t>
      </w:r>
      <w:r>
        <w:rPr>
          <w:sz w:val="16"/>
        </w:rPr>
        <w:t>FIN.RESTRUCT.charges (Restructuring Charges): Required data not available from filings</w:t>
      </w:r>
    </w:p>
    <w:p>
      <w:pPr>
        <w:pStyle w:val="DOBody"/>
      </w:pPr>
      <w:r>
        <w:rPr>
          <w:b/>
          <w:sz w:val="16"/>
        </w:rPr>
        <w:t xml:space="preserve">  [EVALUATIVE] </w:t>
      </w:r>
      <w:r>
        <w:rPr>
          <w:sz w:val="16"/>
        </w:rPr>
        <w:t>FIN.RESTRUCT.severance (Severance Costs): Required data not available from filings</w:t>
      </w:r>
    </w:p>
    <w:p>
      <w:pPr>
        <w:pStyle w:val="DOBody"/>
      </w:pPr>
      <w:r>
        <w:rPr>
          <w:b/>
          <w:sz w:val="16"/>
        </w:rPr>
        <w:t xml:space="preserve">  [EVALUATIVE] </w:t>
      </w:r>
      <w:r>
        <w:rPr>
          <w:sz w:val="16"/>
        </w:rPr>
        <w:t>FIN.IMPAIR.intangible_writedown (Intangible Asset Impairment): Required data not available from filings</w:t>
      </w:r>
    </w:p>
    <w:p>
      <w:pPr>
        <w:pStyle w:val="DOBody"/>
      </w:pPr>
      <w:r>
        <w:rPr>
          <w:b/>
          <w:sz w:val="16"/>
        </w:rPr>
        <w:t xml:space="preserve">  [EVALUATIVE] </w:t>
      </w:r>
      <w:r>
        <w:rPr>
          <w:sz w:val="16"/>
        </w:rPr>
        <w:t>FIN.TAX.deferred_tax_gap (Deferred Tax Asset Gap): Required data not available from filings</w:t>
      </w:r>
    </w:p>
    <w:p>
      <w:pPr>
        <w:pStyle w:val="DOBody"/>
      </w:pPr>
      <w:r>
        <w:rPr>
          <w:b/>
          <w:sz w:val="16"/>
        </w:rPr>
        <w:t xml:space="preserve">  [REQUIRED] </w:t>
      </w:r>
      <w:r>
        <w:rPr>
          <w:sz w:val="16"/>
        </w:rPr>
        <w:t>NLP.FILING.filing_timing_change (Filing Date Shifted Significantly vs Prior Year): Required data not available from filings</w:t>
      </w:r>
    </w:p>
    <w:p>
      <w:pPr>
        <w:pStyle w:val="DOBody"/>
      </w:pPr>
      <w:r>
        <w:rPr>
          <w:b/>
          <w:sz w:val="16"/>
        </w:rPr>
        <w:t xml:space="preserve">  [EVALUATIVE] </w:t>
      </w:r>
      <w:r>
        <w:rPr>
          <w:sz w:val="16"/>
        </w:rPr>
        <w:t>STOCK.INSIDER.notable_activity (Notable Activity): Required data not available from filings</w:t>
      </w:r>
    </w:p>
    <w:p>
      <w:pPr>
        <w:pStyle w:val="DOBody"/>
      </w:pPr>
      <w:r>
        <w:rPr>
          <w:b/>
          <w:sz w:val="16"/>
        </w:rPr>
        <w:t xml:space="preserve">  [REQUIRED] </w:t>
      </w:r>
      <w:r>
        <w:rPr>
          <w:sz w:val="16"/>
        </w:rPr>
        <w:t>STOCK.ANALYST.coverage (Analyst Coverage): Required data not available from filings</w:t>
      </w:r>
    </w:p>
    <w:p>
      <w:pPr>
        <w:pStyle w:val="DOBody"/>
      </w:pPr>
      <w:r>
        <w:rPr>
          <w:b/>
          <w:sz w:val="16"/>
        </w:rPr>
        <w:t xml:space="preserve">  [EVALUATIVE] </w:t>
      </w:r>
      <w:r>
        <w:rPr>
          <w:sz w:val="16"/>
        </w:rPr>
        <w:t>FIN.FORENSIC.m_score_composite (Beneish M-Score Composite (XBRL)): Data mapping not configured for this check</w:t>
      </w:r>
    </w:p>
    <w:p>
      <w:pPr>
        <w:pStyle w:val="DOBody"/>
      </w:pPr>
      <w:r>
        <w:rPr>
          <w:sz w:val="16"/>
        </w:rPr>
        <w:t>Gap breakdown: Required items: 11 | Evaluative checks: 118</w:t>
      </w:r>
    </w:p>
    <w:p>
      <w:pPr>
        <w:pStyle w:val="DOBody"/>
      </w:pPr>
      <w:r>
        <w:rPr>
          <w:b/>
        </w:rPr>
        <w:t>Total: 129 checks data-unavailable out of 576 total checks (78% coverage)</w:t>
      </w:r>
    </w:p>
    <w:p>
      <w:pPr>
        <w:spacing w:before="120" w:after="40"/>
        <w:pBdr>
          <w:bottom w:val="single" w:sz="6" w:space="1" w:color="FFD000"/>
        </w:pBdr>
      </w:pPr>
    </w:p>
    <w:p>
      <w:pPr>
        <w:pStyle w:val="DOHeading2"/>
      </w:pPr>
      <w:r>
        <w:t>Calibration Notes</w:t>
      </w:r>
    </w:p>
    <w:p>
      <w:pPr>
        <w:pStyle w:val="DOHeading3"/>
      </w:pPr>
      <w:r>
        <w:t>System Intelligence Status</w:t>
      </w:r>
    </w:p>
    <w:p>
      <w:pPr>
        <w:pStyle w:val="DOBody"/>
      </w:pPr>
      <w:r>
        <w:rPr>
          <w:b/>
        </w:rPr>
        <w:t>Checks active</w:t>
      </w:r>
      <w:r>
        <w:t>: 601</w:t>
      </w:r>
    </w:p>
    <w:p>
      <w:pPr>
        <w:pStyle w:val="DOBody"/>
      </w:pPr>
      <w:r>
        <w:rPr>
          <w:b/>
        </w:rPr>
        <w:t>Checks incubating</w:t>
      </w:r>
      <w:r>
        <w:t>: 0 (pending human approval)</w:t>
      </w:r>
    </w:p>
    <w:p>
      <w:pPr>
        <w:pStyle w:val="DOBody"/>
      </w:pPr>
      <w:r>
        <w:rPr>
          <w:b/>
        </w:rPr>
        <w:t>Pending feedback</w:t>
      </w:r>
      <w:r>
        <w:t>: 0 entries</w:t>
      </w:r>
    </w:p>
    <w:p>
      <w:pPr>
        <w:pStyle w:val="DOHeading3"/>
      </w:pPr>
      <w:r>
        <w:t>Recent Calibration Changes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Date</w:t>
            </w:r>
          </w:p>
        </w:tc>
        <w:tc>
          <w:tcPr>
            <w:tcW w:type="dxa" w:w="2520"/>
          </w:tcPr>
          <w:p>
            <w:r>
              <w:rPr>
                <w:b/>
                <w:sz w:val="18"/>
              </w:rPr>
              <w:t>Check</w:t>
            </w:r>
          </w:p>
        </w:tc>
        <w:tc>
          <w:tcPr>
            <w:tcW w:type="dxa" w:w="2520"/>
          </w:tcPr>
          <w:p>
            <w:r>
              <w:rPr>
                <w:b/>
                <w:sz w:val="18"/>
              </w:rPr>
              <w:t>Change</w:t>
            </w:r>
          </w:p>
        </w:tc>
        <w:tc>
          <w:tcPr>
            <w:tcW w:type="dxa" w:w="2520"/>
          </w:tcPr>
          <w:p>
            <w:r>
              <w:rPr>
                <w:b/>
                <w:sz w:val="18"/>
              </w:rPr>
              <w:t>Changed By</w:t>
            </w:r>
          </w:p>
        </w:tc>
      </w:tr>
      <w:tr>
        <w:tc>
          <w:tcPr>
            <w:tcW w:type="dxa" w:w="2520"/>
          </w:tcPr>
          <w:p>
            <w:r>
              <w:rPr>
                <w:sz w:val="18"/>
              </w:rPr>
              <w:t>2026-04-02</w:t>
            </w:r>
          </w:p>
        </w:tc>
        <w:tc>
          <w:tcPr>
            <w:tcW w:type="dxa" w:w="2520"/>
          </w:tcPr>
          <w:p>
            <w:r>
              <w:rPr>
                <w:sz w:val="18"/>
              </w:rPr>
              <w:t>VAERS_DATA_MONITORING</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VACCINE_SAFETY_OVERSIGHT_BOARD</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PEDIATRIC_SAFETY_DISCLOSURE_GAP</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GOV.FOUNDER_CRIMINAL_EXPOSURE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BIZ.CHINA_EXPOSURE_DISCLOSURE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GOV.EXPORT_CONTROL_COMPLIANCE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AI_DEVELOPMENT_TIMELINE_DISCLOSURE</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TECH_DEVELOPMENT_VS_MARKETING_HYPE</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2026-04-02</w:t>
            </w:r>
          </w:p>
        </w:tc>
        <w:tc>
          <w:tcPr>
            <w:tcW w:type="dxa" w:w="2520"/>
          </w:tcPr>
          <w:p>
            <w:r>
              <w:rPr>
                <w:sz w:val="18"/>
              </w:rPr>
              <w:t>AI_PROMISE_DISCONNECT</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TECH_DEVELOPMENT_RISK_DISCLOSURE</w:t>
            </w:r>
          </w:p>
        </w:tc>
        <w:tc>
          <w:tcPr>
            <w:tcW w:type="dxa" w:w="2520"/>
          </w:tcPr>
          <w:p>
            <w:r>
              <w:rPr>
                <w:sz w:val="18"/>
              </w:rPr>
              <w:t>Proposed by ingestion of 'blind_spot:AAPL:Apple Inc. (NASDAQ</w:t>
            </w:r>
          </w:p>
        </w:tc>
        <w:tc>
          <w:tcPr>
            <w:tcW w:type="dxa" w:w="2520"/>
          </w:tcPr>
          <w:p>
            <w:r>
              <w:rPr>
                <w:sz w:val="18"/>
              </w:rPr>
              <w:t>ingestion_pipeline</w:t>
            </w:r>
          </w:p>
        </w:tc>
      </w:tr>
    </w:tbl>
    <w:p>
      <w:pPr>
        <w:pStyle w:val="DOHeading3"/>
      </w:pPr>
      <w:r>
        <w:t>Discovery Findings</w:t>
      </w:r>
    </w:p>
    <w:p>
      <w:pPr>
        <w:pStyle w:val="DOBody"/>
      </w:pPr>
      <w:r>
        <w:t>No new discoveries from this run.</w:t>
      </w:r>
    </w:p>
    <w:p>
      <w:pPr>
        <w:pStyle w:val="DOHeading3"/>
      </w:pPr>
      <w:r>
        <w:t>Feedback for XOM</w:t>
      </w:r>
    </w:p>
    <w:p>
      <w:pPr>
        <w:pStyle w:val="DOBody"/>
      </w:pPr>
      <w:r>
        <w:t>No pending feedback for XOM.</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99999"/>
        <w:sz w:val="14"/>
      </w:rPr>
      <w:t>Angry Dolphin Underwriting | Confidential</w:t>
    </w:r>
    <w:r>
      <w:rPr>
        <w:color w:val="999999"/>
        <w:sz w:val="14"/>
      </w:rPr>
      <w:t xml:space="preserve">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A1446"/>
        <w:sz w:val="16"/>
      </w:rPr>
      <w:t>EXXON MOBIL CORP (XOM)</w:t>
    </w:r>
    <w:r>
      <w:rPr>
        <w:color w:val="999999"/>
        <w:sz w:val="16"/>
      </w:rPr>
      <w:t xml:space="preserve">  |  Generated: 2026-04-02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Heading1">
    <w:name w:val="DOHeading1"/>
    <w:pPr>
      <w:keepNext/>
      <w:spacing w:before="480" w:after="160"/>
    </w:pPr>
    <w:rPr>
      <w:rFonts w:ascii="Georgia" w:hAnsi="Georgia"/>
      <w:b/>
      <w:color w:val="1A1446"/>
      <w:sz w:val="40"/>
    </w:rPr>
  </w:style>
  <w:style w:type="paragraph" w:customStyle="1" w:styleId="DOHeading2">
    <w:name w:val="DOHeading2"/>
    <w:pPr>
      <w:keepNext/>
      <w:spacing w:before="280" w:after="80"/>
    </w:pPr>
    <w:rPr>
      <w:rFonts w:ascii="Georgia" w:hAnsi="Georgia"/>
      <w:b/>
      <w:color w:val="1A1446"/>
      <w:sz w:val="28"/>
    </w:rPr>
  </w:style>
  <w:style w:type="paragraph" w:customStyle="1" w:styleId="DOHeading3">
    <w:name w:val="DOHeading3"/>
    <w:pPr>
      <w:keepNext/>
      <w:spacing w:before="200" w:after="60"/>
    </w:pPr>
    <w:rPr>
      <w:rFonts w:ascii="Georgia" w:hAnsi="Georgia"/>
      <w:b/>
      <w:color w:val="1A1446"/>
      <w:sz w:val="24"/>
    </w:rPr>
  </w:style>
  <w:style w:type="paragraph" w:customStyle="1" w:styleId="DOBody">
    <w:name w:val="DOBody"/>
    <w:pPr>
      <w:spacing w:after="80"/>
    </w:pPr>
    <w:rPr>
      <w:rFonts w:ascii="Calibri" w:hAnsi="Calibri"/>
      <w:color w:val="333333"/>
      <w:sz w:val="20"/>
    </w:rPr>
  </w:style>
  <w:style w:type="paragraph" w:customStyle="1" w:styleId="DOCaption">
    <w:name w:val="DOCaption"/>
    <w:pPr>
      <w:spacing w:before="40" w:after="120"/>
    </w:pPr>
    <w:rPr>
      <w:rFonts w:ascii="Calibri" w:hAnsi="Calibri"/>
      <w:color w:val="666666"/>
      <w:sz w:val="18"/>
    </w:rPr>
  </w:style>
  <w:style w:type="paragraph" w:customStyle="1" w:styleId="DOCitation">
    <w:name w:val="DOCitation"/>
    <w:pPr>
      <w:spacing w:after="40"/>
    </w:pPr>
    <w:rPr>
      <w:rFonts w:ascii="Consolas" w:hAnsi="Consola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