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Modern Biotechnology D&amp;O Underwriting Guide</w:t>
      </w:r>
    </w:p>
    <w:p>
      <w:r/>
      <w:r>
        <w:rPr>
          <w:b/>
        </w:rPr>
        <w:t>Prepared by Manus AI</w:t>
      </w:r>
      <w:r/>
    </w:p>
    <w:p>
      <w:r/>
      <w:r>
        <w:rPr>
          <w:b/>
        </w:rPr>
        <w:t>Date: March 2026</w:t>
      </w:r>
      <w:r/>
    </w:p>
    <w:p>
      <w:r>
        <w:t>____________________________________________________________</w:t>
      </w:r>
    </w:p>
    <w:p>
      <w:pPr>
        <w:pStyle w:val="Heading1"/>
      </w:pPr>
      <w:r>
        <w:t>1. Introduction: Business Risk vs. D&amp;O Risk</w:t>
      </w:r>
    </w:p>
    <w:p>
      <w:r>
        <w:t xml:space="preserve">Underwriting Directors and Officers (D&amp;O) liability for the biotechnology sector demands a disciplined separation of two fundamentally different concepts: </w:t>
      </w:r>
      <w:r>
        <w:rPr>
          <w:b/>
        </w:rPr>
        <w:t>business risk</w:t>
      </w:r>
      <w:r>
        <w:t xml:space="preserve"> (the probability that a drug candidate will fail in clinical development) and </w:t>
      </w:r>
      <w:r>
        <w:rPr>
          <w:b/>
        </w:rPr>
        <w:t>D&amp;O risk</w:t>
      </w:r>
      <w:r>
        <w:t xml:space="preserve"> (the probability that a securities fraud claim arising from that failure will survive dismissal and result in a material settlement or judgment).</w:t>
      </w:r>
    </w:p>
    <w:p>
      <w:r>
        <w:t xml:space="preserve">Approximately 90% of investigational drugs fail to reach commercial approval [1]. This statistic has historically driven the perception that biotech companies are inherently high-risk D&amp;O accounts. However, empirical data spanning 2005-2024 demonstrates that while clinical-stage biotech companies are frequent targets of securities class actions (SCAs), they successfully dismiss these claims at rates </w:t>
      </w:r>
      <w:r>
        <w:rPr>
          <w:b/>
        </w:rPr>
        <w:t>significantly above</w:t>
      </w:r>
      <w:r>
        <w:t xml:space="preserve"> the market average. A comprehensive study of 114 development-stage biotech securities cases from 2005-2022 found that approximately </w:t>
      </w:r>
      <w:r>
        <w:rPr>
          <w:b/>
        </w:rPr>
        <w:t>68% were dismissed in full</w:t>
      </w:r>
      <w:r>
        <w:t xml:space="preserve"> at the motion to dismiss stage [2]. In 2024, life sciences companies won dismissal in 59% of district court decisions, and prevailed in all eight appellate decisions [3].</w:t>
      </w:r>
    </w:p>
    <w:p>
      <w:r>
        <w:t xml:space="preserve">The underwriter's task, therefore, is not to assess whether a drug will succeed or fail, but rather to evaluate the </w:t>
      </w:r>
      <w:r>
        <w:rPr>
          <w:b/>
        </w:rPr>
        <w:t>quality of the company's disclosure practices</w:t>
      </w:r>
      <w:r>
        <w:t xml:space="preserve"> and the </w:t>
      </w:r>
      <w:r>
        <w:rPr>
          <w:b/>
        </w:rPr>
        <w:t>structural characteristics</w:t>
      </w:r>
      <w:r>
        <w:t xml:space="preserve"> that determine whether a securities claim, once filed, will survive or be defeated.</w:t>
      </w:r>
    </w:p>
    <w:p>
      <w:r>
        <w:t>____________________________________________________________</w:t>
      </w:r>
    </w:p>
    <w:p>
      <w:pPr>
        <w:pStyle w:val="Heading1"/>
      </w:pPr>
      <w:r>
        <w:t>2. The FDA Regulatory Framework</w:t>
      </w:r>
    </w:p>
    <w:p>
      <w:r>
        <w:t>A precise understanding of the FDA approval process is essential for identifying the timing and nature of stock-moving catalysts within a policy period.</w:t>
      </w:r>
    </w:p>
    <w:p>
      <w:pPr>
        <w:pStyle w:val="Heading2"/>
      </w:pPr>
      <w:r>
        <w:t>2.1 Drug Development Lifecycle</w:t>
      </w:r>
    </w:p>
    <w:p>
      <w:r>
        <w:t>The drug development process follows a defined sequence. Each stage presents distinct risk characteristics for D&amp;O underwriting purposes.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left"/>
            </w:pPr>
            <w:r>
              <w:rPr>
                <w:b/>
                <w:color w:val="FFFFFF"/>
                <w:sz w:val="18"/>
              </w:rPr>
              <w:t>Stage</w:t>
            </w:r>
          </w:p>
        </w:tc>
        <w:tc>
          <w:tcPr>
            <w:tcW w:type="dxa" w:w="2340"/>
            <w:shd w:fill="1F4E79"/>
          </w:tcPr>
          <w:p>
            <w:pPr>
              <w:jc w:val="left"/>
            </w:pPr>
            <w:r>
              <w:rPr>
                <w:b/>
                <w:color w:val="FFFFFF"/>
                <w:sz w:val="18"/>
              </w:rPr>
              <w:t>Description</w:t>
            </w:r>
          </w:p>
        </w:tc>
        <w:tc>
          <w:tcPr>
            <w:tcW w:type="dxa" w:w="2340"/>
            <w:shd w:fill="1F4E79"/>
          </w:tcPr>
          <w:p>
            <w:pPr>
              <w:jc w:val="left"/>
            </w:pPr>
            <w:r>
              <w:rPr>
                <w:b/>
                <w:color w:val="FFFFFF"/>
                <w:sz w:val="18"/>
              </w:rPr>
              <w:t>Typical Duration</w:t>
            </w:r>
          </w:p>
        </w:tc>
        <w:tc>
          <w:tcPr>
            <w:tcW w:type="dxa" w:w="2340"/>
            <w:shd w:fill="1F4E79"/>
          </w:tcPr>
          <w:p>
            <w:pPr>
              <w:jc w:val="left"/>
            </w:pPr>
            <w:r>
              <w:rPr>
                <w:b/>
                <w:color w:val="FFFFFF"/>
                <w:sz w:val="18"/>
              </w:rPr>
              <w:t>D&amp;O Risk Significance</w:t>
            </w:r>
          </w:p>
        </w:tc>
      </w:tr>
      <w:tr>
        <w:tc>
          <w:tcPr>
            <w:tcW w:type="dxa" w:w="2340"/>
          </w:tcPr>
          <w:p>
            <w:r>
              <w:rPr>
                <w:sz w:val="18"/>
              </w:rPr>
              <w:t>Preclinical</w:t>
            </w:r>
          </w:p>
        </w:tc>
        <w:tc>
          <w:tcPr>
            <w:tcW w:type="dxa" w:w="2340"/>
          </w:tcPr>
          <w:p>
            <w:r>
              <w:rPr>
                <w:sz w:val="18"/>
              </w:rPr>
              <w:t>Laboratory and animal studies assessing safety and biological activity</w:t>
            </w:r>
          </w:p>
        </w:tc>
        <w:tc>
          <w:tcPr>
            <w:tcW w:type="dxa" w:w="2340"/>
          </w:tcPr>
          <w:p>
            <w:r>
              <w:rPr>
                <w:sz w:val="18"/>
              </w:rPr>
              <w:t>3-6 years</w:t>
            </w:r>
          </w:p>
        </w:tc>
        <w:tc>
          <w:tcPr>
            <w:tcW w:type="dxa" w:w="2340"/>
          </w:tcPr>
          <w:p>
            <w:r>
              <w:rPr>
                <w:sz w:val="18"/>
              </w:rPr>
              <w:t>Low direct D&amp;O risk; no public market exposure</w:t>
            </w:r>
          </w:p>
        </w:tc>
      </w:tr>
      <w:tr>
        <w:tc>
          <w:tcPr>
            <w:tcW w:type="dxa" w:w="2340"/>
            <w:shd w:fill="E8F0FE"/>
          </w:tcPr>
          <w:p>
            <w:r>
              <w:rPr>
                <w:sz w:val="18"/>
              </w:rPr>
              <w:t>IND Filing</w:t>
            </w:r>
          </w:p>
        </w:tc>
        <w:tc>
          <w:tcPr>
            <w:tcW w:type="dxa" w:w="2340"/>
            <w:shd w:fill="E8F0FE"/>
          </w:tcPr>
          <w:p>
            <w:r>
              <w:rPr>
                <w:sz w:val="18"/>
              </w:rPr>
              <w:t>Investigational New Drug application filed with FDA to begin human trials; effective if not rejected within 30 days</w:t>
            </w:r>
          </w:p>
        </w:tc>
        <w:tc>
          <w:tcPr>
            <w:tcW w:type="dxa" w:w="2340"/>
            <w:shd w:fill="E8F0FE"/>
          </w:tcPr>
          <w:p>
            <w:r>
              <w:rPr>
                <w:sz w:val="18"/>
              </w:rPr>
              <w:t>N/A</w:t>
            </w:r>
          </w:p>
        </w:tc>
        <w:tc>
          <w:tcPr>
            <w:tcW w:type="dxa" w:w="2340"/>
            <w:shd w:fill="E8F0FE"/>
          </w:tcPr>
          <w:p>
            <w:r>
              <w:rPr>
                <w:sz w:val="18"/>
              </w:rPr>
              <w:t>Milestone event; signals transition to clinical stage</w:t>
            </w:r>
          </w:p>
        </w:tc>
      </w:tr>
      <w:tr>
        <w:tc>
          <w:tcPr>
            <w:tcW w:type="dxa" w:w="2340"/>
          </w:tcPr>
          <w:p>
            <w:r>
              <w:rPr>
                <w:sz w:val="18"/>
              </w:rPr>
              <w:t>Phase I</w:t>
            </w:r>
          </w:p>
        </w:tc>
        <w:tc>
          <w:tcPr>
            <w:tcW w:type="dxa" w:w="2340"/>
          </w:tcPr>
          <w:p>
            <w:r>
              <w:rPr>
                <w:sz w:val="18"/>
              </w:rPr>
              <w:t>Safety, tolerability, and pharmacokinetics in 20-100 healthy volunteers or patients</w:t>
            </w:r>
          </w:p>
        </w:tc>
        <w:tc>
          <w:tcPr>
            <w:tcW w:type="dxa" w:w="2340"/>
          </w:tcPr>
          <w:p>
            <w:r>
              <w:rPr>
                <w:sz w:val="18"/>
              </w:rPr>
              <w:t>1-2 years</w:t>
            </w:r>
          </w:p>
        </w:tc>
        <w:tc>
          <w:tcPr>
            <w:tcW w:type="dxa" w:w="2340"/>
          </w:tcPr>
          <w:p>
            <w:r>
              <w:rPr>
                <w:sz w:val="18"/>
              </w:rPr>
              <w:t>Low SCA risk; failures rarely trigger significant stock drops</w:t>
            </w:r>
          </w:p>
        </w:tc>
      </w:tr>
      <w:tr>
        <w:tc>
          <w:tcPr>
            <w:tcW w:type="dxa" w:w="2340"/>
            <w:shd w:fill="E8F0FE"/>
          </w:tcPr>
          <w:p>
            <w:r>
              <w:rPr>
                <w:sz w:val="18"/>
              </w:rPr>
              <w:t>Phase II</w:t>
            </w:r>
          </w:p>
        </w:tc>
        <w:tc>
          <w:tcPr>
            <w:tcW w:type="dxa" w:w="2340"/>
            <w:shd w:fill="E8F0FE"/>
          </w:tcPr>
          <w:p>
            <w:r>
              <w:rPr>
                <w:sz w:val="18"/>
              </w:rPr>
              <w:t>Efficacy and dosing in 100-500 targeted patients; highest failure rate (~70%)</w:t>
            </w:r>
          </w:p>
        </w:tc>
        <w:tc>
          <w:tcPr>
            <w:tcW w:type="dxa" w:w="2340"/>
            <w:shd w:fill="E8F0FE"/>
          </w:tcPr>
          <w:p>
            <w:r>
              <w:rPr>
                <w:sz w:val="18"/>
              </w:rPr>
              <w:t>1-3 years</w:t>
            </w:r>
          </w:p>
        </w:tc>
        <w:tc>
          <w:tcPr>
            <w:tcW w:type="dxa" w:w="2340"/>
            <w:shd w:fill="E8F0FE"/>
          </w:tcPr>
          <w:p>
            <w:r>
              <w:rPr>
                <w:sz w:val="18"/>
              </w:rPr>
              <w:t>Moderate SCA risk; failures can trigger 30-60% stock drops</w:t>
            </w:r>
          </w:p>
        </w:tc>
      </w:tr>
      <w:tr>
        <w:tc>
          <w:tcPr>
            <w:tcW w:type="dxa" w:w="2340"/>
          </w:tcPr>
          <w:p>
            <w:r>
              <w:rPr>
                <w:sz w:val="18"/>
              </w:rPr>
              <w:t>Phase III</w:t>
            </w:r>
          </w:p>
        </w:tc>
        <w:tc>
          <w:tcPr>
            <w:tcW w:type="dxa" w:w="2340"/>
          </w:tcPr>
          <w:p>
            <w:r>
              <w:rPr>
                <w:sz w:val="18"/>
              </w:rPr>
              <w:t>Large-scale confirmation of safety and efficacy in 1,000-5,000+ patients</w:t>
            </w:r>
          </w:p>
        </w:tc>
        <w:tc>
          <w:tcPr>
            <w:tcW w:type="dxa" w:w="2340"/>
          </w:tcPr>
          <w:p>
            <w:r>
              <w:rPr>
                <w:sz w:val="18"/>
              </w:rPr>
              <w:t>2-4 years</w:t>
            </w:r>
          </w:p>
        </w:tc>
        <w:tc>
          <w:tcPr>
            <w:tcW w:type="dxa" w:w="2340"/>
          </w:tcPr>
          <w:p>
            <w:r>
              <w:rPr>
                <w:sz w:val="18"/>
              </w:rPr>
              <w:t>Highest SCA risk; failures trigger the largest stock drops and most filings</w:t>
            </w:r>
          </w:p>
        </w:tc>
      </w:tr>
      <w:tr>
        <w:tc>
          <w:tcPr>
            <w:tcW w:type="dxa" w:w="2340"/>
            <w:shd w:fill="E8F0FE"/>
          </w:tcPr>
          <w:p>
            <w:r>
              <w:rPr>
                <w:sz w:val="18"/>
              </w:rPr>
              <w:t>NDA/BLA Filing</w:t>
            </w:r>
          </w:p>
        </w:tc>
        <w:tc>
          <w:tcPr>
            <w:tcW w:type="dxa" w:w="2340"/>
            <w:shd w:fill="E8F0FE"/>
          </w:tcPr>
          <w:p>
            <w:r>
              <w:rPr>
                <w:sz w:val="18"/>
              </w:rPr>
              <w:t>New Drug Application or Biologics License Application submitted after successful Phase III</w:t>
            </w:r>
          </w:p>
        </w:tc>
        <w:tc>
          <w:tcPr>
            <w:tcW w:type="dxa" w:w="2340"/>
            <w:shd w:fill="E8F0FE"/>
          </w:tcPr>
          <w:p>
            <w:r>
              <w:rPr>
                <w:sz w:val="18"/>
              </w:rPr>
              <w:t>N/A</w:t>
            </w:r>
          </w:p>
        </w:tc>
        <w:tc>
          <w:tcPr>
            <w:tcW w:type="dxa" w:w="2340"/>
            <w:shd w:fill="E8F0FE"/>
          </w:tcPr>
          <w:p>
            <w:r>
              <w:rPr>
                <w:sz w:val="18"/>
              </w:rPr>
              <w:t>High-profile catalyst; market expectations are elevated</w:t>
            </w:r>
          </w:p>
        </w:tc>
      </w:tr>
      <w:tr>
        <w:tc>
          <w:tcPr>
            <w:tcW w:type="dxa" w:w="2340"/>
          </w:tcPr>
          <w:p>
            <w:r>
              <w:rPr>
                <w:sz w:val="18"/>
              </w:rPr>
              <w:t>FDA Review</w:t>
            </w:r>
          </w:p>
        </w:tc>
        <w:tc>
          <w:tcPr>
            <w:tcW w:type="dxa" w:w="2340"/>
          </w:tcPr>
          <w:p>
            <w:r>
              <w:rPr>
                <w:sz w:val="18"/>
              </w:rPr>
              <w:t>Standard Review: 10 months; Priority Review: 6 months</w:t>
            </w:r>
          </w:p>
        </w:tc>
        <w:tc>
          <w:tcPr>
            <w:tcW w:type="dxa" w:w="2340"/>
          </w:tcPr>
          <w:p>
            <w:r>
              <w:rPr>
                <w:sz w:val="18"/>
              </w:rPr>
              <w:t>6-10 months</w:t>
            </w:r>
          </w:p>
        </w:tc>
        <w:tc>
          <w:tcPr>
            <w:tcW w:type="dxa" w:w="2340"/>
          </w:tcPr>
          <w:p>
            <w:r>
              <w:rPr>
                <w:sz w:val="18"/>
              </w:rPr>
              <w:t>PDUFA date is a known, binary catalyst</w:t>
            </w:r>
          </w:p>
        </w:tc>
      </w:tr>
      <w:tr>
        <w:tc>
          <w:tcPr>
            <w:tcW w:type="dxa" w:w="2340"/>
            <w:shd w:fill="E8F0FE"/>
          </w:tcPr>
          <w:p>
            <w:r>
              <w:rPr>
                <w:sz w:val="18"/>
              </w:rPr>
              <w:t>AdCom Meeting</w:t>
            </w:r>
          </w:p>
        </w:tc>
        <w:tc>
          <w:tcPr>
            <w:tcW w:type="dxa" w:w="2340"/>
            <w:shd w:fill="E8F0FE"/>
          </w:tcPr>
          <w:p>
            <w:r>
              <w:rPr>
                <w:sz w:val="18"/>
              </w:rPr>
              <w:t>FDA Advisory Committee vote (non-binding recommendation)</w:t>
            </w:r>
          </w:p>
        </w:tc>
        <w:tc>
          <w:tcPr>
            <w:tcW w:type="dxa" w:w="2340"/>
            <w:shd w:fill="E8F0FE"/>
          </w:tcPr>
          <w:p>
            <w:r>
              <w:rPr>
                <w:sz w:val="18"/>
              </w:rPr>
              <w:t>Occurs during review</w:t>
            </w:r>
          </w:p>
        </w:tc>
        <w:tc>
          <w:tcPr>
            <w:tcW w:type="dxa" w:w="2340"/>
            <w:shd w:fill="E8F0FE"/>
          </w:tcPr>
          <w:p>
            <w:r>
              <w:rPr>
                <w:sz w:val="18"/>
              </w:rPr>
              <w:t>Public, binary event; can trigger 30-50%+ stock moves</w:t>
            </w:r>
          </w:p>
        </w:tc>
      </w:tr>
      <w:tr>
        <w:tc>
          <w:tcPr>
            <w:tcW w:type="dxa" w:w="2340"/>
          </w:tcPr>
          <w:p>
            <w:r>
              <w:rPr>
                <w:sz w:val="18"/>
              </w:rPr>
              <w:t>Approval / CRL</w:t>
            </w:r>
          </w:p>
        </w:tc>
        <w:tc>
          <w:tcPr>
            <w:tcW w:type="dxa" w:w="2340"/>
          </w:tcPr>
          <w:p>
            <w:r>
              <w:rPr>
                <w:sz w:val="18"/>
              </w:rPr>
              <w:t>FDA issues approval or Complete Response Letter (rejection)</w:t>
            </w:r>
          </w:p>
        </w:tc>
        <w:tc>
          <w:tcPr>
            <w:tcW w:type="dxa" w:w="2340"/>
          </w:tcPr>
          <w:p>
            <w:r>
              <w:rPr>
                <w:sz w:val="18"/>
              </w:rPr>
              <w:t>End of review</w:t>
            </w:r>
          </w:p>
        </w:tc>
        <w:tc>
          <w:tcPr>
            <w:tcW w:type="dxa" w:w="2340"/>
          </w:tcPr>
          <w:p>
            <w:r>
              <w:rPr>
                <w:sz w:val="18"/>
              </w:rPr>
              <w:t>Terminal catalyst; CRL triggers severe stock decline</w:t>
            </w:r>
          </w:p>
        </w:tc>
      </w:tr>
    </w:tbl>
    <w:p/>
    <w:p>
      <w:pPr>
        <w:pStyle w:val="Heading2"/>
      </w:pPr>
      <w:r>
        <w:t>2.2 Key Regulatory Distinctions</w:t>
      </w:r>
    </w:p>
    <w:p>
      <w:r/>
      <w:r>
        <w:rPr>
          <w:b/>
        </w:rPr>
        <w:t>IND vs. NDA:</w:t>
      </w:r>
      <w:r>
        <w:t xml:space="preserve"> An IND is filed </w:t>
      </w:r>
      <w:r>
        <w:rPr>
          <w:i/>
        </w:rPr>
        <w:t>before</w:t>
      </w:r>
      <w:r>
        <w:t xml:space="preserve"> clinical trials to request permission to test in humans. An NDA is filed </w:t>
      </w:r>
      <w:r>
        <w:rPr>
          <w:i/>
        </w:rPr>
        <w:t>after</w:t>
      </w:r>
      <w:r>
        <w:t xml:space="preserve"> successful clinical trials to request commercial marketing approval. Confusing these two filings leads to a fundamental misassessment of a company's position in the development pipeline.</w:t>
      </w:r>
    </w:p>
    <w:p>
      <w:r/>
      <w:r>
        <w:rPr>
          <w:b/>
        </w:rPr>
        <w:t>Standard vs. Priority Review:</w:t>
      </w:r>
      <w:r>
        <w:t xml:space="preserve"> Under PDUFA, the default review period is 10 months. Priority Review (6 months) is granted only for drugs treating serious conditions that represent a significant improvement over existing therapies [4]. The review designation determines the PDUFA goal date, which is the single most important known catalyst date for D&amp;O underwriting purposes.</w:t>
      </w:r>
    </w:p>
    <w:p>
      <w:r/>
      <w:r>
        <w:rPr>
          <w:b/>
        </w:rPr>
        <w:t>Accelerated Pathways:</w:t>
      </w:r>
      <w:r>
        <w:t xml:space="preserve"> The FDA offers several expedited programs (Fast Track, Breakthrough Therapy, Accelerated Approval, Priority Review) that can shorten development timelines. Companies with Breakthrough Therapy Designation receive more intensive FDA guidance, which can be both a positive (faster path) and a risk factor (if the company over-characterizes the FDA's engagement).</w:t>
      </w:r>
    </w:p>
    <w:p>
      <w:pPr>
        <w:pStyle w:val="Heading2"/>
      </w:pPr>
      <w:r>
        <w:t>2.3 Biologics and Biosimilars</w:t>
      </w:r>
    </w:p>
    <w:p>
      <w:r>
        <w:t>For biologic products (large-molecule drugs derived from living cells), the approval pathway is governed by the Biologics License Application (BLA) rather than the NDA. The Biologics Price Competition and Innovation Act (BPCIA) of 2009 created an abbreviated approval pathway for biosimilar products, analogous to the Hatch-Waxman Act for generic small-molecule drugs. The BPCIA's "patent dance" litigation process is a growing source of securities exposure for both innovator companies (facing biosimilar competition) and biosimilar applicants (facing patent infringement claims).</w:t>
      </w:r>
    </w:p>
    <w:p>
      <w:r>
        <w:t>____________________________________________________________</w:t>
      </w:r>
    </w:p>
    <w:p>
      <w:pPr>
        <w:pStyle w:val="Heading1"/>
      </w:pPr>
      <w:r>
        <w:t>3. Securities Litigation Landscape: What the Data Shows</w:t>
      </w:r>
    </w:p>
    <w:p>
      <w:pPr>
        <w:pStyle w:val="Heading2"/>
      </w:pPr>
      <w:r>
        <w:t>3.1 Filing Trends</w:t>
      </w:r>
    </w:p>
    <w:p>
      <w:r>
        <w:t xml:space="preserve">Life sciences companies consistently represent the largest single sector for federal securities class action filings. In 2024, there were </w:t>
      </w:r>
      <w:r>
        <w:rPr>
          <w:b/>
        </w:rPr>
        <w:t>52 filed securities class actions</w:t>
      </w:r>
      <w:r>
        <w:t xml:space="preserve"> against life sciences companies, up from 40 in 2023 and 40% higher than the long-run average from 1997-2023 [5]. This increase was driven entirely by Section 10(b) claims under the Securities Exchange Act of 1934.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left"/>
            </w:pPr>
            <w:r>
              <w:rPr>
                <w:b/>
                <w:color w:val="FFFFFF"/>
                <w:sz w:val="18"/>
              </w:rPr>
              <w:t>Year</w:t>
            </w:r>
          </w:p>
        </w:tc>
        <w:tc>
          <w:tcPr>
            <w:tcW w:type="dxa" w:w="2340"/>
            <w:shd w:fill="1F4E79"/>
          </w:tcPr>
          <w:p>
            <w:pPr>
              <w:jc w:val="left"/>
            </w:pPr>
            <w:r>
              <w:rPr>
                <w:b/>
                <w:color w:val="FFFFFF"/>
                <w:sz w:val="18"/>
              </w:rPr>
              <w:t>Life Sciences SCA Filings</w:t>
            </w:r>
          </w:p>
        </w:tc>
        <w:tc>
          <w:tcPr>
            <w:tcW w:type="dxa" w:w="2340"/>
            <w:shd w:fill="1F4E79"/>
          </w:tcPr>
          <w:p>
            <w:pPr>
              <w:jc w:val="left"/>
            </w:pPr>
            <w:r>
              <w:rPr>
                <w:b/>
                <w:color w:val="FFFFFF"/>
                <w:sz w:val="18"/>
              </w:rPr>
              <w:t>Total Core SCA Filings</w:t>
            </w:r>
          </w:p>
        </w:tc>
        <w:tc>
          <w:tcPr>
            <w:tcW w:type="dxa" w:w="2340"/>
            <w:shd w:fill="1F4E79"/>
          </w:tcPr>
          <w:p>
            <w:pPr>
              <w:jc w:val="left"/>
            </w:pPr>
            <w:r>
              <w:rPr>
                <w:b/>
                <w:color w:val="FFFFFF"/>
                <w:sz w:val="18"/>
              </w:rPr>
              <w:t>Life Sciences Share</w:t>
            </w:r>
          </w:p>
        </w:tc>
      </w:tr>
      <w:tr>
        <w:tc>
          <w:tcPr>
            <w:tcW w:type="dxa" w:w="2340"/>
          </w:tcPr>
          <w:p>
            <w:r>
              <w:rPr>
                <w:sz w:val="18"/>
              </w:rPr>
              <w:t>2024</w:t>
            </w:r>
          </w:p>
        </w:tc>
        <w:tc>
          <w:tcPr>
            <w:tcW w:type="dxa" w:w="2340"/>
          </w:tcPr>
          <w:p>
            <w:r>
              <w:rPr>
                <w:sz w:val="18"/>
              </w:rPr>
              <w:t>52</w:t>
            </w:r>
          </w:p>
        </w:tc>
        <w:tc>
          <w:tcPr>
            <w:tcW w:type="dxa" w:w="2340"/>
          </w:tcPr>
          <w:p>
            <w:r>
              <w:rPr>
                <w:sz w:val="18"/>
              </w:rPr>
              <w:t>220</w:t>
            </w:r>
          </w:p>
        </w:tc>
        <w:tc>
          <w:tcPr>
            <w:tcW w:type="dxa" w:w="2340"/>
          </w:tcPr>
          <w:p>
            <w:r>
              <w:rPr>
                <w:sz w:val="18"/>
              </w:rPr>
              <w:t>~24%</w:t>
            </w:r>
          </w:p>
        </w:tc>
      </w:tr>
      <w:tr>
        <w:tc>
          <w:tcPr>
            <w:tcW w:type="dxa" w:w="2340"/>
            <w:shd w:fill="E8F0FE"/>
          </w:tcPr>
          <w:p>
            <w:r>
              <w:rPr>
                <w:sz w:val="18"/>
              </w:rPr>
              <w:t>2023</w:t>
            </w:r>
          </w:p>
        </w:tc>
        <w:tc>
          <w:tcPr>
            <w:tcW w:type="dxa" w:w="2340"/>
            <w:shd w:fill="E8F0FE"/>
          </w:tcPr>
          <w:p>
            <w:r>
              <w:rPr>
                <w:sz w:val="18"/>
              </w:rPr>
              <w:t>40</w:t>
            </w:r>
          </w:p>
        </w:tc>
        <w:tc>
          <w:tcPr>
            <w:tcW w:type="dxa" w:w="2340"/>
            <w:shd w:fill="E8F0FE"/>
          </w:tcPr>
          <w:p>
            <w:r>
              <w:rPr>
                <w:sz w:val="18"/>
              </w:rPr>
              <w:t>209</w:t>
            </w:r>
          </w:p>
        </w:tc>
        <w:tc>
          <w:tcPr>
            <w:tcW w:type="dxa" w:w="2340"/>
            <w:shd w:fill="E8F0FE"/>
          </w:tcPr>
          <w:p>
            <w:r>
              <w:rPr>
                <w:sz w:val="18"/>
              </w:rPr>
              <w:t>~19%</w:t>
            </w:r>
          </w:p>
        </w:tc>
      </w:tr>
      <w:tr>
        <w:tc>
          <w:tcPr>
            <w:tcW w:type="dxa" w:w="2340"/>
          </w:tcPr>
          <w:p>
            <w:r>
              <w:rPr>
                <w:sz w:val="18"/>
              </w:rPr>
              <w:t>2022</w:t>
            </w:r>
          </w:p>
        </w:tc>
        <w:tc>
          <w:tcPr>
            <w:tcW w:type="dxa" w:w="2340"/>
          </w:tcPr>
          <w:p>
            <w:r>
              <w:rPr>
                <w:sz w:val="18"/>
              </w:rPr>
              <w:t>40</w:t>
            </w:r>
          </w:p>
        </w:tc>
        <w:tc>
          <w:tcPr>
            <w:tcW w:type="dxa" w:w="2340"/>
          </w:tcPr>
          <w:p>
            <w:r>
              <w:rPr>
                <w:sz w:val="18"/>
              </w:rPr>
              <w:t>~200</w:t>
            </w:r>
          </w:p>
        </w:tc>
        <w:tc>
          <w:tcPr>
            <w:tcW w:type="dxa" w:w="2340"/>
          </w:tcPr>
          <w:p>
            <w:r>
              <w:rPr>
                <w:sz w:val="18"/>
              </w:rPr>
              <w:t>~20%</w:t>
            </w:r>
          </w:p>
        </w:tc>
      </w:tr>
    </w:tbl>
    <w:p/>
    <w:p>
      <w:pPr>
        <w:pStyle w:val="Heading2"/>
      </w:pPr>
      <w:r>
        <w:t>3.2 Allegation Types</w:t>
      </w:r>
    </w:p>
    <w:p>
      <w:r>
        <w:t>According to WTW's 2025 analysis of life sciences SCA complaints [3]:</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left"/>
            </w:pPr>
            <w:r>
              <w:rPr>
                <w:b/>
                <w:color w:val="FFFFFF"/>
                <w:sz w:val="18"/>
              </w:rPr>
              <w:t>Allegation Category</w:t>
            </w:r>
          </w:p>
        </w:tc>
        <w:tc>
          <w:tcPr>
            <w:tcW w:type="dxa" w:w="3120"/>
            <w:shd w:fill="1F4E79"/>
          </w:tcPr>
          <w:p>
            <w:pPr>
              <w:jc w:val="left"/>
            </w:pPr>
            <w:r>
              <w:rPr>
                <w:b/>
                <w:color w:val="FFFFFF"/>
                <w:sz w:val="18"/>
              </w:rPr>
              <w:t>Frequency</w:t>
            </w:r>
          </w:p>
        </w:tc>
        <w:tc>
          <w:tcPr>
            <w:tcW w:type="dxa" w:w="3120"/>
            <w:shd w:fill="1F4E79"/>
          </w:tcPr>
          <w:p>
            <w:pPr>
              <w:jc w:val="left"/>
            </w:pPr>
            <w:r>
              <w:rPr>
                <w:b/>
                <w:color w:val="FFFFFF"/>
                <w:sz w:val="18"/>
              </w:rPr>
              <w:t>Examples</w:t>
            </w:r>
          </w:p>
        </w:tc>
      </w:tr>
      <w:tr>
        <w:tc>
          <w:tcPr>
            <w:tcW w:type="dxa" w:w="3120"/>
          </w:tcPr>
          <w:p>
            <w:r>
              <w:rPr>
                <w:sz w:val="18"/>
              </w:rPr>
              <w:t>Product efficacy/safety misrepresentations</w:t>
            </w:r>
          </w:p>
        </w:tc>
        <w:tc>
          <w:tcPr>
            <w:tcW w:type="dxa" w:w="3120"/>
          </w:tcPr>
          <w:p>
            <w:r>
              <w:rPr>
                <w:sz w:val="18"/>
              </w:rPr>
              <w:t>52%</w:t>
            </w:r>
          </w:p>
        </w:tc>
        <w:tc>
          <w:tcPr>
            <w:tcW w:type="dxa" w:w="3120"/>
          </w:tcPr>
          <w:p>
            <w:r>
              <w:rPr>
                <w:sz w:val="18"/>
              </w:rPr>
              <w:t>Overstating clinical trial results, minimizing adverse events</w:t>
            </w:r>
          </w:p>
        </w:tc>
      </w:tr>
      <w:tr>
        <w:tc>
          <w:tcPr>
            <w:tcW w:type="dxa" w:w="3120"/>
            <w:shd w:fill="E8F0FE"/>
          </w:tcPr>
          <w:p>
            <w:r>
              <w:rPr>
                <w:sz w:val="18"/>
              </w:rPr>
              <w:t>Regulatory hurdle misrepresentations</w:t>
            </w:r>
          </w:p>
        </w:tc>
        <w:tc>
          <w:tcPr>
            <w:tcW w:type="dxa" w:w="3120"/>
            <w:shd w:fill="E8F0FE"/>
          </w:tcPr>
          <w:p>
            <w:r>
              <w:rPr>
                <w:sz w:val="18"/>
              </w:rPr>
              <w:t>34%</w:t>
            </w:r>
          </w:p>
        </w:tc>
        <w:tc>
          <w:tcPr>
            <w:tcW w:type="dxa" w:w="3120"/>
            <w:shd w:fill="E8F0FE"/>
          </w:tcPr>
          <w:p>
            <w:r>
              <w:rPr>
                <w:sz w:val="18"/>
              </w:rPr>
              <w:t>Mischaracterizing FDA feedback, timing of approval</w:t>
            </w:r>
          </w:p>
        </w:tc>
      </w:tr>
      <w:tr>
        <w:tc>
          <w:tcPr>
            <w:tcW w:type="dxa" w:w="3120"/>
          </w:tcPr>
          <w:p>
            <w:r>
              <w:rPr>
                <w:sz w:val="18"/>
              </w:rPr>
              <w:t>Financial reporting misrepresentations</w:t>
            </w:r>
          </w:p>
        </w:tc>
        <w:tc>
          <w:tcPr>
            <w:tcW w:type="dxa" w:w="3120"/>
          </w:tcPr>
          <w:p>
            <w:r>
              <w:rPr>
                <w:sz w:val="18"/>
              </w:rPr>
              <w:t>34%</w:t>
            </w:r>
          </w:p>
        </w:tc>
        <w:tc>
          <w:tcPr>
            <w:tcW w:type="dxa" w:w="3120"/>
          </w:tcPr>
          <w:p>
            <w:r>
              <w:rPr>
                <w:sz w:val="18"/>
              </w:rPr>
              <w:t>Revenue recognition, accounting irregularities</w:t>
            </w:r>
          </w:p>
        </w:tc>
      </w:tr>
      <w:tr>
        <w:tc>
          <w:tcPr>
            <w:tcW w:type="dxa" w:w="3120"/>
            <w:shd w:fill="E8F0FE"/>
          </w:tcPr>
          <w:p>
            <w:r>
              <w:rPr>
                <w:sz w:val="18"/>
              </w:rPr>
              <w:t>Transaction-related misrepresentations</w:t>
            </w:r>
          </w:p>
        </w:tc>
        <w:tc>
          <w:tcPr>
            <w:tcW w:type="dxa" w:w="3120"/>
            <w:shd w:fill="E8F0FE"/>
          </w:tcPr>
          <w:p>
            <w:r>
              <w:rPr>
                <w:sz w:val="18"/>
              </w:rPr>
              <w:t>20%</w:t>
            </w:r>
          </w:p>
        </w:tc>
        <w:tc>
          <w:tcPr>
            <w:tcW w:type="dxa" w:w="3120"/>
            <w:shd w:fill="E8F0FE"/>
          </w:tcPr>
          <w:p>
            <w:r>
              <w:rPr>
                <w:sz w:val="18"/>
              </w:rPr>
              <w:t>IPO/M&amp;A disclosures</w:t>
            </w:r>
          </w:p>
        </w:tc>
      </w:tr>
    </w:tbl>
    <w:p/>
    <w:p>
      <w:r>
        <w:t xml:space="preserve">Notably, 57% of SCAs relate to the </w:t>
      </w:r>
      <w:r>
        <w:rPr>
          <w:b/>
        </w:rPr>
        <w:t>pre-approval phase</w:t>
      </w:r>
      <w:r>
        <w:t xml:space="preserve"> of the product lifecycle, while 43% relate to </w:t>
      </w:r>
      <w:r>
        <w:rPr>
          <w:b/>
        </w:rPr>
        <w:t>post-approval</w:t>
      </w:r>
      <w:r>
        <w:t xml:space="preserve"> issues (regulatory problems, sales performance, financial reporting) [3].</w:t>
      </w:r>
    </w:p>
    <w:p>
      <w:pPr>
        <w:pStyle w:val="Heading2"/>
      </w:pPr>
      <w:r>
        <w:t>3.3 Dismissal Rates</w:t>
      </w:r>
    </w:p>
    <w:p>
      <w:r>
        <w:t>Life sciences companies maintain strong dismissal rates at the pleadings stage, though rates fluctuate year to year: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left"/>
            </w:pPr>
            <w:r>
              <w:rPr>
                <w:b/>
                <w:color w:val="FFFFFF"/>
                <w:sz w:val="18"/>
              </w:rPr>
              <w:t>Year</w:t>
            </w:r>
          </w:p>
        </w:tc>
        <w:tc>
          <w:tcPr>
            <w:tcW w:type="dxa" w:w="2340"/>
            <w:shd w:fill="1F4E79"/>
          </w:tcPr>
          <w:p>
            <w:pPr>
              <w:jc w:val="left"/>
            </w:pPr>
            <w:r>
              <w:rPr>
                <w:b/>
                <w:color w:val="FFFFFF"/>
                <w:sz w:val="18"/>
              </w:rPr>
              <w:t>District Court Decisions</w:t>
            </w:r>
          </w:p>
        </w:tc>
        <w:tc>
          <w:tcPr>
            <w:tcW w:type="dxa" w:w="2340"/>
            <w:shd w:fill="1F4E79"/>
          </w:tcPr>
          <w:p>
            <w:pPr>
              <w:jc w:val="left"/>
            </w:pPr>
            <w:r>
              <w:rPr>
                <w:b/>
                <w:color w:val="FFFFFF"/>
                <w:sz w:val="18"/>
              </w:rPr>
              <w:t>Dismissal Rate</w:t>
            </w:r>
          </w:p>
        </w:tc>
        <w:tc>
          <w:tcPr>
            <w:tcW w:type="dxa" w:w="2340"/>
            <w:shd w:fill="1F4E79"/>
          </w:tcPr>
          <w:p>
            <w:pPr>
              <w:jc w:val="left"/>
            </w:pPr>
            <w:r>
              <w:rPr>
                <w:b/>
                <w:color w:val="FFFFFF"/>
                <w:sz w:val="18"/>
              </w:rPr>
              <w:t>Source</w:t>
            </w:r>
          </w:p>
        </w:tc>
      </w:tr>
      <w:tr>
        <w:tc>
          <w:tcPr>
            <w:tcW w:type="dxa" w:w="2340"/>
          </w:tcPr>
          <w:p>
            <w:r>
              <w:rPr>
                <w:sz w:val="18"/>
              </w:rPr>
              <w:t>2024</w:t>
            </w:r>
          </w:p>
        </w:tc>
        <w:tc>
          <w:tcPr>
            <w:tcW w:type="dxa" w:w="2340"/>
          </w:tcPr>
          <w:p>
            <w:r>
              <w:rPr>
                <w:sz w:val="18"/>
              </w:rPr>
              <w:t>41</w:t>
            </w:r>
          </w:p>
        </w:tc>
        <w:tc>
          <w:tcPr>
            <w:tcW w:type="dxa" w:w="2340"/>
          </w:tcPr>
          <w:p>
            <w:r>
              <w:rPr>
                <w:sz w:val="18"/>
              </w:rPr>
              <w:t>59%</w:t>
            </w:r>
          </w:p>
        </w:tc>
        <w:tc>
          <w:tcPr>
            <w:tcW w:type="dxa" w:w="2340"/>
          </w:tcPr>
          <w:p>
            <w:r>
              <w:rPr>
                <w:sz w:val="18"/>
              </w:rPr>
              <w:t>WTW/Sidley</w:t>
            </w:r>
          </w:p>
        </w:tc>
      </w:tr>
      <w:tr>
        <w:tc>
          <w:tcPr>
            <w:tcW w:type="dxa" w:w="2340"/>
            <w:shd w:fill="E8F0FE"/>
          </w:tcPr>
          <w:p>
            <w:r>
              <w:rPr>
                <w:sz w:val="18"/>
              </w:rPr>
              <w:t>2023</w:t>
            </w:r>
          </w:p>
        </w:tc>
        <w:tc>
          <w:tcPr>
            <w:tcW w:type="dxa" w:w="2340"/>
            <w:shd w:fill="E8F0FE"/>
          </w:tcPr>
          <w:p>
            <w:r>
              <w:rPr>
                <w:sz w:val="18"/>
              </w:rPr>
              <w:t>25</w:t>
            </w:r>
          </w:p>
        </w:tc>
        <w:tc>
          <w:tcPr>
            <w:tcW w:type="dxa" w:w="2340"/>
            <w:shd w:fill="E8F0FE"/>
          </w:tcPr>
          <w:p>
            <w:r>
              <w:rPr>
                <w:sz w:val="18"/>
              </w:rPr>
              <w:t>68%</w:t>
            </w:r>
          </w:p>
        </w:tc>
        <w:tc>
          <w:tcPr>
            <w:tcW w:type="dxa" w:w="2340"/>
            <w:shd w:fill="E8F0FE"/>
          </w:tcPr>
          <w:p>
            <w:r>
              <w:rPr>
                <w:sz w:val="18"/>
              </w:rPr>
              <w:t>WTW/Sidley</w:t>
            </w:r>
          </w:p>
        </w:tc>
      </w:tr>
      <w:tr>
        <w:tc>
          <w:tcPr>
            <w:tcW w:type="dxa" w:w="2340"/>
          </w:tcPr>
          <w:p>
            <w:r>
              <w:rPr>
                <w:sz w:val="18"/>
              </w:rPr>
              <w:t>2022</w:t>
            </w:r>
          </w:p>
        </w:tc>
        <w:tc>
          <w:tcPr>
            <w:tcW w:type="dxa" w:w="2340"/>
          </w:tcPr>
          <w:p>
            <w:r>
              <w:rPr>
                <w:sz w:val="18"/>
              </w:rPr>
              <w:t>29</w:t>
            </w:r>
          </w:p>
        </w:tc>
        <w:tc>
          <w:tcPr>
            <w:tcW w:type="dxa" w:w="2340"/>
          </w:tcPr>
          <w:p>
            <w:r>
              <w:rPr>
                <w:sz w:val="18"/>
              </w:rPr>
              <w:t>52%</w:t>
            </w:r>
          </w:p>
        </w:tc>
        <w:tc>
          <w:tcPr>
            <w:tcW w:type="dxa" w:w="2340"/>
          </w:tcPr>
          <w:p>
            <w:r>
              <w:rPr>
                <w:sz w:val="18"/>
              </w:rPr>
              <w:t>WTW/Sidley</w:t>
            </w:r>
          </w:p>
        </w:tc>
      </w:tr>
      <w:tr>
        <w:tc>
          <w:tcPr>
            <w:tcW w:type="dxa" w:w="2340"/>
            <w:shd w:fill="E8F0FE"/>
          </w:tcPr>
          <w:p>
            <w:r>
              <w:rPr>
                <w:sz w:val="18"/>
              </w:rPr>
              <w:t>2021</w:t>
            </w:r>
          </w:p>
        </w:tc>
        <w:tc>
          <w:tcPr>
            <w:tcW w:type="dxa" w:w="2340"/>
            <w:shd w:fill="E8F0FE"/>
          </w:tcPr>
          <w:p>
            <w:r>
              <w:rPr>
                <w:sz w:val="18"/>
              </w:rPr>
              <w:t>33</w:t>
            </w:r>
          </w:p>
        </w:tc>
        <w:tc>
          <w:tcPr>
            <w:tcW w:type="dxa" w:w="2340"/>
            <w:shd w:fill="E8F0FE"/>
          </w:tcPr>
          <w:p>
            <w:r>
              <w:rPr>
                <w:sz w:val="18"/>
              </w:rPr>
              <w:t>58%</w:t>
            </w:r>
          </w:p>
        </w:tc>
        <w:tc>
          <w:tcPr>
            <w:tcW w:type="dxa" w:w="2340"/>
            <w:shd w:fill="E8F0FE"/>
          </w:tcPr>
          <w:p>
            <w:r>
              <w:rPr>
                <w:sz w:val="18"/>
              </w:rPr>
              <w:t>WTW/Sidley</w:t>
            </w:r>
          </w:p>
        </w:tc>
      </w:tr>
      <w:tr>
        <w:tc>
          <w:tcPr>
            <w:tcW w:type="dxa" w:w="2340"/>
          </w:tcPr>
          <w:p>
            <w:r>
              <w:rPr>
                <w:sz w:val="18"/>
              </w:rPr>
              <w:t>2005-2022 (dev-stage biotech only)</w:t>
            </w:r>
          </w:p>
        </w:tc>
        <w:tc>
          <w:tcPr>
            <w:tcW w:type="dxa" w:w="2340"/>
          </w:tcPr>
          <w:p>
            <w:r>
              <w:rPr>
                <w:sz w:val="18"/>
              </w:rPr>
              <w:t>114</w:t>
            </w:r>
          </w:p>
        </w:tc>
        <w:tc>
          <w:tcPr>
            <w:tcW w:type="dxa" w:w="2340"/>
          </w:tcPr>
          <w:p>
            <w:r>
              <w:rPr>
                <w:sz w:val="18"/>
              </w:rPr>
              <w:t>~68%</w:t>
            </w:r>
          </w:p>
        </w:tc>
        <w:tc>
          <w:tcPr>
            <w:tcW w:type="dxa" w:w="2340"/>
          </w:tcPr>
          <w:p>
            <w:r>
              <w:rPr>
                <w:sz w:val="18"/>
              </w:rPr>
              <w:t>BakerHostetler/PLUS</w:t>
            </w:r>
          </w:p>
        </w:tc>
      </w:tr>
    </w:tbl>
    <w:p/>
    <w:p>
      <w:r>
        <w:t xml:space="preserve">In 2024, companies also prevailed in </w:t>
      </w:r>
      <w:r>
        <w:rPr>
          <w:b/>
        </w:rPr>
        <w:t>all eight</w:t>
      </w:r>
      <w:r>
        <w:t xml:space="preserve"> appellate-level decisions [3].</w:t>
      </w:r>
    </w:p>
    <w:p>
      <w:pPr>
        <w:pStyle w:val="Heading2"/>
      </w:pPr>
      <w:r>
        <w:t>3.4 Settlement Data</w:t>
      </w:r>
    </w:p>
    <w:p>
      <w:r>
        <w:t xml:space="preserve">According to Cornerstone Research, the median securities class action settlement reached a nearly three-decade high of </w:t>
      </w:r>
      <w:r>
        <w:rPr>
          <w:b/>
        </w:rPr>
        <w:t>$17.3 million</w:t>
      </w:r>
      <w:r>
        <w:t xml:space="preserve"> in 2025, while total settlement value was $3.0 billion across 74 settlements [6]. Life sciences settlements tend to cluster in the $5-25 million range for clinical-stage companies, with significantly larger settlements reserved for mature-product cases involving financial reporting fraud or widespread marketing misconduct.</w:t>
      </w:r>
    </w:p>
    <w:p>
      <w:r>
        <w:t>____________________________________________________________</w:t>
      </w:r>
    </w:p>
    <w:p>
      <w:pPr>
        <w:pStyle w:val="Heading1"/>
      </w:pPr>
      <w:r>
        <w:t>4. The Legal Defense Framework</w:t>
      </w:r>
    </w:p>
    <w:p>
      <w:r>
        <w:t>Understanding the legal defenses available to biotech companies is essential for assessing the likelihood that a filed claim will survive to settlement.</w:t>
      </w:r>
    </w:p>
    <w:p>
      <w:pPr>
        <w:pStyle w:val="Heading2"/>
      </w:pPr>
      <w:r>
        <w:t>4.1 Scienter (Intent to Defraud)</w:t>
      </w:r>
    </w:p>
    <w:p>
      <w:r>
        <w:t xml:space="preserve">For Section 10(b) / Rule 10b-5 claims, plaintiffs must plead facts giving rise to a "strong inference" of scienter. In the biotech context, this is the primary battleground. Courts generally recognize that clinical trial outcomes are inherently uncertain, making it difficult to infer that executives </w:t>
      </w:r>
      <w:r>
        <w:rPr>
          <w:i/>
        </w:rPr>
        <w:t>knew</w:t>
      </w:r>
      <w:r>
        <w:t xml:space="preserve"> a trial would fail when they made optimistic statements. The key question is whether there is evidence of </w:t>
      </w:r>
      <w:r>
        <w:rPr>
          <w:b/>
        </w:rPr>
        <w:t>conscious misbehavior or recklessness</w:t>
      </w:r>
      <w:r>
        <w:t>, not merely poor business judgment [2].</w:t>
      </w:r>
    </w:p>
    <w:p>
      <w:pPr>
        <w:pStyle w:val="Heading2"/>
      </w:pPr>
      <w:r>
        <w:t>4.2 Omnicare: The Opinion Shield (2015)</w:t>
      </w:r>
    </w:p>
    <w:p>
      <w:r>
        <w:t xml:space="preserve">In </w:t>
      </w:r>
      <w:r>
        <w:rPr>
          <w:i/>
        </w:rPr>
        <w:t>Omnicare, Inc. v. Laborers District Council Constructing Industry Pension Fund</w:t>
      </w:r>
      <w:r>
        <w:t xml:space="preserve">, 575 U.S. 175 (2015), the Supreme Court established that statements of opinion (including management's belief about clinical trial prospects or FDA approval likelihood) are actionable only if: (a) the speaker did not actually hold the stated belief, or (b) the speaker omitted material facts that would make the opinion misleading in context. This is the </w:t>
      </w:r>
      <w:r>
        <w:rPr>
          <w:b/>
        </w:rPr>
        <w:t>primary legal shield</w:t>
      </w:r>
      <w:r>
        <w:t xml:space="preserve"> protecting biotech executives today and is the most important case for underwriters to understand [2].</w:t>
      </w:r>
    </w:p>
    <w:p>
      <w:pPr>
        <w:pStyle w:val="Heading2"/>
      </w:pPr>
      <w:r>
        <w:t>4.3 PSLRA Safe Harbor</w:t>
      </w:r>
    </w:p>
    <w:p>
      <w:r>
        <w:t>The Private Securities Litigation Reform Act of 1995 provides a safe harbor for forward-looking statements accompanied by meaningful cautionary language. Biotech companies routinely make forward-looking statements about trial timelines, approval expectations, and commercial potential. The quality and specificity of their cautionary language is a critical underwriting factor. Generic boilerplate warnings are less protective than specific, tailored risk disclosures.</w:t>
      </w:r>
    </w:p>
    <w:p>
      <w:pPr>
        <w:pStyle w:val="Heading2"/>
      </w:pPr>
      <w:r>
        <w:t>4.4 Matrixx: No Statistical Significance Threshold (2011)</w:t>
      </w:r>
    </w:p>
    <w:p>
      <w:r>
        <w:t xml:space="preserve">In </w:t>
      </w:r>
      <w:r>
        <w:rPr>
          <w:i/>
        </w:rPr>
        <w:t>Matrixx Initiatives, Inc. v. Siracusano</w:t>
      </w:r>
      <w:r>
        <w:t>, 563 U.S. 27 (2011), the Supreme Court unanimously held that a pharmaceutical company need not have statistically significant evidence of an adverse drug effect before that information becomes "material" for securities disclosure purposes. Materiality is assessed under the "total mix" standard. This means companies cannot hide behind the absence of statistical significance when they have credible reports of adverse events.</w:t>
      </w:r>
    </w:p>
    <w:p>
      <w:pPr>
        <w:pStyle w:val="Heading2"/>
      </w:pPr>
      <w:r>
        <w:t>4.5 Section 11: Strict Liability for Offerings</w:t>
      </w:r>
    </w:p>
    <w:p>
      <w:r>
        <w:t xml:space="preserve">Section 11 of the Securities Act of 1933 imposes </w:t>
      </w:r>
      <w:r>
        <w:rPr>
          <w:b/>
        </w:rPr>
        <w:t>strict liability</w:t>
      </w:r>
      <w:r>
        <w:t xml:space="preserve"> for material misstatements or omissions in registration statements. Plaintiffs do not need to prove scienter, reliance, or loss causation (beyond the stock trading below the offering price). This makes Section 11 claims significantly more dangerous than Section 10(b) claims for any biotech company that has recently conducted an IPO, follow-on offering, or at-the-market (ATM) program.</w:t>
      </w:r>
    </w:p>
    <w:p>
      <w:r>
        <w:t>____________________________________________________________</w:t>
      </w:r>
    </w:p>
    <w:p>
      <w:pPr>
        <w:pStyle w:val="Heading1"/>
      </w:pPr>
      <w:r>
        <w:t>5. Underwriting Framework: Risk Assessment Checklist</w:t>
      </w:r>
    </w:p>
    <w:p>
      <w:r>
        <w:t>The following framework organizes the key underwriting checks into logical categories, prioritized by their impact on claim frequency and severity.</w:t>
      </w:r>
    </w:p>
    <w:p>
      <w:pPr>
        <w:pStyle w:val="Heading2"/>
      </w:pPr>
      <w:r>
        <w:t>5.1 Red Flag Indicators (Immediate Attention)</w:t>
      </w:r>
    </w:p>
    <w:p>
      <w:r>
        <w:t>These factors, if present, significantly elevate the probability that a filed claim will survive dismissal and result in a material settlement.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left"/>
            </w:pPr>
            <w:r>
              <w:rPr>
                <w:b/>
                <w:color w:val="FFFFFF"/>
                <w:sz w:val="18"/>
              </w:rPr>
              <w:t>Check ID</w:t>
            </w:r>
          </w:p>
        </w:tc>
        <w:tc>
          <w:tcPr>
            <w:tcW w:type="dxa" w:w="2340"/>
            <w:shd w:fill="1F4E79"/>
          </w:tcPr>
          <w:p>
            <w:pPr>
              <w:jc w:val="left"/>
            </w:pPr>
            <w:r>
              <w:rPr>
                <w:b/>
                <w:color w:val="FFFFFF"/>
                <w:sz w:val="18"/>
              </w:rPr>
              <w:t>Risk Factor</w:t>
            </w:r>
          </w:p>
        </w:tc>
        <w:tc>
          <w:tcPr>
            <w:tcW w:type="dxa" w:w="2340"/>
            <w:shd w:fill="1F4E79"/>
          </w:tcPr>
          <w:p>
            <w:pPr>
              <w:jc w:val="left"/>
            </w:pPr>
            <w:r>
              <w:rPr>
                <w:b/>
                <w:color w:val="FFFFFF"/>
                <w:sz w:val="18"/>
              </w:rPr>
              <w:t>What to Look For</w:t>
            </w:r>
          </w:p>
        </w:tc>
        <w:tc>
          <w:tcPr>
            <w:tcW w:type="dxa" w:w="2340"/>
            <w:shd w:fill="1F4E79"/>
          </w:tcPr>
          <w:p>
            <w:pPr>
              <w:jc w:val="left"/>
            </w:pPr>
            <w:r>
              <w:rPr>
                <w:b/>
                <w:color w:val="FFFFFF"/>
                <w:sz w:val="18"/>
              </w:rPr>
              <w:t>Why It Matters</w:t>
            </w:r>
          </w:p>
        </w:tc>
      </w:tr>
      <w:tr>
        <w:tc>
          <w:tcPr>
            <w:tcW w:type="dxa" w:w="2340"/>
          </w:tcPr>
          <w:p>
            <w:r>
              <w:rPr>
                <w:sz w:val="18"/>
              </w:rPr>
              <w:t>RF-01</w:t>
            </w:r>
          </w:p>
        </w:tc>
        <w:tc>
          <w:tcPr>
            <w:tcW w:type="dxa" w:w="2340"/>
          </w:tcPr>
          <w:p>
            <w:r>
              <w:rPr>
                <w:sz w:val="18"/>
              </w:rPr>
              <w:t>Insider Trading Patterns</w:t>
            </w:r>
          </w:p>
        </w:tc>
        <w:tc>
          <w:tcPr>
            <w:tcW w:type="dxa" w:w="2340"/>
          </w:tcPr>
          <w:p>
            <w:r>
              <w:rPr>
                <w:sz w:val="18"/>
              </w:rPr>
              <w:t>Executives selling stock outside pre-established 10b5-1 plans, or modifying/terminating plans shortly before negative news</w:t>
            </w:r>
          </w:p>
        </w:tc>
        <w:tc>
          <w:tcPr>
            <w:tcW w:type="dxa" w:w="2340"/>
          </w:tcPr>
          <w:p>
            <w:r>
              <w:rPr>
                <w:sz w:val="18"/>
              </w:rPr>
              <w:t>Primary method plaintiffs use to establish scienter; suspicious trading is the #1 factor in surviving a motion to dismiss</w:t>
            </w:r>
          </w:p>
        </w:tc>
      </w:tr>
      <w:tr>
        <w:tc>
          <w:tcPr>
            <w:tcW w:type="dxa" w:w="2340"/>
            <w:shd w:fill="E8F0FE"/>
          </w:tcPr>
          <w:p>
            <w:r>
              <w:rPr>
                <w:sz w:val="18"/>
              </w:rPr>
              <w:t>RF-02</w:t>
            </w:r>
          </w:p>
        </w:tc>
        <w:tc>
          <w:tcPr>
            <w:tcW w:type="dxa" w:w="2340"/>
            <w:shd w:fill="E8F0FE"/>
          </w:tcPr>
          <w:p>
            <w:r>
              <w:rPr>
                <w:sz w:val="18"/>
              </w:rPr>
              <w:t>Characterization of FDA Dialogue</w:t>
            </w:r>
          </w:p>
        </w:tc>
        <w:tc>
          <w:tcPr>
            <w:tcW w:type="dxa" w:w="2340"/>
            <w:shd w:fill="E8F0FE"/>
          </w:tcPr>
          <w:p>
            <w:r>
              <w:rPr>
                <w:sz w:val="18"/>
              </w:rPr>
              <w:t>Management stating the FDA "agrees with," "supports," or "is aligned with" their trial design or regulatory strategy</w:t>
            </w:r>
          </w:p>
        </w:tc>
        <w:tc>
          <w:tcPr>
            <w:tcW w:type="dxa" w:w="2340"/>
            <w:shd w:fill="E8F0FE"/>
          </w:tcPr>
          <w:p>
            <w:r>
              <w:rPr>
                <w:sz w:val="18"/>
              </w:rPr>
              <w:t>If the FDA later issues a CRL or clinical hold, these statements become the centerpiece of a fraud claim</w:t>
            </w:r>
          </w:p>
        </w:tc>
      </w:tr>
      <w:tr>
        <w:tc>
          <w:tcPr>
            <w:tcW w:type="dxa" w:w="2340"/>
          </w:tcPr>
          <w:p>
            <w:r>
              <w:rPr>
                <w:sz w:val="18"/>
              </w:rPr>
              <w:t>RF-03</w:t>
            </w:r>
          </w:p>
        </w:tc>
        <w:tc>
          <w:tcPr>
            <w:tcW w:type="dxa" w:w="2340"/>
          </w:tcPr>
          <w:p>
            <w:r>
              <w:rPr>
                <w:sz w:val="18"/>
              </w:rPr>
              <w:t>Recent Securities Offering</w:t>
            </w:r>
          </w:p>
        </w:tc>
        <w:tc>
          <w:tcPr>
            <w:tcW w:type="dxa" w:w="2340"/>
          </w:tcPr>
          <w:p>
            <w:r>
              <w:rPr>
                <w:sz w:val="18"/>
              </w:rPr>
              <w:t>IPO, follow-on, or ATM offering within the past 12-18 months, particularly if timed near a high-risk data readout</w:t>
            </w:r>
          </w:p>
        </w:tc>
        <w:tc>
          <w:tcPr>
            <w:tcW w:type="dxa" w:w="2340"/>
          </w:tcPr>
          <w:p>
            <w:r>
              <w:rPr>
                <w:sz w:val="18"/>
              </w:rPr>
              <w:t>Triggers Section 11 strict liability; no scienter requirement</w:t>
            </w:r>
          </w:p>
        </w:tc>
      </w:tr>
      <w:tr>
        <w:tc>
          <w:tcPr>
            <w:tcW w:type="dxa" w:w="2340"/>
            <w:shd w:fill="E8F0FE"/>
          </w:tcPr>
          <w:p>
            <w:r>
              <w:rPr>
                <w:sz w:val="18"/>
              </w:rPr>
              <w:t>RF-04</w:t>
            </w:r>
          </w:p>
        </w:tc>
        <w:tc>
          <w:tcPr>
            <w:tcW w:type="dxa" w:w="2340"/>
            <w:shd w:fill="E8F0FE"/>
          </w:tcPr>
          <w:p>
            <w:r>
              <w:rPr>
                <w:sz w:val="18"/>
              </w:rPr>
              <w:t>Undisclosed Form 483 / Warning Letter</w:t>
            </w:r>
          </w:p>
        </w:tc>
        <w:tc>
          <w:tcPr>
            <w:tcW w:type="dxa" w:w="2340"/>
            <w:shd w:fill="E8F0FE"/>
          </w:tcPr>
          <w:p>
            <w:r>
              <w:rPr>
                <w:sz w:val="18"/>
              </w:rPr>
              <w:t>Company received FDA inspectional observations but did not update risk factors in subsequent SEC filings</w:t>
            </w:r>
          </w:p>
        </w:tc>
        <w:tc>
          <w:tcPr>
            <w:tcW w:type="dxa" w:w="2340"/>
            <w:shd w:fill="E8F0FE"/>
          </w:tcPr>
          <w:p>
            <w:r>
              <w:rPr>
                <w:sz w:val="18"/>
              </w:rPr>
              <w:t>Failure to update risk disclosures after receiving material regulatory feedback is a major litigation trigger</w:t>
            </w:r>
          </w:p>
        </w:tc>
      </w:tr>
    </w:tbl>
    <w:p/>
    <w:p>
      <w:pPr>
        <w:pStyle w:val="Heading2"/>
      </w:pPr>
      <w:r>
        <w:t>5.2 Pipeline and Exposure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left"/>
            </w:pPr>
            <w:r>
              <w:rPr>
                <w:b/>
                <w:color w:val="FFFFFF"/>
                <w:sz w:val="18"/>
              </w:rPr>
              <w:t>Check ID</w:t>
            </w:r>
          </w:p>
        </w:tc>
        <w:tc>
          <w:tcPr>
            <w:tcW w:type="dxa" w:w="2340"/>
            <w:shd w:fill="1F4E79"/>
          </w:tcPr>
          <w:p>
            <w:pPr>
              <w:jc w:val="left"/>
            </w:pPr>
            <w:r>
              <w:rPr>
                <w:b/>
                <w:color w:val="FFFFFF"/>
                <w:sz w:val="18"/>
              </w:rPr>
              <w:t>Risk Factor</w:t>
            </w:r>
          </w:p>
        </w:tc>
        <w:tc>
          <w:tcPr>
            <w:tcW w:type="dxa" w:w="2340"/>
            <w:shd w:fill="1F4E79"/>
          </w:tcPr>
          <w:p>
            <w:pPr>
              <w:jc w:val="left"/>
            </w:pPr>
            <w:r>
              <w:rPr>
                <w:b/>
                <w:color w:val="FFFFFF"/>
                <w:sz w:val="18"/>
              </w:rPr>
              <w:t>Assessment Criteria</w:t>
            </w:r>
          </w:p>
        </w:tc>
        <w:tc>
          <w:tcPr>
            <w:tcW w:type="dxa" w:w="2340"/>
            <w:shd w:fill="1F4E79"/>
          </w:tcPr>
          <w:p>
            <w:pPr>
              <w:jc w:val="left"/>
            </w:pPr>
            <w:r>
              <w:rPr>
                <w:b/>
                <w:color w:val="FFFFFF"/>
                <w:sz w:val="18"/>
              </w:rPr>
              <w:t>Underwriting Impact</w:t>
            </w:r>
          </w:p>
        </w:tc>
      </w:tr>
      <w:tr>
        <w:tc>
          <w:tcPr>
            <w:tcW w:type="dxa" w:w="2340"/>
          </w:tcPr>
          <w:p>
            <w:r>
              <w:rPr>
                <w:sz w:val="18"/>
              </w:rPr>
              <w:t>PA-01</w:t>
            </w:r>
          </w:p>
        </w:tc>
        <w:tc>
          <w:tcPr>
            <w:tcW w:type="dxa" w:w="2340"/>
          </w:tcPr>
          <w:p>
            <w:r>
              <w:rPr>
                <w:sz w:val="18"/>
              </w:rPr>
              <w:t>Single-Asset Dependency</w:t>
            </w:r>
          </w:p>
        </w:tc>
        <w:tc>
          <w:tcPr>
            <w:tcW w:type="dxa" w:w="2340"/>
          </w:tcPr>
          <w:p>
            <w:r>
              <w:rPr>
                <w:sz w:val="18"/>
              </w:rPr>
              <w:t>Company has only one drug candidate in clinical development</w:t>
            </w:r>
          </w:p>
        </w:tc>
        <w:tc>
          <w:tcPr>
            <w:tcW w:type="dxa" w:w="2340"/>
          </w:tcPr>
          <w:p>
            <w:r>
              <w:rPr>
                <w:sz w:val="18"/>
              </w:rPr>
              <w:t>Existential risk if trial fails; guarantees maximum stock drop and attracts plaintiffs' bar</w:t>
            </w:r>
          </w:p>
        </w:tc>
      </w:tr>
      <w:tr>
        <w:tc>
          <w:tcPr>
            <w:tcW w:type="dxa" w:w="2340"/>
            <w:shd w:fill="E8F0FE"/>
          </w:tcPr>
          <w:p>
            <w:r>
              <w:rPr>
                <w:sz w:val="18"/>
              </w:rPr>
              <w:t>PA-02</w:t>
            </w:r>
          </w:p>
        </w:tc>
        <w:tc>
          <w:tcPr>
            <w:tcW w:type="dxa" w:w="2340"/>
            <w:shd w:fill="E8F0FE"/>
          </w:tcPr>
          <w:p>
            <w:r>
              <w:rPr>
                <w:sz w:val="18"/>
              </w:rPr>
              <w:t>Phase of Development</w:t>
            </w:r>
          </w:p>
        </w:tc>
        <w:tc>
          <w:tcPr>
            <w:tcW w:type="dxa" w:w="2340"/>
            <w:shd w:fill="E8F0FE"/>
          </w:tcPr>
          <w:p>
            <w:r>
              <w:rPr>
                <w:sz w:val="18"/>
              </w:rPr>
              <w:t>Identify the most advanced clinical stage for each pipeline asset</w:t>
            </w:r>
          </w:p>
        </w:tc>
        <w:tc>
          <w:tcPr>
            <w:tcW w:type="dxa" w:w="2340"/>
            <w:shd w:fill="E8F0FE"/>
          </w:tcPr>
          <w:p>
            <w:r>
              <w:rPr>
                <w:sz w:val="18"/>
              </w:rPr>
              <w:t>Phase III failures generate the largest stock drops and most filings; Phase II failures are more frequent but smaller</w:t>
            </w:r>
          </w:p>
        </w:tc>
      </w:tr>
      <w:tr>
        <w:tc>
          <w:tcPr>
            <w:tcW w:type="dxa" w:w="2340"/>
          </w:tcPr>
          <w:p>
            <w:r>
              <w:rPr>
                <w:sz w:val="18"/>
              </w:rPr>
              <w:t>PA-03</w:t>
            </w:r>
          </w:p>
        </w:tc>
        <w:tc>
          <w:tcPr>
            <w:tcW w:type="dxa" w:w="2340"/>
          </w:tcPr>
          <w:p>
            <w:r>
              <w:rPr>
                <w:sz w:val="18"/>
              </w:rPr>
              <w:t>Therapeutic Area</w:t>
            </w:r>
          </w:p>
        </w:tc>
        <w:tc>
          <w:tcPr>
            <w:tcW w:type="dxa" w:w="2340"/>
          </w:tcPr>
          <w:p>
            <w:r>
              <w:rPr>
                <w:sz w:val="18"/>
              </w:rPr>
              <w:t>Oncology and neurology have the highest historical failure rates</w:t>
            </w:r>
          </w:p>
        </w:tc>
        <w:tc>
          <w:tcPr>
            <w:tcW w:type="dxa" w:w="2340"/>
          </w:tcPr>
          <w:p>
            <w:r>
              <w:rPr>
                <w:sz w:val="18"/>
              </w:rPr>
              <w:t>Higher failure probability increases claim frequency, but not necessarily claim severity</w:t>
            </w:r>
          </w:p>
        </w:tc>
      </w:tr>
      <w:tr>
        <w:tc>
          <w:tcPr>
            <w:tcW w:type="dxa" w:w="2340"/>
            <w:shd w:fill="E8F0FE"/>
          </w:tcPr>
          <w:p>
            <w:r>
              <w:rPr>
                <w:sz w:val="18"/>
              </w:rPr>
              <w:t>PA-04</w:t>
            </w:r>
          </w:p>
        </w:tc>
        <w:tc>
          <w:tcPr>
            <w:tcW w:type="dxa" w:w="2340"/>
            <w:shd w:fill="E8F0FE"/>
          </w:tcPr>
          <w:p>
            <w:r>
              <w:rPr>
                <w:sz w:val="18"/>
              </w:rPr>
              <w:t>Upcoming Catalysts</w:t>
            </w:r>
          </w:p>
        </w:tc>
        <w:tc>
          <w:tcPr>
            <w:tcW w:type="dxa" w:w="2340"/>
            <w:shd w:fill="E8F0FE"/>
          </w:tcPr>
          <w:p>
            <w:r>
              <w:rPr>
                <w:sz w:val="18"/>
              </w:rPr>
              <w:t>Map all known PDUFA dates, AdCom meetings, and data readouts within the policy period</w:t>
            </w:r>
          </w:p>
        </w:tc>
        <w:tc>
          <w:tcPr>
            <w:tcW w:type="dxa" w:w="2340"/>
            <w:shd w:fill="E8F0FE"/>
          </w:tcPr>
          <w:p>
            <w:r>
              <w:rPr>
                <w:sz w:val="18"/>
              </w:rPr>
              <w:t>Binary catalysts within the policy period define the timing of maximum exposure</w:t>
            </w:r>
          </w:p>
        </w:tc>
      </w:tr>
      <w:tr>
        <w:tc>
          <w:tcPr>
            <w:tcW w:type="dxa" w:w="2340"/>
          </w:tcPr>
          <w:p>
            <w:r>
              <w:rPr>
                <w:sz w:val="18"/>
              </w:rPr>
              <w:t>PA-05</w:t>
            </w:r>
          </w:p>
        </w:tc>
        <w:tc>
          <w:tcPr>
            <w:tcW w:type="dxa" w:w="2340"/>
          </w:tcPr>
          <w:p>
            <w:r>
              <w:rPr>
                <w:sz w:val="18"/>
              </w:rPr>
              <w:t>Implied Pipeline Value</w:t>
            </w:r>
          </w:p>
        </w:tc>
        <w:tc>
          <w:tcPr>
            <w:tcW w:type="dxa" w:w="2340"/>
          </w:tcPr>
          <w:p>
            <w:r>
              <w:rPr>
                <w:sz w:val="18"/>
              </w:rPr>
              <w:t>Calculate: Market Cap - (Cash + Cash Equivalents + Short-Term Investments)</w:t>
            </w:r>
          </w:p>
        </w:tc>
        <w:tc>
          <w:tcPr>
            <w:tcW w:type="dxa" w:w="2340"/>
          </w:tcPr>
          <w:p>
            <w:r>
              <w:rPr>
                <w:sz w:val="18"/>
              </w:rPr>
              <w:t>A large implied pipeline value built on early-stage data indicates high severity potential if the stock corrects</w:t>
            </w:r>
          </w:p>
        </w:tc>
      </w:tr>
    </w:tbl>
    <w:p/>
    <w:p>
      <w:pPr>
        <w:pStyle w:val="Heading2"/>
      </w:pPr>
      <w:r>
        <w:t>5.3 Disclosure Quality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left"/>
            </w:pPr>
            <w:r>
              <w:rPr>
                <w:b/>
                <w:color w:val="FFFFFF"/>
                <w:sz w:val="18"/>
              </w:rPr>
              <w:t>Check ID</w:t>
            </w:r>
          </w:p>
        </w:tc>
        <w:tc>
          <w:tcPr>
            <w:tcW w:type="dxa" w:w="2340"/>
            <w:shd w:fill="1F4E79"/>
          </w:tcPr>
          <w:p>
            <w:pPr>
              <w:jc w:val="left"/>
            </w:pPr>
            <w:r>
              <w:rPr>
                <w:b/>
                <w:color w:val="FFFFFF"/>
                <w:sz w:val="18"/>
              </w:rPr>
              <w:t>Risk Factor</w:t>
            </w:r>
          </w:p>
        </w:tc>
        <w:tc>
          <w:tcPr>
            <w:tcW w:type="dxa" w:w="2340"/>
            <w:shd w:fill="1F4E79"/>
          </w:tcPr>
          <w:p>
            <w:pPr>
              <w:jc w:val="left"/>
            </w:pPr>
            <w:r>
              <w:rPr>
                <w:b/>
                <w:color w:val="FFFFFF"/>
                <w:sz w:val="18"/>
              </w:rPr>
              <w:t>Assessment Criteria</w:t>
            </w:r>
          </w:p>
        </w:tc>
        <w:tc>
          <w:tcPr>
            <w:tcW w:type="dxa" w:w="2340"/>
            <w:shd w:fill="1F4E79"/>
          </w:tcPr>
          <w:p>
            <w:pPr>
              <w:jc w:val="left"/>
            </w:pPr>
            <w:r>
              <w:rPr>
                <w:b/>
                <w:color w:val="FFFFFF"/>
                <w:sz w:val="18"/>
              </w:rPr>
              <w:t>Underwriting Impact</w:t>
            </w:r>
          </w:p>
        </w:tc>
      </w:tr>
      <w:tr>
        <w:tc>
          <w:tcPr>
            <w:tcW w:type="dxa" w:w="2340"/>
          </w:tcPr>
          <w:p>
            <w:r>
              <w:rPr>
                <w:sz w:val="18"/>
              </w:rPr>
              <w:t>DQ-01</w:t>
            </w:r>
          </w:p>
        </w:tc>
        <w:tc>
          <w:tcPr>
            <w:tcW w:type="dxa" w:w="2340"/>
          </w:tcPr>
          <w:p>
            <w:r>
              <w:rPr>
                <w:sz w:val="18"/>
              </w:rPr>
              <w:t>Cautionary Language Quality</w:t>
            </w:r>
          </w:p>
        </w:tc>
        <w:tc>
          <w:tcPr>
            <w:tcW w:type="dxa" w:w="2340"/>
          </w:tcPr>
          <w:p>
            <w:r>
              <w:rPr>
                <w:sz w:val="18"/>
              </w:rPr>
              <w:t>Review 10-K/10-Q risk factors for specificity and tailoring vs. generic boilerplate</w:t>
            </w:r>
          </w:p>
        </w:tc>
        <w:tc>
          <w:tcPr>
            <w:tcW w:type="dxa" w:w="2340"/>
          </w:tcPr>
          <w:p>
            <w:r>
              <w:rPr>
                <w:sz w:val="18"/>
              </w:rPr>
              <w:t>Specific, updated cautionary language strengthens PSLRA safe harbor defense</w:t>
            </w:r>
          </w:p>
        </w:tc>
      </w:tr>
      <w:tr>
        <w:tc>
          <w:tcPr>
            <w:tcW w:type="dxa" w:w="2340"/>
            <w:shd w:fill="E8F0FE"/>
          </w:tcPr>
          <w:p>
            <w:r>
              <w:rPr>
                <w:sz w:val="18"/>
              </w:rPr>
              <w:t>DQ-02</w:t>
            </w:r>
          </w:p>
        </w:tc>
        <w:tc>
          <w:tcPr>
            <w:tcW w:type="dxa" w:w="2340"/>
            <w:shd w:fill="E8F0FE"/>
          </w:tcPr>
          <w:p>
            <w:r>
              <w:rPr>
                <w:sz w:val="18"/>
              </w:rPr>
              <w:t>Earnings Call Discipline</w:t>
            </w:r>
          </w:p>
        </w:tc>
        <w:tc>
          <w:tcPr>
            <w:tcW w:type="dxa" w:w="2340"/>
            <w:shd w:fill="E8F0FE"/>
          </w:tcPr>
          <w:p>
            <w:r>
              <w:rPr>
                <w:sz w:val="18"/>
              </w:rPr>
              <w:t>Review transcripts for management's tone regarding clinical prospects and FDA interactions</w:t>
            </w:r>
          </w:p>
        </w:tc>
        <w:tc>
          <w:tcPr>
            <w:tcW w:type="dxa" w:w="2340"/>
            <w:shd w:fill="E8F0FE"/>
          </w:tcPr>
          <w:p>
            <w:r>
              <w:rPr>
                <w:sz w:val="18"/>
              </w:rPr>
              <w:t>Overly promotional language or specific characterizations of FDA feedback increase exposure</w:t>
            </w:r>
          </w:p>
        </w:tc>
      </w:tr>
      <w:tr>
        <w:tc>
          <w:tcPr>
            <w:tcW w:type="dxa" w:w="2340"/>
          </w:tcPr>
          <w:p>
            <w:r>
              <w:rPr>
                <w:sz w:val="18"/>
              </w:rPr>
              <w:t>DQ-03</w:t>
            </w:r>
          </w:p>
        </w:tc>
        <w:tc>
          <w:tcPr>
            <w:tcW w:type="dxa" w:w="2340"/>
          </w:tcPr>
          <w:p>
            <w:r>
              <w:rPr>
                <w:sz w:val="18"/>
              </w:rPr>
              <w:t>Risk Factor Updates</w:t>
            </w:r>
          </w:p>
        </w:tc>
        <w:tc>
          <w:tcPr>
            <w:tcW w:type="dxa" w:w="2340"/>
          </w:tcPr>
          <w:p>
            <w:r>
              <w:rPr>
                <w:sz w:val="18"/>
              </w:rPr>
              <w:t>Compare risk factors across consecutive SEC filings for material changes</w:t>
            </w:r>
          </w:p>
        </w:tc>
        <w:tc>
          <w:tcPr>
            <w:tcW w:type="dxa" w:w="2340"/>
          </w:tcPr>
          <w:p>
            <w:r>
              <w:rPr>
                <w:sz w:val="18"/>
              </w:rPr>
              <w:t>Failure to update risk factors after receiving new material information (e.g., adverse events, FDA feedback) is a key litigation trigger</w:t>
            </w:r>
          </w:p>
        </w:tc>
      </w:tr>
    </w:tbl>
    <w:p/>
    <w:p>
      <w:pPr>
        <w:pStyle w:val="Heading2"/>
      </w:pPr>
      <w:r>
        <w:t>5.4 Corporate Governance and Financial Health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left"/>
            </w:pPr>
            <w:r>
              <w:rPr>
                <w:b/>
                <w:color w:val="FFFFFF"/>
                <w:sz w:val="18"/>
              </w:rPr>
              <w:t>Check ID</w:t>
            </w:r>
          </w:p>
        </w:tc>
        <w:tc>
          <w:tcPr>
            <w:tcW w:type="dxa" w:w="2340"/>
            <w:shd w:fill="1F4E79"/>
          </w:tcPr>
          <w:p>
            <w:pPr>
              <w:jc w:val="left"/>
            </w:pPr>
            <w:r>
              <w:rPr>
                <w:b/>
                <w:color w:val="FFFFFF"/>
                <w:sz w:val="18"/>
              </w:rPr>
              <w:t>Risk Factor</w:t>
            </w:r>
          </w:p>
        </w:tc>
        <w:tc>
          <w:tcPr>
            <w:tcW w:type="dxa" w:w="2340"/>
            <w:shd w:fill="1F4E79"/>
          </w:tcPr>
          <w:p>
            <w:pPr>
              <w:jc w:val="left"/>
            </w:pPr>
            <w:r>
              <w:rPr>
                <w:b/>
                <w:color w:val="FFFFFF"/>
                <w:sz w:val="18"/>
              </w:rPr>
              <w:t>Assessment Criteria</w:t>
            </w:r>
          </w:p>
        </w:tc>
        <w:tc>
          <w:tcPr>
            <w:tcW w:type="dxa" w:w="2340"/>
            <w:shd w:fill="1F4E79"/>
          </w:tcPr>
          <w:p>
            <w:pPr>
              <w:jc w:val="left"/>
            </w:pPr>
            <w:r>
              <w:rPr>
                <w:b/>
                <w:color w:val="FFFFFF"/>
                <w:sz w:val="18"/>
              </w:rPr>
              <w:t>Underwriting Impact</w:t>
            </w:r>
          </w:p>
        </w:tc>
      </w:tr>
      <w:tr>
        <w:tc>
          <w:tcPr>
            <w:tcW w:type="dxa" w:w="2340"/>
          </w:tcPr>
          <w:p>
            <w:r>
              <w:rPr>
                <w:sz w:val="18"/>
              </w:rPr>
              <w:t>CG-01</w:t>
            </w:r>
          </w:p>
        </w:tc>
        <w:tc>
          <w:tcPr>
            <w:tcW w:type="dxa" w:w="2340"/>
          </w:tcPr>
          <w:p>
            <w:r>
              <w:rPr>
                <w:sz w:val="18"/>
              </w:rPr>
              <w:t>Cash Runway</w:t>
            </w:r>
          </w:p>
        </w:tc>
        <w:tc>
          <w:tcPr>
            <w:tcW w:type="dxa" w:w="2340"/>
          </w:tcPr>
          <w:p>
            <w:r>
              <w:rPr>
                <w:sz w:val="18"/>
              </w:rPr>
              <w:t>Months of cash remaining at current burn rate</w:t>
            </w:r>
          </w:p>
        </w:tc>
        <w:tc>
          <w:tcPr>
            <w:tcW w:type="dxa" w:w="2340"/>
          </w:tcPr>
          <w:p>
            <w:r>
              <w:rPr>
                <w:sz w:val="18"/>
              </w:rPr>
              <w:t>Companies with less than 12 months of cash face pressure to raise capital (triggering Section 11 risk) or make desperate strategic decisions</w:t>
            </w:r>
          </w:p>
        </w:tc>
      </w:tr>
      <w:tr>
        <w:tc>
          <w:tcPr>
            <w:tcW w:type="dxa" w:w="2340"/>
            <w:shd w:fill="E8F0FE"/>
          </w:tcPr>
          <w:p>
            <w:r>
              <w:rPr>
                <w:sz w:val="18"/>
              </w:rPr>
              <w:t>CG-02</w:t>
            </w:r>
          </w:p>
        </w:tc>
        <w:tc>
          <w:tcPr>
            <w:tcW w:type="dxa" w:w="2340"/>
            <w:shd w:fill="E8F0FE"/>
          </w:tcPr>
          <w:p>
            <w:r>
              <w:rPr>
                <w:sz w:val="18"/>
              </w:rPr>
              <w:t>Board Independence and Expertise</w:t>
            </w:r>
          </w:p>
        </w:tc>
        <w:tc>
          <w:tcPr>
            <w:tcW w:type="dxa" w:w="2340"/>
            <w:shd w:fill="E8F0FE"/>
          </w:tcPr>
          <w:p>
            <w:r>
              <w:rPr>
                <w:sz w:val="18"/>
              </w:rPr>
              <w:t>Proportion of independent directors; presence of scientific/medical expertise on the board</w:t>
            </w:r>
          </w:p>
        </w:tc>
        <w:tc>
          <w:tcPr>
            <w:tcW w:type="dxa" w:w="2340"/>
            <w:shd w:fill="E8F0FE"/>
          </w:tcPr>
          <w:p>
            <w:r>
              <w:rPr>
                <w:sz w:val="18"/>
              </w:rPr>
              <w:t>Strong independent boards with relevant expertise reduce the likelihood of reckless disclosure practices</w:t>
            </w:r>
          </w:p>
        </w:tc>
      </w:tr>
      <w:tr>
        <w:tc>
          <w:tcPr>
            <w:tcW w:type="dxa" w:w="2340"/>
          </w:tcPr>
          <w:p>
            <w:r>
              <w:rPr>
                <w:sz w:val="18"/>
              </w:rPr>
              <w:t>CG-03</w:t>
            </w:r>
          </w:p>
        </w:tc>
        <w:tc>
          <w:tcPr>
            <w:tcW w:type="dxa" w:w="2340"/>
          </w:tcPr>
          <w:p>
            <w:r>
              <w:rPr>
                <w:sz w:val="18"/>
              </w:rPr>
              <w:t>D&amp;O Indemnification</w:t>
            </w:r>
          </w:p>
        </w:tc>
        <w:tc>
          <w:tcPr>
            <w:tcW w:type="dxa" w:w="2340"/>
          </w:tcPr>
          <w:p>
            <w:r>
              <w:rPr>
                <w:sz w:val="18"/>
              </w:rPr>
              <w:t>Review charter/bylaws for scope of indemnification and advancement provisions</w:t>
            </w:r>
          </w:p>
        </w:tc>
        <w:tc>
          <w:tcPr>
            <w:tcW w:type="dxa" w:w="2340"/>
          </w:tcPr>
          <w:p>
            <w:r>
              <w:rPr>
                <w:sz w:val="18"/>
              </w:rPr>
              <w:t>Affects the likelihood that individual directors will cooperate in defense vs. seek separate counsel</w:t>
            </w:r>
          </w:p>
        </w:tc>
      </w:tr>
      <w:tr>
        <w:tc>
          <w:tcPr>
            <w:tcW w:type="dxa" w:w="2340"/>
            <w:shd w:fill="E8F0FE"/>
          </w:tcPr>
          <w:p>
            <w:r>
              <w:rPr>
                <w:sz w:val="18"/>
              </w:rPr>
              <w:t>CG-04</w:t>
            </w:r>
          </w:p>
        </w:tc>
        <w:tc>
          <w:tcPr>
            <w:tcW w:type="dxa" w:w="2340"/>
            <w:shd w:fill="E8F0FE"/>
          </w:tcPr>
          <w:p>
            <w:r>
              <w:rPr>
                <w:sz w:val="18"/>
              </w:rPr>
              <w:t>Prior Litigation History</w:t>
            </w:r>
          </w:p>
        </w:tc>
        <w:tc>
          <w:tcPr>
            <w:tcW w:type="dxa" w:w="2340"/>
            <w:shd w:fill="E8F0FE"/>
          </w:tcPr>
          <w:p>
            <w:r>
              <w:rPr>
                <w:sz w:val="18"/>
              </w:rPr>
              <w:t>Any prior securities class actions, SEC investigations, or derivative suits</w:t>
            </w:r>
          </w:p>
        </w:tc>
        <w:tc>
          <w:tcPr>
            <w:tcW w:type="dxa" w:w="2340"/>
            <w:shd w:fill="E8F0FE"/>
          </w:tcPr>
          <w:p>
            <w:r>
              <w:rPr>
                <w:sz w:val="18"/>
              </w:rPr>
              <w:t>Prior claims are a strong predictor of future claims, particularly if the same management team is in place</w:t>
            </w:r>
          </w:p>
        </w:tc>
      </w:tr>
    </w:tbl>
    <w:p/>
    <w:p>
      <w:pPr>
        <w:pStyle w:val="Heading2"/>
      </w:pPr>
      <w:r>
        <w:t>5.5 Jurisdictional Considerations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left"/>
            </w:pPr>
            <w:r>
              <w:rPr>
                <w:b/>
                <w:color w:val="FFFFFF"/>
                <w:sz w:val="18"/>
              </w:rPr>
              <w:t>Check ID</w:t>
            </w:r>
          </w:p>
        </w:tc>
        <w:tc>
          <w:tcPr>
            <w:tcW w:type="dxa" w:w="2340"/>
            <w:shd w:fill="1F4E79"/>
          </w:tcPr>
          <w:p>
            <w:pPr>
              <w:jc w:val="left"/>
            </w:pPr>
            <w:r>
              <w:rPr>
                <w:b/>
                <w:color w:val="FFFFFF"/>
                <w:sz w:val="18"/>
              </w:rPr>
              <w:t>Risk Factor</w:t>
            </w:r>
          </w:p>
        </w:tc>
        <w:tc>
          <w:tcPr>
            <w:tcW w:type="dxa" w:w="2340"/>
            <w:shd w:fill="1F4E79"/>
          </w:tcPr>
          <w:p>
            <w:pPr>
              <w:jc w:val="left"/>
            </w:pPr>
            <w:r>
              <w:rPr>
                <w:b/>
                <w:color w:val="FFFFFF"/>
                <w:sz w:val="18"/>
              </w:rPr>
              <w:t>Assessment Criteria</w:t>
            </w:r>
          </w:p>
        </w:tc>
        <w:tc>
          <w:tcPr>
            <w:tcW w:type="dxa" w:w="2340"/>
            <w:shd w:fill="1F4E79"/>
          </w:tcPr>
          <w:p>
            <w:pPr>
              <w:jc w:val="left"/>
            </w:pPr>
            <w:r>
              <w:rPr>
                <w:b/>
                <w:color w:val="FFFFFF"/>
                <w:sz w:val="18"/>
              </w:rPr>
              <w:t>Underwriting Impact</w:t>
            </w:r>
          </w:p>
        </w:tc>
      </w:tr>
      <w:tr>
        <w:tc>
          <w:tcPr>
            <w:tcW w:type="dxa" w:w="2340"/>
          </w:tcPr>
          <w:p>
            <w:r>
              <w:rPr>
                <w:sz w:val="18"/>
              </w:rPr>
              <w:t>JR-01</w:t>
            </w:r>
          </w:p>
        </w:tc>
        <w:tc>
          <w:tcPr>
            <w:tcW w:type="dxa" w:w="2340"/>
          </w:tcPr>
          <w:p>
            <w:r>
              <w:rPr>
                <w:sz w:val="18"/>
              </w:rPr>
              <w:t>State of Incorporation</w:t>
            </w:r>
          </w:p>
        </w:tc>
        <w:tc>
          <w:tcPr>
            <w:tcW w:type="dxa" w:w="2340"/>
          </w:tcPr>
          <w:p>
            <w:r>
              <w:rPr>
                <w:sz w:val="18"/>
              </w:rPr>
              <w:t>Delaware vs. other states; presence of federal forum provision in charter</w:t>
            </w:r>
          </w:p>
        </w:tc>
        <w:tc>
          <w:tcPr>
            <w:tcW w:type="dxa" w:w="2340"/>
          </w:tcPr>
          <w:p>
            <w:r>
              <w:rPr>
                <w:sz w:val="18"/>
              </w:rPr>
              <w:t>Federal forum provisions (permitted under *Salzberg v. Sciabacucchi*) can channel Section 11 claims to federal court, improving dismissal odds</w:t>
            </w:r>
          </w:p>
        </w:tc>
      </w:tr>
      <w:tr>
        <w:tc>
          <w:tcPr>
            <w:tcW w:type="dxa" w:w="2340"/>
            <w:shd w:fill="E8F0FE"/>
          </w:tcPr>
          <w:p>
            <w:r>
              <w:rPr>
                <w:sz w:val="18"/>
              </w:rPr>
              <w:t>JR-02</w:t>
            </w:r>
          </w:p>
        </w:tc>
        <w:tc>
          <w:tcPr>
            <w:tcW w:type="dxa" w:w="2340"/>
            <w:shd w:fill="E8F0FE"/>
          </w:tcPr>
          <w:p>
            <w:r>
              <w:rPr>
                <w:sz w:val="18"/>
              </w:rPr>
              <w:t>Principal Office Location</w:t>
            </w:r>
          </w:p>
        </w:tc>
        <w:tc>
          <w:tcPr>
            <w:tcW w:type="dxa" w:w="2340"/>
            <w:shd w:fill="E8F0FE"/>
          </w:tcPr>
          <w:p>
            <w:r>
              <w:rPr>
                <w:sz w:val="18"/>
              </w:rPr>
              <w:t>California, New York, and Massachusetts are the most active filing jurisdictions</w:t>
            </w:r>
          </w:p>
        </w:tc>
        <w:tc>
          <w:tcPr>
            <w:tcW w:type="dxa" w:w="2340"/>
            <w:shd w:fill="E8F0FE"/>
          </w:tcPr>
          <w:p>
            <w:r>
              <w:rPr>
                <w:sz w:val="18"/>
              </w:rPr>
              <w:t>Venue affects dismissal rates, discovery practices, and settlement dynamics</w:t>
            </w:r>
          </w:p>
        </w:tc>
      </w:tr>
    </w:tbl>
    <w:p/>
    <w:p>
      <w:r>
        <w:t>____________________________________________________________</w:t>
      </w:r>
    </w:p>
    <w:p>
      <w:pPr>
        <w:pStyle w:val="Heading1"/>
      </w:pPr>
      <w:r>
        <w:t>6. Severity Assessment Framework</w:t>
      </w:r>
    </w:p>
    <w:p>
      <w:r>
        <w:t>Once a claim is filed, the following factors determine the likely severity (defense costs + settlement/judgment):</w:t>
      </w:r>
    </w:p>
    <w:p>
      <w:pPr>
        <w:pStyle w:val="Heading2"/>
      </w:pPr>
      <w:r>
        <w:t>6.1 Inherent Severity Factors</w:t>
      </w:r>
    </w:p>
    <w:p>
      <w:r>
        <w:t>These are structural characteristics that affect severity regardless of the specific facts of the case.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left"/>
            </w:pPr>
            <w:r>
              <w:rPr>
                <w:b/>
                <w:color w:val="FFFFFF"/>
                <w:sz w:val="18"/>
              </w:rPr>
              <w:t>Factor</w:t>
            </w:r>
          </w:p>
        </w:tc>
        <w:tc>
          <w:tcPr>
            <w:tcW w:type="dxa" w:w="3120"/>
            <w:shd w:fill="1F4E79"/>
          </w:tcPr>
          <w:p>
            <w:pPr>
              <w:jc w:val="left"/>
            </w:pPr>
            <w:r>
              <w:rPr>
                <w:b/>
                <w:color w:val="FFFFFF"/>
                <w:sz w:val="18"/>
              </w:rPr>
              <w:t>Low Severity Indicator</w:t>
            </w:r>
          </w:p>
        </w:tc>
        <w:tc>
          <w:tcPr>
            <w:tcW w:type="dxa" w:w="3120"/>
            <w:shd w:fill="1F4E79"/>
          </w:tcPr>
          <w:p>
            <w:pPr>
              <w:jc w:val="left"/>
            </w:pPr>
            <w:r>
              <w:rPr>
                <w:b/>
                <w:color w:val="FFFFFF"/>
                <w:sz w:val="18"/>
              </w:rPr>
              <w:t>High Severity Indicator</w:t>
            </w:r>
          </w:p>
        </w:tc>
      </w:tr>
      <w:tr>
        <w:tc>
          <w:tcPr>
            <w:tcW w:type="dxa" w:w="3120"/>
          </w:tcPr>
          <w:p>
            <w:r>
              <w:rPr>
                <w:sz w:val="18"/>
              </w:rPr>
              <w:t>Market Cap at Time of Loss</w:t>
            </w:r>
          </w:p>
        </w:tc>
        <w:tc>
          <w:tcPr>
            <w:tcW w:type="dxa" w:w="3120"/>
          </w:tcPr>
          <w:p>
            <w:r>
              <w:rPr>
                <w:sz w:val="18"/>
              </w:rPr>
              <w:t>Under $500M</w:t>
            </w:r>
          </w:p>
        </w:tc>
        <w:tc>
          <w:tcPr>
            <w:tcW w:type="dxa" w:w="3120"/>
          </w:tcPr>
          <w:p>
            <w:r>
              <w:rPr>
                <w:sz w:val="18"/>
              </w:rPr>
              <w:t>Over $2B</w:t>
            </w:r>
          </w:p>
        </w:tc>
      </w:tr>
      <w:tr>
        <w:tc>
          <w:tcPr>
            <w:tcW w:type="dxa" w:w="3120"/>
            <w:shd w:fill="E8F0FE"/>
          </w:tcPr>
          <w:p>
            <w:r>
              <w:rPr>
                <w:sz w:val="18"/>
              </w:rPr>
              <w:t>Stock Price Decline</w:t>
            </w:r>
          </w:p>
        </w:tc>
        <w:tc>
          <w:tcPr>
            <w:tcW w:type="dxa" w:w="3120"/>
            <w:shd w:fill="E8F0FE"/>
          </w:tcPr>
          <w:p>
            <w:r>
              <w:rPr>
                <w:sz w:val="18"/>
              </w:rPr>
              <w:t>Less than 30%</w:t>
            </w:r>
          </w:p>
        </w:tc>
        <w:tc>
          <w:tcPr>
            <w:tcW w:type="dxa" w:w="3120"/>
            <w:shd w:fill="E8F0FE"/>
          </w:tcPr>
          <w:p>
            <w:r>
              <w:rPr>
                <w:sz w:val="18"/>
              </w:rPr>
              <w:t>Greater than 50%</w:t>
            </w:r>
          </w:p>
        </w:tc>
      </w:tr>
      <w:tr>
        <w:tc>
          <w:tcPr>
            <w:tcW w:type="dxa" w:w="3120"/>
          </w:tcPr>
          <w:p>
            <w:r>
              <w:rPr>
                <w:sz w:val="18"/>
              </w:rPr>
              <w:t>Estimated Damages (Market Cap Loss)</w:t>
            </w:r>
          </w:p>
        </w:tc>
        <w:tc>
          <w:tcPr>
            <w:tcW w:type="dxa" w:w="3120"/>
          </w:tcPr>
          <w:p>
            <w:r>
              <w:rPr>
                <w:sz w:val="18"/>
              </w:rPr>
              <w:t>Under $200M</w:t>
            </w:r>
          </w:p>
        </w:tc>
        <w:tc>
          <w:tcPr>
            <w:tcW w:type="dxa" w:w="3120"/>
          </w:tcPr>
          <w:p>
            <w:r>
              <w:rPr>
                <w:sz w:val="18"/>
              </w:rPr>
              <w:t>Over $1B</w:t>
            </w:r>
          </w:p>
        </w:tc>
      </w:tr>
      <w:tr>
        <w:tc>
          <w:tcPr>
            <w:tcW w:type="dxa" w:w="3120"/>
            <w:shd w:fill="E8F0FE"/>
          </w:tcPr>
          <w:p>
            <w:r>
              <w:rPr>
                <w:sz w:val="18"/>
              </w:rPr>
              <w:t>Claims Asserted</w:t>
            </w:r>
          </w:p>
        </w:tc>
        <w:tc>
          <w:tcPr>
            <w:tcW w:type="dxa" w:w="3120"/>
            <w:shd w:fill="E8F0FE"/>
          </w:tcPr>
          <w:p>
            <w:r>
              <w:rPr>
                <w:sz w:val="18"/>
              </w:rPr>
              <w:t>Section 10(b) only</w:t>
            </w:r>
          </w:p>
        </w:tc>
        <w:tc>
          <w:tcPr>
            <w:tcW w:type="dxa" w:w="3120"/>
            <w:shd w:fill="E8F0FE"/>
          </w:tcPr>
          <w:p>
            <w:r>
              <w:rPr>
                <w:sz w:val="18"/>
              </w:rPr>
              <w:t>Section 10(b) + Section 11</w:t>
            </w:r>
          </w:p>
        </w:tc>
      </w:tr>
      <w:tr>
        <w:tc>
          <w:tcPr>
            <w:tcW w:type="dxa" w:w="3120"/>
          </w:tcPr>
          <w:p>
            <w:r>
              <w:rPr>
                <w:sz w:val="18"/>
              </w:rPr>
              <w:t>Number of Corrective Disclosures</w:t>
            </w:r>
          </w:p>
        </w:tc>
        <w:tc>
          <w:tcPr>
            <w:tcW w:type="dxa" w:w="3120"/>
          </w:tcPr>
          <w:p>
            <w:r>
              <w:rPr>
                <w:sz w:val="18"/>
              </w:rPr>
              <w:t>Single event (e.g., one failed trial)</w:t>
            </w:r>
          </w:p>
        </w:tc>
        <w:tc>
          <w:tcPr>
            <w:tcW w:type="dxa" w:w="3120"/>
          </w:tcPr>
          <w:p>
            <w:r>
              <w:rPr>
                <w:sz w:val="18"/>
              </w:rPr>
              <w:t>Multiple disclosures over time</w:t>
            </w:r>
          </w:p>
        </w:tc>
      </w:tr>
      <w:tr>
        <w:tc>
          <w:tcPr>
            <w:tcW w:type="dxa" w:w="3120"/>
            <w:shd w:fill="E8F0FE"/>
          </w:tcPr>
          <w:p>
            <w:r>
              <w:rPr>
                <w:sz w:val="18"/>
              </w:rPr>
              <w:t>Institutional Investor Lead Plaintiff</w:t>
            </w:r>
          </w:p>
        </w:tc>
        <w:tc>
          <w:tcPr>
            <w:tcW w:type="dxa" w:w="3120"/>
            <w:shd w:fill="E8F0FE"/>
          </w:tcPr>
          <w:p>
            <w:r>
              <w:rPr>
                <w:sz w:val="18"/>
              </w:rPr>
              <w:t>No institutional lead plaintiff</w:t>
            </w:r>
          </w:p>
        </w:tc>
        <w:tc>
          <w:tcPr>
            <w:tcW w:type="dxa" w:w="3120"/>
            <w:shd w:fill="E8F0FE"/>
          </w:tcPr>
          <w:p>
            <w:r>
              <w:rPr>
                <w:sz w:val="18"/>
              </w:rPr>
              <w:t>Major institutional investor as lead plaintiff</w:t>
            </w:r>
          </w:p>
        </w:tc>
      </w:tr>
    </w:tbl>
    <w:p/>
    <w:p>
      <w:pPr>
        <w:pStyle w:val="Heading2"/>
      </w:pPr>
      <w:r>
        <w:t>6.2 Specific Severity Factors</w:t>
      </w:r>
    </w:p>
    <w:p>
      <w:r>
        <w:t>These are case-specific facts that affect the strength of the plaintiff's claims.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left"/>
            </w:pPr>
            <w:r>
              <w:rPr>
                <w:b/>
                <w:color w:val="FFFFFF"/>
                <w:sz w:val="18"/>
              </w:rPr>
              <w:t>Factor</w:t>
            </w:r>
          </w:p>
        </w:tc>
        <w:tc>
          <w:tcPr>
            <w:tcW w:type="dxa" w:w="3120"/>
            <w:shd w:fill="1F4E79"/>
          </w:tcPr>
          <w:p>
            <w:pPr>
              <w:jc w:val="left"/>
            </w:pPr>
            <w:r>
              <w:rPr>
                <w:b/>
                <w:color w:val="FFFFFF"/>
                <w:sz w:val="18"/>
              </w:rPr>
              <w:t>Lower Severity</w:t>
            </w:r>
          </w:p>
        </w:tc>
        <w:tc>
          <w:tcPr>
            <w:tcW w:type="dxa" w:w="3120"/>
            <w:shd w:fill="1F4E79"/>
          </w:tcPr>
          <w:p>
            <w:pPr>
              <w:jc w:val="left"/>
            </w:pPr>
            <w:r>
              <w:rPr>
                <w:b/>
                <w:color w:val="FFFFFF"/>
                <w:sz w:val="18"/>
              </w:rPr>
              <w:t>Higher Severity</w:t>
            </w:r>
          </w:p>
        </w:tc>
      </w:tr>
      <w:tr>
        <w:tc>
          <w:tcPr>
            <w:tcW w:type="dxa" w:w="3120"/>
          </w:tcPr>
          <w:p>
            <w:r>
              <w:rPr>
                <w:sz w:val="18"/>
              </w:rPr>
              <w:t>Insider Trading Evidence</w:t>
            </w:r>
          </w:p>
        </w:tc>
        <w:tc>
          <w:tcPr>
            <w:tcW w:type="dxa" w:w="3120"/>
          </w:tcPr>
          <w:p>
            <w:r>
              <w:rPr>
                <w:sz w:val="18"/>
              </w:rPr>
              <w:t>No suspicious trading; 10b5-1 plans in place</w:t>
            </w:r>
          </w:p>
        </w:tc>
        <w:tc>
          <w:tcPr>
            <w:tcW w:type="dxa" w:w="3120"/>
          </w:tcPr>
          <w:p>
            <w:r>
              <w:rPr>
                <w:sz w:val="18"/>
              </w:rPr>
              <w:t>Large insider sales before negative news; modified/terminated plans</w:t>
            </w:r>
          </w:p>
        </w:tc>
      </w:tr>
      <w:tr>
        <w:tc>
          <w:tcPr>
            <w:tcW w:type="dxa" w:w="3120"/>
            <w:shd w:fill="E8F0FE"/>
          </w:tcPr>
          <w:p>
            <w:r>
              <w:rPr>
                <w:sz w:val="18"/>
              </w:rPr>
              <w:t>Quality of Cautionary Language</w:t>
            </w:r>
          </w:p>
        </w:tc>
        <w:tc>
          <w:tcPr>
            <w:tcW w:type="dxa" w:w="3120"/>
            <w:shd w:fill="E8F0FE"/>
          </w:tcPr>
          <w:p>
            <w:r>
              <w:rPr>
                <w:sz w:val="18"/>
              </w:rPr>
              <w:t>Specific, updated risk disclosures</w:t>
            </w:r>
          </w:p>
        </w:tc>
        <w:tc>
          <w:tcPr>
            <w:tcW w:type="dxa" w:w="3120"/>
            <w:shd w:fill="E8F0FE"/>
          </w:tcPr>
          <w:p>
            <w:r>
              <w:rPr>
                <w:sz w:val="18"/>
              </w:rPr>
              <w:t>Generic boilerplate; stale risk factors</w:t>
            </w:r>
          </w:p>
        </w:tc>
      </w:tr>
      <w:tr>
        <w:tc>
          <w:tcPr>
            <w:tcW w:type="dxa" w:w="3120"/>
          </w:tcPr>
          <w:p>
            <w:r>
              <w:rPr>
                <w:sz w:val="18"/>
              </w:rPr>
              <w:t>FDA Communication Evidence</w:t>
            </w:r>
          </w:p>
        </w:tc>
        <w:tc>
          <w:tcPr>
            <w:tcW w:type="dxa" w:w="3120"/>
          </w:tcPr>
          <w:p>
            <w:r>
              <w:rPr>
                <w:sz w:val="18"/>
              </w:rPr>
              <w:t>Company accurately described FDA interactions</w:t>
            </w:r>
          </w:p>
        </w:tc>
        <w:tc>
          <w:tcPr>
            <w:tcW w:type="dxa" w:w="3120"/>
          </w:tcPr>
          <w:p>
            <w:r>
              <w:rPr>
                <w:sz w:val="18"/>
              </w:rPr>
              <w:t>Company over-characterized FDA support; undisclosed CRL/483</w:t>
            </w:r>
          </w:p>
        </w:tc>
      </w:tr>
      <w:tr>
        <w:tc>
          <w:tcPr>
            <w:tcW w:type="dxa" w:w="3120"/>
            <w:shd w:fill="E8F0FE"/>
          </w:tcPr>
          <w:p>
            <w:r>
              <w:rPr>
                <w:sz w:val="18"/>
              </w:rPr>
              <w:t>Restatement or SEC Investigation</w:t>
            </w:r>
          </w:p>
        </w:tc>
        <w:tc>
          <w:tcPr>
            <w:tcW w:type="dxa" w:w="3120"/>
            <w:shd w:fill="E8F0FE"/>
          </w:tcPr>
          <w:p>
            <w:r>
              <w:rPr>
                <w:sz w:val="18"/>
              </w:rPr>
              <w:t>No restatement; no SEC inquiry</w:t>
            </w:r>
          </w:p>
        </w:tc>
        <w:tc>
          <w:tcPr>
            <w:tcW w:type="dxa" w:w="3120"/>
            <w:shd w:fill="E8F0FE"/>
          </w:tcPr>
          <w:p>
            <w:r>
              <w:rPr>
                <w:sz w:val="18"/>
              </w:rPr>
              <w:t>Financial restatement; SEC formal investigation</w:t>
            </w:r>
          </w:p>
        </w:tc>
      </w:tr>
      <w:tr>
        <w:tc>
          <w:tcPr>
            <w:tcW w:type="dxa" w:w="3120"/>
          </w:tcPr>
          <w:p>
            <w:r>
              <w:rPr>
                <w:sz w:val="18"/>
              </w:rPr>
              <w:t>Witness Credibility</w:t>
            </w:r>
          </w:p>
        </w:tc>
        <w:tc>
          <w:tcPr>
            <w:tcW w:type="dxa" w:w="3120"/>
          </w:tcPr>
          <w:p>
            <w:r>
              <w:rPr>
                <w:sz w:val="18"/>
              </w:rPr>
              <w:t>Key witnesses are respected scientists/physicians</w:t>
            </w:r>
          </w:p>
        </w:tc>
        <w:tc>
          <w:tcPr>
            <w:tcW w:type="dxa" w:w="3120"/>
          </w:tcPr>
          <w:p>
            <w:r>
              <w:rPr>
                <w:sz w:val="18"/>
              </w:rPr>
              <w:t>Key witnesses have credibility issues or prior regulatory problems</w:t>
            </w:r>
          </w:p>
        </w:tc>
      </w:tr>
    </w:tbl>
    <w:p/>
    <w:p>
      <w:pPr>
        <w:pStyle w:val="Heading2"/>
      </w:pPr>
      <w:r>
        <w:t>6.3 Expected Outcome Ranges</w:t>
      </w:r>
    </w:p>
    <w:p>
      <w:r>
        <w:t>Based on historical settlement data, the following ranges provide general guidance for biotech D&amp;O claims: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left"/>
            </w:pPr>
            <w:r>
              <w:rPr>
                <w:b/>
                <w:color w:val="FFFFFF"/>
                <w:sz w:val="18"/>
              </w:rPr>
              <w:t>Scenario</w:t>
            </w:r>
          </w:p>
        </w:tc>
        <w:tc>
          <w:tcPr>
            <w:tcW w:type="dxa" w:w="2340"/>
            <w:shd w:fill="1F4E79"/>
          </w:tcPr>
          <w:p>
            <w:pPr>
              <w:jc w:val="left"/>
            </w:pPr>
            <w:r>
              <w:rPr>
                <w:b/>
                <w:color w:val="FFFFFF"/>
                <w:sz w:val="18"/>
              </w:rPr>
              <w:t>Expected Defense Costs</w:t>
            </w:r>
          </w:p>
        </w:tc>
        <w:tc>
          <w:tcPr>
            <w:tcW w:type="dxa" w:w="2340"/>
            <w:shd w:fill="1F4E79"/>
          </w:tcPr>
          <w:p>
            <w:pPr>
              <w:jc w:val="left"/>
            </w:pPr>
            <w:r>
              <w:rPr>
                <w:b/>
                <w:color w:val="FFFFFF"/>
                <w:sz w:val="18"/>
              </w:rPr>
              <w:t>Expected Settlement Range</w:t>
            </w:r>
          </w:p>
        </w:tc>
        <w:tc>
          <w:tcPr>
            <w:tcW w:type="dxa" w:w="2340"/>
            <w:shd w:fill="1F4E79"/>
          </w:tcPr>
          <w:p>
            <w:pPr>
              <w:jc w:val="left"/>
            </w:pPr>
            <w:r>
              <w:rPr>
                <w:b/>
                <w:color w:val="FFFFFF"/>
                <w:sz w:val="18"/>
              </w:rPr>
              <w:t>Dismissal Probability</w:t>
            </w:r>
          </w:p>
        </w:tc>
      </w:tr>
      <w:tr>
        <w:tc>
          <w:tcPr>
            <w:tcW w:type="dxa" w:w="2340"/>
          </w:tcPr>
          <w:p>
            <w:r>
              <w:rPr>
                <w:sz w:val="18"/>
              </w:rPr>
              <w:t>Clinical-stage, single trial failure, clean disclosures</w:t>
            </w:r>
          </w:p>
        </w:tc>
        <w:tc>
          <w:tcPr>
            <w:tcW w:type="dxa" w:w="2340"/>
          </w:tcPr>
          <w:p>
            <w:r>
              <w:rPr>
                <w:sz w:val="18"/>
              </w:rPr>
              <w:t>$2-5M</w:t>
            </w:r>
          </w:p>
        </w:tc>
        <w:tc>
          <w:tcPr>
            <w:tcW w:type="dxa" w:w="2340"/>
          </w:tcPr>
          <w:p>
            <w:r>
              <w:rPr>
                <w:sz w:val="18"/>
              </w:rPr>
              <w:t>$0 (dismissed) to $5-10M</w:t>
            </w:r>
          </w:p>
        </w:tc>
        <w:tc>
          <w:tcPr>
            <w:tcW w:type="dxa" w:w="2340"/>
          </w:tcPr>
          <w:p>
            <w:r>
              <w:rPr>
                <w:sz w:val="18"/>
              </w:rPr>
              <w:t>65-75%</w:t>
            </w:r>
          </w:p>
        </w:tc>
      </w:tr>
      <w:tr>
        <w:tc>
          <w:tcPr>
            <w:tcW w:type="dxa" w:w="2340"/>
            <w:shd w:fill="E8F0FE"/>
          </w:tcPr>
          <w:p>
            <w:r>
              <w:rPr>
                <w:sz w:val="18"/>
              </w:rPr>
              <w:t>Clinical-stage, trial failure with insider trading</w:t>
            </w:r>
          </w:p>
        </w:tc>
        <w:tc>
          <w:tcPr>
            <w:tcW w:type="dxa" w:w="2340"/>
            <w:shd w:fill="E8F0FE"/>
          </w:tcPr>
          <w:p>
            <w:r>
              <w:rPr>
                <w:sz w:val="18"/>
              </w:rPr>
              <w:t>$5-10M</w:t>
            </w:r>
          </w:p>
        </w:tc>
        <w:tc>
          <w:tcPr>
            <w:tcW w:type="dxa" w:w="2340"/>
            <w:shd w:fill="E8F0FE"/>
          </w:tcPr>
          <w:p>
            <w:r>
              <w:rPr>
                <w:sz w:val="18"/>
              </w:rPr>
              <w:t>$10-30M</w:t>
            </w:r>
          </w:p>
        </w:tc>
        <w:tc>
          <w:tcPr>
            <w:tcW w:type="dxa" w:w="2340"/>
            <w:shd w:fill="E8F0FE"/>
          </w:tcPr>
          <w:p>
            <w:r>
              <w:rPr>
                <w:sz w:val="18"/>
              </w:rPr>
              <w:t>40-50%</w:t>
            </w:r>
          </w:p>
        </w:tc>
      </w:tr>
      <w:tr>
        <w:tc>
          <w:tcPr>
            <w:tcW w:type="dxa" w:w="2340"/>
          </w:tcPr>
          <w:p>
            <w:r>
              <w:rPr>
                <w:sz w:val="18"/>
              </w:rPr>
              <w:t>Mature product, financial reporting issues</w:t>
            </w:r>
          </w:p>
        </w:tc>
        <w:tc>
          <w:tcPr>
            <w:tcW w:type="dxa" w:w="2340"/>
          </w:tcPr>
          <w:p>
            <w:r>
              <w:rPr>
                <w:sz w:val="18"/>
              </w:rPr>
              <w:t>$5-15M</w:t>
            </w:r>
          </w:p>
        </w:tc>
        <w:tc>
          <w:tcPr>
            <w:tcW w:type="dxa" w:w="2340"/>
          </w:tcPr>
          <w:p>
            <w:r>
              <w:rPr>
                <w:sz w:val="18"/>
              </w:rPr>
              <w:t>$15-50M</w:t>
            </w:r>
          </w:p>
        </w:tc>
        <w:tc>
          <w:tcPr>
            <w:tcW w:type="dxa" w:w="2340"/>
          </w:tcPr>
          <w:p>
            <w:r>
              <w:rPr>
                <w:sz w:val="18"/>
              </w:rPr>
              <w:t>35-45%</w:t>
            </w:r>
          </w:p>
        </w:tc>
      </w:tr>
      <w:tr>
        <w:tc>
          <w:tcPr>
            <w:tcW w:type="dxa" w:w="2340"/>
            <w:shd w:fill="E8F0FE"/>
          </w:tcPr>
          <w:p>
            <w:r>
              <w:rPr>
                <w:sz w:val="18"/>
              </w:rPr>
              <w:t>IPO/offering with Section 11 claims</w:t>
            </w:r>
          </w:p>
        </w:tc>
        <w:tc>
          <w:tcPr>
            <w:tcW w:type="dxa" w:w="2340"/>
            <w:shd w:fill="E8F0FE"/>
          </w:tcPr>
          <w:p>
            <w:r>
              <w:rPr>
                <w:sz w:val="18"/>
              </w:rPr>
              <w:t>$5-12M</w:t>
            </w:r>
          </w:p>
        </w:tc>
        <w:tc>
          <w:tcPr>
            <w:tcW w:type="dxa" w:w="2340"/>
            <w:shd w:fill="E8F0FE"/>
          </w:tcPr>
          <w:p>
            <w:r>
              <w:rPr>
                <w:sz w:val="18"/>
              </w:rPr>
              <w:t>$10-40M</w:t>
            </w:r>
          </w:p>
        </w:tc>
        <w:tc>
          <w:tcPr>
            <w:tcW w:type="dxa" w:w="2340"/>
            <w:shd w:fill="E8F0FE"/>
          </w:tcPr>
          <w:p>
            <w:r>
              <w:rPr>
                <w:sz w:val="18"/>
              </w:rPr>
              <w:t>30-40%</w:t>
            </w:r>
          </w:p>
        </w:tc>
      </w:tr>
      <w:tr>
        <w:tc>
          <w:tcPr>
            <w:tcW w:type="dxa" w:w="2340"/>
          </w:tcPr>
          <w:p>
            <w:r>
              <w:rPr>
                <w:sz w:val="18"/>
              </w:rPr>
              <w:t>Large-cap, multi-disclosure, SEC investigation</w:t>
            </w:r>
          </w:p>
        </w:tc>
        <w:tc>
          <w:tcPr>
            <w:tcW w:type="dxa" w:w="2340"/>
          </w:tcPr>
          <w:p>
            <w:r>
              <w:rPr>
                <w:sz w:val="18"/>
              </w:rPr>
              <w:t>$15-30M+</w:t>
            </w:r>
          </w:p>
        </w:tc>
        <w:tc>
          <w:tcPr>
            <w:tcW w:type="dxa" w:w="2340"/>
          </w:tcPr>
          <w:p>
            <w:r>
              <w:rPr>
                <w:sz w:val="18"/>
              </w:rPr>
              <w:t>$50-200M+</w:t>
            </w:r>
          </w:p>
        </w:tc>
        <w:tc>
          <w:tcPr>
            <w:tcW w:type="dxa" w:w="2340"/>
          </w:tcPr>
          <w:p>
            <w:r>
              <w:rPr>
                <w:sz w:val="18"/>
              </w:rPr>
              <w:t>20-30%</w:t>
            </w:r>
          </w:p>
        </w:tc>
      </w:tr>
    </w:tbl>
    <w:p/>
    <w:p>
      <w:r>
        <w:t>____________________________________________________________</w:t>
      </w:r>
    </w:p>
    <w:p>
      <w:pPr>
        <w:pStyle w:val="Heading1"/>
      </w:pPr>
      <w:r>
        <w:t>7. Pricing Considerations</w:t>
      </w:r>
    </w:p>
    <w:p>
      <w:pPr>
        <w:pStyle w:val="Heading2"/>
      </w:pPr>
      <w:r>
        <w:t>7.1 Market Context</w:t>
      </w:r>
    </w:p>
    <w:p>
      <w:r>
        <w:t>According to Gallagher's 2024 Life Sciences Insurance Market Summary, clinical trial D&amp;O pricing reached an "all-time low" with ample capacity, despite low primary rates [7]. This suggests the market has begun to internalize the favorable claims data for clinical-stage companies. However, underwriters should be cautious about following market pricing below technical adequacy, particularly for accounts with red flag indicators.</w:t>
      </w:r>
    </w:p>
    <w:p>
      <w:pPr>
        <w:pStyle w:val="Heading2"/>
      </w:pPr>
      <w:r>
        <w:t>7.2 Key Pricing Variables</w:t>
      </w:r>
    </w:p>
    <w:p>
      <w:r>
        <w:t>The primary variables that should drive pricing differentiation within the biotech sector are:</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jc w:val="left"/>
            </w:pPr>
            <w:r>
              <w:rPr>
                <w:b/>
                <w:color w:val="FFFFFF"/>
                <w:sz w:val="18"/>
              </w:rPr>
              <w:t>Variable</w:t>
            </w:r>
          </w:p>
        </w:tc>
        <w:tc>
          <w:tcPr>
            <w:tcW w:type="dxa" w:w="4680"/>
            <w:shd w:fill="1F4E79"/>
          </w:tcPr>
          <w:p>
            <w:pPr>
              <w:jc w:val="left"/>
            </w:pPr>
            <w:r>
              <w:rPr>
                <w:b/>
                <w:color w:val="FFFFFF"/>
                <w:sz w:val="18"/>
              </w:rPr>
              <w:t>Impact on Pricing</w:t>
            </w:r>
          </w:p>
        </w:tc>
      </w:tr>
      <w:tr>
        <w:tc>
          <w:tcPr>
            <w:tcW w:type="dxa" w:w="4680"/>
          </w:tcPr>
          <w:p>
            <w:r>
              <w:rPr>
                <w:sz w:val="18"/>
              </w:rPr>
              <w:t>Phase of development</w:t>
            </w:r>
          </w:p>
        </w:tc>
        <w:tc>
          <w:tcPr>
            <w:tcW w:type="dxa" w:w="4680"/>
          </w:tcPr>
          <w:p>
            <w:r>
              <w:rPr>
                <w:sz w:val="18"/>
              </w:rPr>
              <w:t>Pre-revenue clinical stage should generally be priced lower than mature commercial stage (contrary to traditional assumptions)</w:t>
            </w:r>
          </w:p>
        </w:tc>
      </w:tr>
      <w:tr>
        <w:tc>
          <w:tcPr>
            <w:tcW w:type="dxa" w:w="4680"/>
            <w:shd w:fill="E8F0FE"/>
          </w:tcPr>
          <w:p>
            <w:r>
              <w:rPr>
                <w:sz w:val="18"/>
              </w:rPr>
              <w:t>Single-asset vs. diversified pipeline</w:t>
            </w:r>
          </w:p>
        </w:tc>
        <w:tc>
          <w:tcPr>
            <w:tcW w:type="dxa" w:w="4680"/>
            <w:shd w:fill="E8F0FE"/>
          </w:tcPr>
          <w:p>
            <w:r>
              <w:rPr>
                <w:sz w:val="18"/>
              </w:rPr>
              <w:t>Single-asset companies warrant a loading for concentration risk</w:t>
            </w:r>
          </w:p>
        </w:tc>
      </w:tr>
      <w:tr>
        <w:tc>
          <w:tcPr>
            <w:tcW w:type="dxa" w:w="4680"/>
          </w:tcPr>
          <w:p>
            <w:r>
              <w:rPr>
                <w:sz w:val="18"/>
              </w:rPr>
              <w:t>Upcoming binary catalysts within policy period</w:t>
            </w:r>
          </w:p>
        </w:tc>
        <w:tc>
          <w:tcPr>
            <w:tcW w:type="dxa" w:w="4680"/>
          </w:tcPr>
          <w:p>
            <w:r>
              <w:rPr>
                <w:sz w:val="18"/>
              </w:rPr>
              <w:t>PDUFA dates, AdCom meetings, and Phase III readouts within the policy period increase exposure</w:t>
            </w:r>
          </w:p>
        </w:tc>
      </w:tr>
      <w:tr>
        <w:tc>
          <w:tcPr>
            <w:tcW w:type="dxa" w:w="4680"/>
            <w:shd w:fill="E8F0FE"/>
          </w:tcPr>
          <w:p>
            <w:r>
              <w:rPr>
                <w:sz w:val="18"/>
              </w:rPr>
              <w:t>Recent or planned securities offerings</w:t>
            </w:r>
          </w:p>
        </w:tc>
        <w:tc>
          <w:tcPr>
            <w:tcW w:type="dxa" w:w="4680"/>
            <w:shd w:fill="E8F0FE"/>
          </w:tcPr>
          <w:p>
            <w:r>
              <w:rPr>
                <w:sz w:val="18"/>
              </w:rPr>
              <w:t>Section 11 exposure warrants a loading, particularly for IPOs</w:t>
            </w:r>
          </w:p>
        </w:tc>
      </w:tr>
      <w:tr>
        <w:tc>
          <w:tcPr>
            <w:tcW w:type="dxa" w:w="4680"/>
          </w:tcPr>
          <w:p>
            <w:r>
              <w:rPr>
                <w:sz w:val="18"/>
              </w:rPr>
              <w:t>Insider trading discipline</w:t>
            </w:r>
          </w:p>
        </w:tc>
        <w:tc>
          <w:tcPr>
            <w:tcW w:type="dxa" w:w="4680"/>
          </w:tcPr>
          <w:p>
            <w:r>
              <w:rPr>
                <w:sz w:val="18"/>
              </w:rPr>
              <w:t>Clean 10b5-1 plans and no suspicious trading history support favorable pricing</w:t>
            </w:r>
          </w:p>
        </w:tc>
      </w:tr>
      <w:tr>
        <w:tc>
          <w:tcPr>
            <w:tcW w:type="dxa" w:w="4680"/>
            <w:shd w:fill="E8F0FE"/>
          </w:tcPr>
          <w:p>
            <w:r>
              <w:rPr>
                <w:sz w:val="18"/>
              </w:rPr>
              <w:t>Disclosure quality</w:t>
            </w:r>
          </w:p>
        </w:tc>
        <w:tc>
          <w:tcPr>
            <w:tcW w:type="dxa" w:w="4680"/>
            <w:shd w:fill="E8F0FE"/>
          </w:tcPr>
          <w:p>
            <w:r>
              <w:rPr>
                <w:sz w:val="18"/>
              </w:rPr>
              <w:t>Companies with strong legal counsel and disciplined disclosure practices deserve credit</w:t>
            </w:r>
          </w:p>
        </w:tc>
      </w:tr>
      <w:tr>
        <w:tc>
          <w:tcPr>
            <w:tcW w:type="dxa" w:w="4680"/>
          </w:tcPr>
          <w:p>
            <w:r>
              <w:rPr>
                <w:sz w:val="18"/>
              </w:rPr>
              <w:t>Cash runway</w:t>
            </w:r>
          </w:p>
        </w:tc>
        <w:tc>
          <w:tcPr>
            <w:tcW w:type="dxa" w:w="4680"/>
          </w:tcPr>
          <w:p>
            <w:r>
              <w:rPr>
                <w:sz w:val="18"/>
              </w:rPr>
              <w:t>Companies with less than 12 months of cash face compounding risks (capital raise + operational pressure)</w:t>
            </w:r>
          </w:p>
        </w:tc>
      </w:tr>
    </w:tbl>
    <w:p/>
    <w:p>
      <w:r>
        <w:t>____________________________________________________________</w:t>
      </w:r>
    </w:p>
    <w:p>
      <w:pPr>
        <w:pStyle w:val="Heading1"/>
      </w:pPr>
      <w:r>
        <w:t>8. Conclusion</w:t>
      </w:r>
    </w:p>
    <w:p>
      <w:r>
        <w:t>Effective biotech D&amp;O underwriting requires moving beyond the intuitive but empirically unsupported assumption that high clinical failure rates equal high D&amp;O risk. The data consistently shows that clinical-stage biotech companies defend securities claims more successfully than the broader market. The true drivers of claim severity are not clinical outcomes themselves, but rather the quality of management's disclosures surrounding those outcomes, the presence or absence of suspicious insider trading, and the exposure created by securities offerings.</w:t>
      </w:r>
    </w:p>
    <w:p>
      <w:r>
        <w:t>By focusing on these actionable risk factors rather than the inherent uncertainty of drug development, underwriters can accurately differentiate between well-managed biotech accounts that deserve competitive pricing and poorly managed accounts that present genuine severity risk.</w:t>
      </w:r>
    </w:p>
    <w:p>
      <w:r>
        <w:t>____________________________________________________________</w:t>
      </w:r>
    </w:p>
    <w:p>
      <w:pPr>
        <w:pStyle w:val="Heading2"/>
      </w:pPr>
      <w:r>
        <w:t>References</w:t>
      </w:r>
    </w:p>
    <w:p>
      <w:pPr>
        <w:spacing w:before="40" w:after="40"/>
      </w:pPr>
      <w:r>
        <w:rPr>
          <w:b/>
          <w:sz w:val="18"/>
        </w:rPr>
        <w:t xml:space="preserve">[1] </w:t>
      </w:r>
      <w:r>
        <w:rPr>
          <w:sz w:val="18"/>
        </w:rPr>
        <w:t xml:space="preserve">Why 90% of clinical drug development fails and how to improve it?. </w:t>
      </w:r>
      <w:r>
        <w:rPr>
          <w:color w:val="0066CC"/>
          <w:sz w:val="16"/>
        </w:rPr>
        <w:t>https://pmc.ncbi.nlm.nih.gov/articles/PMC9293739/</w:t>
      </w:r>
    </w:p>
    <w:p>
      <w:pPr>
        <w:spacing w:before="40" w:after="40"/>
      </w:pPr>
      <w:r>
        <w:rPr>
          <w:b/>
          <w:sz w:val="18"/>
        </w:rPr>
        <w:t xml:space="preserve">[2] </w:t>
      </w:r>
      <w:r>
        <w:rPr>
          <w:sz w:val="18"/>
        </w:rPr>
        <w:t xml:space="preserve">The D&amp;O Diary - Analysis of Biotech Securities Class Action Motion to Dismiss Results, 2005-2022. </w:t>
      </w:r>
      <w:r>
        <w:rPr>
          <w:color w:val="0066CC"/>
          <w:sz w:val="16"/>
        </w:rPr>
        <w:t>https://www.dandodiary.com/2022/07/articles/securities-litigation/guest-post-analysis-of-biotech-securities-class-action-motion-to-dismiss-results-2005-2022/</w:t>
      </w:r>
    </w:p>
    <w:p>
      <w:pPr>
        <w:spacing w:before="40" w:after="40"/>
      </w:pPr>
      <w:r>
        <w:rPr>
          <w:b/>
          <w:sz w:val="18"/>
        </w:rPr>
        <w:t xml:space="preserve">[3] </w:t>
      </w:r>
      <w:r>
        <w:rPr>
          <w:sz w:val="18"/>
        </w:rPr>
        <w:t xml:space="preserve">WTW - 2025 Life Sciences Litigation Trends. </w:t>
      </w:r>
      <w:r>
        <w:rPr>
          <w:color w:val="0066CC"/>
          <w:sz w:val="16"/>
        </w:rPr>
        <w:t>https://www.wtwco.com/en-us/insights/2025/10/2025-life-sciences-litigation-trends</w:t>
      </w:r>
    </w:p>
    <w:p>
      <w:pPr>
        <w:spacing w:before="40" w:after="40"/>
      </w:pPr>
      <w:r>
        <w:rPr>
          <w:b/>
          <w:sz w:val="18"/>
        </w:rPr>
        <w:t xml:space="preserve">[4] </w:t>
      </w:r>
      <w:r>
        <w:rPr>
          <w:sz w:val="18"/>
        </w:rPr>
        <w:t xml:space="preserve">FDA - Priority Review. </w:t>
      </w:r>
      <w:r>
        <w:rPr>
          <w:color w:val="0066CC"/>
          <w:sz w:val="16"/>
        </w:rPr>
        <w:t>https://www.fda.gov/patients/fast-track-breakthrough-therapy-accelerated-approval-priority-review/priority-review</w:t>
      </w:r>
    </w:p>
    <w:p>
      <w:pPr>
        <w:spacing w:before="40" w:after="40"/>
      </w:pPr>
      <w:r>
        <w:rPr>
          <w:b/>
          <w:sz w:val="18"/>
        </w:rPr>
        <w:t xml:space="preserve">[5] </w:t>
      </w:r>
      <w:r>
        <w:rPr>
          <w:sz w:val="18"/>
        </w:rPr>
        <w:t xml:space="preserve">Goodwin Procter - Securities Litigation Against Life Sciences 2024 Year in Review. </w:t>
      </w:r>
      <w:r>
        <w:rPr>
          <w:color w:val="0066CC"/>
          <w:sz w:val="16"/>
        </w:rPr>
        <w:t>https://www.goodwinlaw.com/en/year-in-review/securities-litigation-against-life-sciences-2024-yir</w:t>
      </w:r>
    </w:p>
    <w:p>
      <w:pPr>
        <w:spacing w:before="40" w:after="40"/>
      </w:pPr>
      <w:r>
        <w:rPr>
          <w:b/>
          <w:sz w:val="18"/>
        </w:rPr>
        <w:t xml:space="preserve">[6] </w:t>
      </w:r>
      <w:r>
        <w:rPr>
          <w:sz w:val="18"/>
        </w:rPr>
        <w:t xml:space="preserve">Cornerstone Research - Securities Class Action Settlements 2025. </w:t>
      </w:r>
      <w:r>
        <w:rPr>
          <w:color w:val="0066CC"/>
          <w:sz w:val="16"/>
        </w:rPr>
        <w:t>https://www.cornerstone.com/insights/press-releases/overall-size-of-securities-class-action-filings-reached-new-heights-in-2025/</w:t>
      </w:r>
    </w:p>
    <w:p>
      <w:pPr>
        <w:spacing w:before="40" w:after="40"/>
      </w:pPr>
      <w:r>
        <w:rPr>
          <w:b/>
          <w:sz w:val="18"/>
        </w:rPr>
        <w:t xml:space="preserve">[7] </w:t>
      </w:r>
      <w:r>
        <w:rPr>
          <w:sz w:val="18"/>
        </w:rPr>
        <w:t xml:space="preserve">Gallagher - Summer 2024 Insurance Market Summary for Life Science Companies. </w:t>
      </w:r>
      <w:r>
        <w:rPr>
          <w:color w:val="0066CC"/>
          <w:sz w:val="16"/>
        </w:rPr>
        <w:t>https://www.ajg.com/-/media/files/gallagher/us/news-and-insights/2024/life-sciences-2024-summer-insurance-market-update-summary.pdf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