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Modern Life Sciences D&amp;O Underwriting Guide</w:t>
      </w:r>
    </w:p>
    <w:p>
      <w:r/>
      <w:r>
        <w:rPr>
          <w:b/>
        </w:rPr>
        <w:t>Prepared by:</w:t>
      </w:r>
      <w:r>
        <w:t xml:space="preserve"> Manus AI</w:t>
      </w:r>
    </w:p>
    <w:p>
      <w:r/>
      <w:r>
        <w:rPr>
          <w:b/>
        </w:rPr>
        <w:t>Date:</w:t>
      </w:r>
      <w:r>
        <w:t xml:space="preserve"> March 2026</w:t>
      </w:r>
    </w:p>
    <w:p>
      <w:pPr>
        <w:pStyle w:val="Heading2"/>
      </w:pPr>
      <w:r>
        <w:t>Introduction</w:t>
      </w:r>
    </w:p>
    <w:p>
      <w:r>
        <w:t>This guide provides a comprehensive, data-driven framework for underwriting Directors and Officers (D&amp;O) liability insurance for life sciences companies. Unlike legacy approaches that treat "biotech" as a monolithic, high-risk category defined primarily by the fear of clinical trial failures, this framework relies on empirical litigation data from 2024-2026 to differentiate risk by development phase, therapeutic modality, and management disclosure discipline.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Part I: Myths vs. Reality in Biotech Underwriting</w:t>
      </w:r>
    </w:p>
    <w:p>
      <w:r>
        <w:t>Underwriters often rely on heuristic assumptions about biotech risk that are contradicted by empirical data. The following analysis, drawn from the BakerHostetler/PLUS study [1] and 2024-2025 data from Sidley Austin [2] and WTW [3], corrects these common misconceptions.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2B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The Underwriting Myth</w:t>
            </w:r>
          </w:p>
        </w:tc>
        <w:tc>
          <w:tcPr>
            <w:tcW w:type="dxa" w:w="3135"/>
            <w:shd w:fill="002B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The Empirical Reality</w:t>
            </w:r>
          </w:p>
        </w:tc>
        <w:tc>
          <w:tcPr>
            <w:tcW w:type="dxa" w:w="3135"/>
            <w:shd w:fill="002B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Underwriting Implication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sz w:val="20"/>
              </w:rPr>
              <w:t>Myth 1: Failed clinical trials inevitably lead to expensive, hard-to-defend securities class actions.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sz w:val="20"/>
              </w:rPr>
              <w:t>Reality: Development-stage biotech companies win complete dismissals in ~68% of cases [1]. In 2024, life sciences companies won 59% of motions to dismiss and 100% of appellate cases [2].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sz w:val="20"/>
              </w:rPr>
              <w:t>Stop applying punitive pricing solely based on the presence of a Phase II/III trial. The structural legal defenses are highly effective.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left"/>
            </w:pPr>
            <w:r/>
            <w:r>
              <w:rPr>
                <w:sz w:val="20"/>
              </w:rPr>
              <w:t>Myth 2: Pre-approval companies are the riskiest segment of the life sciences portfolio.</w:t>
            </w:r>
          </w:p>
        </w:tc>
        <w:tc>
          <w:tcPr>
            <w:tcW w:type="dxa" w:w="3135"/>
            <w:shd w:fill="F0F4F8" w:val="clear"/>
          </w:tcPr>
          <w:p>
            <w:pPr>
              <w:jc w:val="left"/>
            </w:pPr>
            <w:r/>
            <w:r>
              <w:rPr>
                <w:sz w:val="20"/>
              </w:rPr>
              <w:t>Reality: In 2024, 43% of new securities class actions were filed against companies with *mature products* [2]. The transition to commercialization is often more dangerous than the clinical phase.</w:t>
            </w:r>
          </w:p>
        </w:tc>
        <w:tc>
          <w:tcPr>
            <w:tcW w:type="dxa" w:w="3135"/>
            <w:shd w:fill="F0F4F8" w:val="clear"/>
          </w:tcPr>
          <w:p>
            <w:pPr>
              <w:jc w:val="left"/>
            </w:pPr>
            <w:r/>
            <w:r>
              <w:rPr>
                <w:sz w:val="20"/>
              </w:rPr>
              <w:t>Scrutinize the commercialization infrastructure, sales forecasting, and reimbursement strategy as heavily as clinical data.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sz w:val="20"/>
              </w:rPr>
              <w:t>Myth 3: Management risks liability by speaking optimistically about clinical trials.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sz w:val="20"/>
              </w:rPr>
              <w:t>Reality: Under the *Omnicare* standard and the PSLRA safe harbor, statements of opinion ("we are encouraged," "we believe") are heavily protected as long as they are honestly held [1].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sz w:val="20"/>
              </w:rPr>
              <w:t>Do not penalize companies for standard corporate optimism. Focus instead on whether they accurately disclose underlying data.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left"/>
            </w:pPr>
            <w:r/>
            <w:r>
              <w:rPr>
                <w:sz w:val="20"/>
              </w:rPr>
              <w:t>Myth 4: Challenges to a company's clinical methodology usually survive motions to dismiss.</w:t>
            </w:r>
          </w:p>
        </w:tc>
        <w:tc>
          <w:tcPr>
            <w:tcW w:type="dxa" w:w="3135"/>
            <w:shd w:fill="F0F4F8" w:val="clear"/>
          </w:tcPr>
          <w:p>
            <w:pPr>
              <w:jc w:val="left"/>
            </w:pPr>
            <w:r/>
            <w:r>
              <w:rPr>
                <w:sz w:val="20"/>
              </w:rPr>
              <w:t>Reality: Courts routinely dismiss claims based on disputes over clinical methodology, viewing them as scientific disagreements rather than securities fraud [1].</w:t>
            </w:r>
          </w:p>
        </w:tc>
        <w:tc>
          <w:tcPr>
            <w:tcW w:type="dxa" w:w="3135"/>
            <w:shd w:fill="F0F4F8" w:val="clear"/>
          </w:tcPr>
          <w:p>
            <w:pPr>
              <w:jc w:val="left"/>
            </w:pPr>
            <w:r/>
            <w:r>
              <w:rPr>
                <w:sz w:val="20"/>
              </w:rPr>
              <w:t>The legal line is drawn at *data manipulation* or *concealment*, not poor trial design.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sz w:val="20"/>
              </w:rPr>
              <w:t>Myth 5: Insider trading during a trial automatically defeats a motion to dismiss.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sz w:val="20"/>
              </w:rPr>
              <w:t>Reality: Courts view insider sales holistically. Routine sales under 10b5-1 plans or sales made to fund operations do not automatically establish scienter (intent to defraud) [1] [4].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sz w:val="20"/>
              </w:rPr>
              <w:t>Analyze the *context* of insider sales, not just their existence.</w:t>
            </w:r>
          </w:p>
        </w:tc>
      </w:tr>
    </w:tbl>
    <w:p/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Part II: The Technology and Phase Risk Matrix</w:t>
      </w:r>
    </w:p>
    <w:p>
      <w:r>
        <w:t>Not all biotech companies are created equal. The probability of a stock-drop event (and subsequent litigation) is heavily dependent on the specific modality and the phase of development [5] [6].</w:t>
      </w:r>
    </w:p>
    <w:p>
      <w:pPr>
        <w:pStyle w:val="Heading3"/>
      </w:pPr>
      <w:r>
        <w:t>A. Risk by Therapeutic Modality</w:t>
      </w:r>
    </w:p>
    <w:p>
      <w:pPr>
        <w:pStyle w:val="ListNumber"/>
      </w:pPr>
      <w:r/>
      <w:r>
        <w:rPr>
          <w:b/>
        </w:rPr>
        <w:t>Small Molecules &amp; Traditional Biologics:</w:t>
      </w:r>
      <w:r>
        <w:t xml:space="preserve"> The established path. Risk is concentrated in Phase II (efficacy failure) and Phase III (effect size collapse). Overall likelihood of approval (LOA) is historically ~7-15% [5].</w:t>
      </w:r>
    </w:p>
    <w:p>
      <w:pPr>
        <w:pStyle w:val="ListNumber"/>
      </w:pPr>
      <w:r/>
      <w:r>
        <w:rPr>
          <w:b/>
        </w:rPr>
        <w:t>Gene Therapy:</w:t>
      </w:r>
      <w:r>
        <w:t xml:space="preserve"> </w:t>
      </w:r>
      <w:r>
        <w:rPr>
          <w:b/>
        </w:rPr>
        <w:t>High Risk.</w:t>
      </w:r>
      <w:r>
        <w:t xml:space="preserve"> Gene therapies face unique risks of late-stage clinical holds due to viral vector safety signals or manufacturing (CMC) issues [6]. Furthermore, the unknown durability of response creates long-tail post-approval litigation risk [6].</w:t>
      </w:r>
    </w:p>
    <w:p>
      <w:pPr>
        <w:pStyle w:val="ListNumber"/>
      </w:pPr>
      <w:r/>
      <w:r>
        <w:rPr>
          <w:b/>
        </w:rPr>
        <w:t>Medical Devices:</w:t>
      </w:r>
      <w:r>
        <w:t xml:space="preserve"> Risk varies by regulatory pathway. 510(k) devices face lower pre-market risk but higher post-market product liability/recall risk. PMA devices face risk profiles similar to traditional drugs [6].</w:t>
      </w:r>
    </w:p>
    <w:p>
      <w:pPr>
        <w:pStyle w:val="Heading3"/>
      </w:pPr>
      <w:r>
        <w:t>B. The Development Lifecycle Risk Map</w:t>
      </w:r>
    </w:p>
    <w:p>
      <w:r>
        <w:t>The nature of D&amp;O risk shifts dramatically as a company progresses through the regulatory lifecycle.</w:t>
      </w:r>
    </w:p>
    <w:p>
      <w:pPr>
        <w:pStyle w:val="Heading4"/>
      </w:pPr>
      <w:r>
        <w:t>Phase 1: Pre-Clinical &amp; Phase I (The "Safety" Phase)</w:t>
      </w:r>
    </w:p>
    <w:p>
      <w:pPr>
        <w:pStyle w:val="ListBullet"/>
      </w:pPr>
      <w:r/>
      <w:r>
        <w:rPr>
          <w:b/>
        </w:rPr>
        <w:t>Primary Focus:</w:t>
      </w:r>
      <w:r>
        <w:t xml:space="preserve"> Tolerability, pharmacokinetics, and identifying the maximum tolerated dose.</w:t>
      </w:r>
    </w:p>
    <w:p>
      <w:pPr>
        <w:pStyle w:val="ListBullet"/>
      </w:pPr>
      <w:r/>
      <w:r>
        <w:rPr>
          <w:b/>
        </w:rPr>
        <w:t>D&amp;O Risk Level:</w:t>
      </w:r>
      <w:r>
        <w:t xml:space="preserve"> </w:t>
      </w:r>
      <w:r>
        <w:rPr>
          <w:b/>
        </w:rPr>
        <w:t>Low to Moderate.</w:t>
      </w:r>
      <w:r>
        <w:t xml:space="preserve"> Failures here are common but usually expected by the market, resulting in smaller stock drops unless the company is a single-asset entity.</w:t>
      </w:r>
    </w:p>
    <w:p>
      <w:pPr>
        <w:pStyle w:val="ListBullet"/>
      </w:pPr>
      <w:r/>
      <w:r>
        <w:rPr>
          <w:b/>
        </w:rPr>
        <w:t>Key Underwriting Check:</w:t>
      </w:r>
      <w:r>
        <w:t xml:space="preserve"> Does the company have a diversified pipeline, or is their entire valuation tied to this single Phase I asset?</w:t>
      </w:r>
    </w:p>
    <w:p>
      <w:pPr>
        <w:pStyle w:val="Heading4"/>
      </w:pPr>
      <w:r>
        <w:t>Phase 2: Phase II &amp; Phase III (The "Efficacy &amp; Scale" Phase)</w:t>
      </w:r>
    </w:p>
    <w:p>
      <w:pPr>
        <w:pStyle w:val="ListBullet"/>
      </w:pPr>
      <w:r/>
      <w:r>
        <w:rPr>
          <w:b/>
        </w:rPr>
        <w:t>Primary Focus:</w:t>
      </w:r>
      <w:r>
        <w:t xml:space="preserve"> Proving efficacy against a specific disease and confirming safety at scale.</w:t>
      </w:r>
    </w:p>
    <w:p>
      <w:pPr>
        <w:pStyle w:val="ListBullet"/>
      </w:pPr>
      <w:r/>
      <w:r>
        <w:rPr>
          <w:b/>
        </w:rPr>
        <w:t>D&amp;O Risk Level:</w:t>
      </w:r>
      <w:r>
        <w:t xml:space="preserve"> </w:t>
      </w:r>
      <w:r>
        <w:rPr>
          <w:b/>
        </w:rPr>
        <w:t>High.</w:t>
      </w:r>
      <w:r>
        <w:t xml:space="preserve"> Phase II is the "graveyard" where weak biology is exposed [5]. Phase III failures are expensive and result in massive stock drops.</w:t>
      </w:r>
    </w:p>
    <w:p>
      <w:pPr>
        <w:pStyle w:val="ListBullet"/>
      </w:pPr>
      <w:r/>
      <w:r>
        <w:rPr>
          <w:b/>
        </w:rPr>
        <w:t>Key Underwriting Check:</w:t>
      </w:r>
      <w:r>
        <w:t xml:space="preserve"> How is management communicating with the FDA? Are they accurately reporting interim feedback, or are they over-promising?</w:t>
      </w:r>
    </w:p>
    <w:p>
      <w:pPr>
        <w:pStyle w:val="Heading4"/>
      </w:pPr>
      <w:r>
        <w:t>Phase 3: NDA/BLA Submission &amp; FDA Review</w:t>
      </w:r>
    </w:p>
    <w:p>
      <w:pPr>
        <w:pStyle w:val="ListBullet"/>
      </w:pPr>
      <w:r/>
      <w:r>
        <w:rPr>
          <w:b/>
        </w:rPr>
        <w:t>Primary Focus:</w:t>
      </w:r>
      <w:r>
        <w:t xml:space="preserve"> The 10-month standard review (or 6-month priority review) leading to the PDUFA date.</w:t>
      </w:r>
    </w:p>
    <w:p>
      <w:pPr>
        <w:pStyle w:val="ListBullet"/>
      </w:pPr>
      <w:r/>
      <w:r>
        <w:rPr>
          <w:b/>
        </w:rPr>
        <w:t>D&amp;O Risk Level:</w:t>
      </w:r>
      <w:r>
        <w:t xml:space="preserve"> </w:t>
      </w:r>
      <w:r>
        <w:rPr>
          <w:b/>
        </w:rPr>
        <w:t>Very High.</w:t>
      </w:r>
      <w:r>
        <w:t xml:space="preserve"> This is the period of maximum scrutiny.</w:t>
      </w:r>
    </w:p>
    <w:p>
      <w:pPr>
        <w:pStyle w:val="ListBullet"/>
      </w:pPr>
      <w:r/>
      <w:r>
        <w:rPr>
          <w:b/>
        </w:rPr>
        <w:t>Key Underwriting Check:</w:t>
      </w:r>
      <w:r>
        <w:t xml:space="preserve"> The single biggest red flag is a company affirmatively mischaracterizing specific FDA feedback (e.g., claiming the FDA "blessed" a trial design when they merely acknowledged receiving it) [1].</w:t>
      </w:r>
    </w:p>
    <w:p>
      <w:pPr>
        <w:pStyle w:val="Heading4"/>
      </w:pPr>
      <w:r>
        <w:t>Phase 4: Commercialization &amp; Mature Products</w:t>
      </w:r>
    </w:p>
    <w:p>
      <w:pPr>
        <w:pStyle w:val="ListBullet"/>
      </w:pPr>
      <w:r/>
      <w:r>
        <w:rPr>
          <w:b/>
        </w:rPr>
        <w:t>Primary Focus:</w:t>
      </w:r>
      <w:r>
        <w:t xml:space="preserve"> Product launch, sales execution, and securing insurance reimbursement.</w:t>
      </w:r>
    </w:p>
    <w:p>
      <w:pPr>
        <w:pStyle w:val="ListBullet"/>
      </w:pPr>
      <w:r/>
      <w:r>
        <w:rPr>
          <w:b/>
        </w:rPr>
        <w:t>D&amp;O Risk Level:</w:t>
      </w:r>
      <w:r>
        <w:t xml:space="preserve"> </w:t>
      </w:r>
      <w:r>
        <w:rPr>
          <w:b/>
        </w:rPr>
        <w:t>High (and growing).</w:t>
      </w:r>
      <w:r>
        <w:t xml:space="preserve"> As noted, 43% of 2024 claims targeted mature companies [2]. The shift from R&amp;D to commercial operations is fraught with execution risk [7].</w:t>
      </w:r>
    </w:p>
    <w:p>
      <w:pPr>
        <w:pStyle w:val="ListBullet"/>
      </w:pPr>
      <w:r/>
      <w:r>
        <w:rPr>
          <w:b/>
        </w:rPr>
        <w:t>Key Underwriting Check:</w:t>
      </w:r>
      <w:r>
        <w:t xml:space="preserve"> Does the board have commercialization experience, or is it still dominated by scientists? Are sales forecasts realistic?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Part III: The D&amp;O Underwriting Assessment Framework</w:t>
      </w:r>
    </w:p>
    <w:p>
      <w:r>
        <w:t>This section provides a structured, multi-category checklist for underwriters to assess the specific hazard profile of a life sciences applicant.</w:t>
      </w:r>
    </w:p>
    <w:p>
      <w:pPr>
        <w:pStyle w:val="Heading3"/>
      </w:pPr>
      <w:r>
        <w:t>Category 1: Regulatory Communication Discipline (The Highest Hazard)</w:t>
      </w:r>
    </w:p>
    <w:p>
      <w:r>
        <w:t>The most actionable D&amp;O claims arise from how a company characterizes its interactions with the FDA [1].</w:t>
      </w:r>
    </w:p>
    <w:p>
      <w:pPr>
        <w:pStyle w:val="ListBullet"/>
      </w:pPr>
      <w:r>
        <w:t xml:space="preserve">[1.1] </w:t>
      </w:r>
      <w:r>
        <w:rPr>
          <w:b/>
        </w:rPr>
        <w:t>FDA Feedback Characterization:</w:t>
      </w:r>
      <w:r>
        <w:t xml:space="preserve"> Does the company use specific, factual language when describing FDA interactions, rather than claiming the FDA "agreed," "approved," or "blessed" interim steps? (Red Flag: Overstating FDA alignment)</w:t>
      </w:r>
    </w:p>
    <w:p>
      <w:pPr>
        <w:pStyle w:val="ListBullet"/>
      </w:pPr>
      <w:r>
        <w:t xml:space="preserve">[1.2] </w:t>
      </w:r>
      <w:r>
        <w:rPr>
          <w:b/>
        </w:rPr>
        <w:t>Complete Disclosure:</w:t>
      </w:r>
      <w:r>
        <w:t xml:space="preserve"> When disclosing interim FDA feedback, does the company report both the positive elements and the significant negative/cautionary components?</w:t>
      </w:r>
    </w:p>
    <w:p>
      <w:pPr>
        <w:pStyle w:val="ListBullet"/>
      </w:pPr>
      <w:r>
        <w:t xml:space="preserve">[1.3] </w:t>
      </w:r>
      <w:r>
        <w:rPr>
          <w:b/>
        </w:rPr>
        <w:t>Form 483 Protocol:</w:t>
      </w:r>
      <w:r>
        <w:t xml:space="preserve"> Does the company have a formal process for reviewing and revising public risk disclosures immediately upon receipt of an FDA Form 483 (inspection observations)? [2]</w:t>
      </w:r>
    </w:p>
    <w:p>
      <w:pPr>
        <w:pStyle w:val="Heading3"/>
      </w:pPr>
      <w:r>
        <w:t>Category 2: Clinical Data Integrity</w:t>
      </w:r>
    </w:p>
    <w:p>
      <w:r>
        <w:t>Courts protect honest scientific disagreements, but severely punish data manipulation or the concealment of adverse results [1].</w:t>
      </w:r>
    </w:p>
    <w:p>
      <w:pPr>
        <w:pStyle w:val="ListBullet"/>
      </w:pPr>
      <w:r>
        <w:t xml:space="preserve">[2.1] </w:t>
      </w:r>
      <w:r>
        <w:rPr>
          <w:b/>
        </w:rPr>
        <w:t>Methodology Transparency:</w:t>
      </w:r>
      <w:r>
        <w:t xml:space="preserve"> Does the company accurately and thoroughly describe its clinical and interpretive methodologies to investors?</w:t>
      </w:r>
    </w:p>
    <w:p>
      <w:pPr>
        <w:pStyle w:val="ListBullet"/>
      </w:pPr>
      <w:r>
        <w:t xml:space="preserve">[2.2] </w:t>
      </w:r>
      <w:r>
        <w:rPr>
          <w:b/>
        </w:rPr>
        <w:t>Data Consistency:</w:t>
      </w:r>
      <w:r>
        <w:t xml:space="preserve"> Is the company's public interpretation of clinical data consistent with the internal data provided to the FDA? (Red Flag: Applying a statistical analysis publicly that differs from the one agreed upon with the FDA).</w:t>
      </w:r>
    </w:p>
    <w:p>
      <w:pPr>
        <w:pStyle w:val="Heading3"/>
      </w:pPr>
      <w:r>
        <w:t>Category 3: Commercial and Financial Execution</w:t>
      </w:r>
    </w:p>
    <w:p>
      <w:r>
        <w:t>General corporate risks are increasingly driving life sciences litigation [4].</w:t>
      </w:r>
    </w:p>
    <w:p>
      <w:pPr>
        <w:pStyle w:val="ListBullet"/>
      </w:pPr>
      <w:r>
        <w:t xml:space="preserve">[3.1] </w:t>
      </w:r>
      <w:r>
        <w:rPr>
          <w:b/>
        </w:rPr>
        <w:t>Commercial Transition Readiness:</w:t>
      </w:r>
      <w:r>
        <w:t xml:space="preserve"> For companies approaching approval, has the board transitioned to include members with specific commercial launch and reimbursement experience?</w:t>
      </w:r>
    </w:p>
    <w:p>
      <w:pPr>
        <w:pStyle w:val="ListBullet"/>
      </w:pPr>
      <w:r>
        <w:t xml:space="preserve">[3.2] </w:t>
      </w:r>
      <w:r>
        <w:rPr>
          <w:b/>
        </w:rPr>
        <w:t>Financial Controls:</w:t>
      </w:r>
      <w:r>
        <w:t xml:space="preserve"> Does the company have a history of material weaknesses in internal controls over financial reporting or restatements? (Red Flag: 34% of 2024 claims involved financial reporting) [4].</w:t>
      </w:r>
    </w:p>
    <w:p>
      <w:pPr>
        <w:pStyle w:val="ListBullet"/>
      </w:pPr>
      <w:r>
        <w:t xml:space="preserve">[3.3] </w:t>
      </w:r>
      <w:r>
        <w:rPr>
          <w:b/>
        </w:rPr>
        <w:t>Transaction History:</w:t>
      </w:r>
      <w:r>
        <w:t xml:space="preserve"> Is the company a recent de-SPAC entity? (Red Flag: De-SPAC companies face dual exposure from pre-merger projections and post-merger performance) [6].</w:t>
      </w:r>
    </w:p>
    <w:p>
      <w:pPr>
        <w:pStyle w:val="Heading3"/>
      </w:pPr>
      <w:r>
        <w:t>Category 4: Governance and Insider Activity</w:t>
      </w:r>
    </w:p>
    <w:p>
      <w:pPr>
        <w:pStyle w:val="ListBullet"/>
      </w:pPr>
      <w:r>
        <w:t xml:space="preserve">[4.1] </w:t>
      </w:r>
      <w:r>
        <w:rPr>
          <w:b/>
        </w:rPr>
        <w:t>10b5-1 Plan Utilization:</w:t>
      </w:r>
      <w:r>
        <w:t xml:space="preserve"> Are all executive stock sales conducted pursuant to established 10b5-1 trading plans?</w:t>
      </w:r>
    </w:p>
    <w:p>
      <w:pPr>
        <w:pStyle w:val="ListBullet"/>
      </w:pPr>
      <w:r>
        <w:t xml:space="preserve">[4.2] </w:t>
      </w:r>
      <w:r>
        <w:rPr>
          <w:b/>
        </w:rPr>
        <w:t>Trading Context:</w:t>
      </w:r>
      <w:r>
        <w:t xml:space="preserve"> Do insider sales occur suspiciously close to the release of negative clinical data or adverse FDA feedback?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Part IV: Severity Assessment and Pricing Considerations</w:t>
      </w:r>
    </w:p>
    <w:p>
      <w:r>
        <w:t>When an event occurs, underwriters must accurately assess the likely severity of the claim.</w:t>
      </w:r>
    </w:p>
    <w:p>
      <w:pPr>
        <w:pStyle w:val="Heading3"/>
      </w:pPr>
      <w:r>
        <w:t>1. The Baseline Severity Model</w:t>
      </w:r>
    </w:p>
    <w:p>
      <w:pPr>
        <w:pStyle w:val="ListBullet"/>
      </w:pPr>
      <w:r/>
      <w:r>
        <w:rPr>
          <w:b/>
        </w:rPr>
        <w:t>Dismissal Probability:</w:t>
      </w:r>
      <w:r>
        <w:t xml:space="preserve"> Historically, 50-68% of these cases will be dismissed entirely [1] [2] [3]. In these instances, the carrier's exposure is limited to defense costs (typically $2M - $5M for a motion to dismiss).</w:t>
      </w:r>
    </w:p>
    <w:p>
      <w:pPr>
        <w:pStyle w:val="ListBullet"/>
      </w:pPr>
      <w:r/>
      <w:r>
        <w:rPr>
          <w:b/>
        </w:rPr>
        <w:t>Settlement Ranges:</w:t>
      </w:r>
      <w:r>
        <w:t xml:space="preserve"> If a case survives a motion to dismiss, the median settlement for a '33 Act claim in 2024 was approximately $10.3 million [8]. For small-cap biotech companies, settlements frequently cluster in the $5M - $15M range.</w:t>
      </w:r>
    </w:p>
    <w:p>
      <w:pPr>
        <w:pStyle w:val="ListBullet"/>
      </w:pPr>
      <w:r/>
      <w:r>
        <w:rPr>
          <w:b/>
        </w:rPr>
        <w:t>The Mega-Settlement Risk:</w:t>
      </w:r>
      <w:r>
        <w:t xml:space="preserve"> While the median is manageable, the </w:t>
      </w:r>
      <w:r>
        <w:rPr>
          <w:i/>
        </w:rPr>
        <w:t>average</w:t>
      </w:r>
      <w:r>
        <w:t xml:space="preserve"> settlement is skewed higher by massive settlements from large-cap companies (e.g., cases involving commercialized blockbusters or egregious fraud).</w:t>
      </w:r>
    </w:p>
    <w:p>
      <w:pPr>
        <w:pStyle w:val="Heading3"/>
      </w:pPr>
      <w:r>
        <w:t>2. Pricing the Risk</w:t>
      </w:r>
    </w:p>
    <w:p>
      <w:r>
        <w:t>Underwriters should avoid the legacy approach of applying a blanket "biotech premium." Instead, pricing should reflect the specific risk profile:</w:t>
      </w:r>
    </w:p>
    <w:p>
      <w:pPr>
        <w:pStyle w:val="ListBullet"/>
      </w:pPr>
      <w:r/>
      <w:r>
        <w:rPr>
          <w:b/>
        </w:rPr>
        <w:t>Premium Credits:</w:t>
      </w:r>
      <w:r>
        <w:t xml:space="preserve"> Should be considered for companies with strict FDA communication protocols, established 10b5-1 plans, and a history of transparent, balanced disclosures.</w:t>
      </w:r>
    </w:p>
    <w:p>
      <w:pPr>
        <w:pStyle w:val="ListBullet"/>
      </w:pPr>
      <w:r/>
      <w:r>
        <w:rPr>
          <w:b/>
        </w:rPr>
        <w:t>Premium Surcharges:</w:t>
      </w:r>
      <w:r>
        <w:t xml:space="preserve"> Should be applied to companies operating in high-risk modalities (e.g., gene therapy), companies with a history of regulatory missteps, or those lacking commercialization expertise as they approach product launch.</w:t>
      </w:r>
    </w:p>
    <w:p>
      <w:pPr>
        <w:pStyle w:val="ListBullet"/>
      </w:pPr>
      <w:r/>
      <w:r>
        <w:rPr>
          <w:b/>
        </w:rPr>
        <w:t>Attachment Point Strategy:</w:t>
      </w:r>
      <w:r>
        <w:t xml:space="preserve"> Given the median settlement data, primary layers and low-attaching excess layers (e.g., $5M xs $5M) bear the brunt of the severity risk when cases survive dismissal.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3"/>
      </w:pPr>
      <w:r>
        <w:t>References</w:t>
      </w:r>
    </w:p>
    <w:p>
      <w:r>
        <w:t xml:space="preserve">[1] Greene, D., et al. "Analysis of Biotech Securities Class Action Motion to Dismiss Results 2005-2022." </w:t>
      </w:r>
      <w:r>
        <w:rPr>
          <w:i/>
        </w:rPr>
        <w:t>The D&amp;O Diary</w:t>
      </w:r>
      <w:r>
        <w:t xml:space="preserve"> / BakerHostetler.</w:t>
      </w:r>
    </w:p>
    <w:p>
      <w:r>
        <w:t>[2] Sidley Austin LLP. "Securities Litigation Against Life Sciences Companies: 2024." April 2025.</w:t>
      </w:r>
    </w:p>
    <w:p>
      <w:r>
        <w:t>[3] Willis Towers Watson (WTW). "2025 Life Sciences Litigation Trends." October 2025.</w:t>
      </w:r>
    </w:p>
    <w:p>
      <w:r>
        <w:t>[4] Dechert LLP. "Dechert Survey: Developments in Securities Fraud Class Actions Against U.S. Life Sciences Companies: 2024 Edition." March 2025.</w:t>
      </w:r>
    </w:p>
    <w:p>
      <w:r>
        <w:t>[5] Biotechnology Innovation Organization (BIO). "Clinical Development Success Rates."</w:t>
      </w:r>
    </w:p>
    <w:p>
      <w:r>
        <w:t>[6] Industry Research Data on Technology-Specific Risks (2025-2026).</w:t>
      </w:r>
    </w:p>
    <w:p>
      <w:r>
        <w:t xml:space="preserve">[7] Berkshire Hathaway Specialty Insurance (BHSI). "Navigating Shareholder Litigation Risk in the Life Sciences Sector." </w:t>
      </w:r>
      <w:r>
        <w:rPr>
          <w:i/>
        </w:rPr>
        <w:t>Risk &amp; Insurance</w:t>
      </w:r>
      <w:r>
        <w:t>, March 2026.</w:t>
      </w:r>
    </w:p>
    <w:p>
      <w:r>
        <w:t>[8] Cornerstone Research. "Securities Class Action Filings: 2024 Year in Review." January 2025.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2B5C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4E8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6BA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6BA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