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D&amp;O Underwriter's Guide to *Matrixx* vs. *Omnicare*</w:t>
      </w:r>
    </w:p>
    <w:p>
      <w:r/>
      <w:r>
        <w:rPr>
          <w:b/>
        </w:rPr>
        <w:t>Prepared by:</w:t>
      </w:r>
      <w:r>
        <w:t xml:space="preserve"> Manus AI</w:t>
      </w:r>
    </w:p>
    <w:p>
      <w:r/>
      <w:r>
        <w:rPr>
          <w:b/>
        </w:rPr>
        <w:t>Date:</w:t>
      </w:r>
      <w:r>
        <w:t xml:space="preserve"> March 2026</w:t>
      </w:r>
    </w:p>
    <w:p>
      <w:r>
        <w:t xml:space="preserve">To underwrite biotech D&amp;O risk effectively, you must understand the tension between the two most important Supreme Court decisions governing life sciences securities litigation: </w:t>
      </w:r>
      <w:r>
        <w:rPr>
          <w:i/>
        </w:rPr>
        <w:t>Matrixx Initiatives, Inc. v. Siracusano</w:t>
      </w:r>
      <w:r>
        <w:t xml:space="preserve"> (2011) and </w:t>
      </w:r>
      <w:r>
        <w:rPr>
          <w:i/>
        </w:rPr>
        <w:t>Omnicare, Inc. v. Laborers District Council</w:t>
      </w:r>
      <w:r>
        <w:t xml:space="preserve"> (2015).</w:t>
      </w:r>
    </w:p>
    <w:p>
      <w:r>
        <w:t xml:space="preserve">These two rulings pull in opposite directions. </w:t>
      </w:r>
      <w:r>
        <w:rPr>
          <w:i/>
        </w:rPr>
        <w:t>Matrixx</w:t>
      </w:r>
      <w:r>
        <w:t xml:space="preserve"> makes it easier for plaintiffs to sue when a company fails to disclose bad news, while </w:t>
      </w:r>
      <w:r>
        <w:rPr>
          <w:i/>
        </w:rPr>
        <w:t>Omnicare</w:t>
      </w:r>
      <w:r>
        <w:t xml:space="preserve"> provides a massive shield for executives when their optimistic statements turn out to be wrong. The interaction between these two cases defines the modern biotech D&amp;O risk landscape.</w:t>
      </w:r>
    </w:p>
    <w:p>
      <w:pPr>
        <w:spacing w:before="240" w:after="240"/>
      </w:pPr>
      <w:r>
        <w:rPr>
          <w:color w:val="CCCCCC"/>
          <w:sz w:val="16"/>
        </w:rPr>
        <w:t>________________________________________________________________________________</w:t>
      </w:r>
    </w:p>
    <w:p>
      <w:pPr>
        <w:pStyle w:val="Heading2"/>
      </w:pPr>
      <w:r>
        <w:t>1. *Matrixx Initiatives v. Siracusano* (2011): The Plaintiff's Sword</w:t>
      </w:r>
    </w:p>
    <w:p>
      <w:r/>
      <w:r>
        <w:rPr>
          <w:b/>
        </w:rPr>
        <w:t>The Facts:</w:t>
      </w:r>
      <w:r>
        <w:t xml:space="preserve"> Matrixx manufactured Zicam, a popular nasal spray. The company received several "adverse event reports" indicating that users were losing their sense of smell (anosmia). Matrixx did not disclose these reports to investors, arguing that the number of reports was too small to be "statistically significant," and therefore, the information was not legally material. Investors sued when the FDA eventually intervened and the stock crashed.</w:t>
      </w:r>
    </w:p>
    <w:p>
      <w:r/>
      <w:r>
        <w:rPr>
          <w:b/>
        </w:rPr>
        <w:t>The Ruling:</w:t>
      </w:r>
      <w:r>
        <w:t xml:space="preserve"> The Supreme Court ruled unanimously against Matrixx. The Court rejected the idea of a bright-line "statistical significance" test for materiality. Instead, the Court held that even a small number of adverse event reports can be "material" if there is a "substantial likelihood that a reasonable shareholder would consider it important" in making an investment decision [1].</w:t>
      </w:r>
    </w:p>
    <w:p>
      <w:r/>
      <w:r>
        <w:rPr>
          <w:b/>
        </w:rPr>
        <w:t>The Underwriting Impact (Why it's dangerous):</w:t>
      </w:r>
      <w:r/>
    </w:p>
    <w:p>
      <w:r/>
      <w:r>
        <w:rPr>
          <w:i/>
        </w:rPr>
        <w:t>Matrixx</w:t>
      </w:r>
      <w:r>
        <w:t xml:space="preserve"> removed a major safe harbor for biotech companies. Before </w:t>
      </w:r>
      <w:r>
        <w:rPr>
          <w:i/>
        </w:rPr>
        <w:t>Matrixx</w:t>
      </w:r>
      <w:r>
        <w:t xml:space="preserve">, a company could sit on early, inconclusive negative data (like a few severe adverse events in a Phase II trial) and argue they didn't need to disclose it because it wasn't statistically significant yet. </w:t>
      </w:r>
      <w:r>
        <w:rPr>
          <w:i/>
        </w:rPr>
        <w:t>Matrixx</w:t>
      </w:r>
      <w:r>
        <w:t xml:space="preserve"> says that companies cannot hide behind statistics; if the market would want to know about the safety signal, it must be disclosed. This opened the door for plaintiffs to sue anytime a company suffers a clinical setback, alleging that management should have disclosed the warning signs earlier.</w:t>
      </w:r>
    </w:p>
    <w:p>
      <w:pPr>
        <w:spacing w:before="240" w:after="240"/>
      </w:pPr>
      <w:r>
        <w:rPr>
          <w:color w:val="CCCCCC"/>
          <w:sz w:val="16"/>
        </w:rPr>
        <w:t>________________________________________________________________________________</w:t>
      </w:r>
    </w:p>
    <w:p>
      <w:pPr>
        <w:pStyle w:val="Heading2"/>
      </w:pPr>
      <w:r>
        <w:t>2. *Omnicare v. Laborers District Council* (2015): The Defendant's Shield</w:t>
      </w:r>
    </w:p>
    <w:p>
      <w:r/>
      <w:r>
        <w:rPr>
          <w:b/>
        </w:rPr>
        <w:t>The Facts:</w:t>
      </w:r>
      <w:r>
        <w:t xml:space="preserve"> Omnicare, a pharmacy services company, stated in a registration document that it "believed" its business practices were in compliance with applicable laws. It later turned out the company was engaged in illegal kickback schemes, and investors sued under Section 11, claiming the statement was false.</w:t>
      </w:r>
    </w:p>
    <w:p>
      <w:r/>
      <w:r>
        <w:rPr>
          <w:b/>
        </w:rPr>
        <w:t>The Ruling:</w:t>
      </w:r>
      <w:r>
        <w:t xml:space="preserve"> The Supreme Court ruled that a statement of </w:t>
      </w:r>
      <w:r>
        <w:rPr>
          <w:b/>
        </w:rPr>
        <w:t>opinion</w:t>
      </w:r>
      <w:r>
        <w:t xml:space="preserve">—even if it turns out to be objectively wrong—cannot constitute an "untrue statement of fact" unless the speaker did not genuinely hold that opinion at the time [2]. However, the Court added a caveat: an opinion can be </w:t>
      </w:r>
      <w:r>
        <w:rPr>
          <w:i/>
        </w:rPr>
        <w:t>misleading</w:t>
      </w:r>
      <w:r>
        <w:t xml:space="preserve"> if it omits material facts that conflict with what a reasonable investor would expect the opinion to be based on.</w:t>
      </w:r>
    </w:p>
    <w:p>
      <w:r/>
      <w:r>
        <w:rPr>
          <w:b/>
        </w:rPr>
        <w:t>The Underwriting Impact (Why it saves biotech companies):</w:t>
      </w:r>
      <w:r/>
    </w:p>
    <w:p>
      <w:r>
        <w:rPr>
          <w:i/>
        </w:rPr>
        <w:t>Omnicare* is the single most important reason why biotech companies win 68% of their motions to dismiss. In the life sciences sector, almost everything management says about a clinical trial is an opinion: *"We believe the drug is safe,"* *"We are confident in the trial design,"* *"We are optimistic about FDA approval."</w:t>
      </w:r>
    </w:p>
    <w:p>
      <w:r>
        <w:t xml:space="preserve">Before </w:t>
      </w:r>
      <w:r>
        <w:rPr>
          <w:i/>
        </w:rPr>
        <w:t>Omnicare</w:t>
      </w:r>
      <w:r>
        <w:t xml:space="preserve">, if the drug failed, plaintiffs would argue the statement was false. After </w:t>
      </w:r>
      <w:r>
        <w:rPr>
          <w:i/>
        </w:rPr>
        <w:t>Omnicare</w:t>
      </w:r>
      <w:r>
        <w:t>, the fact that the drug failed is irrelevant. To survive a motion to dismiss, plaintiffs must prove either:</w:t>
      </w:r>
    </w:p>
    <w:p>
      <w:pPr>
        <w:pStyle w:val="ListNumber"/>
      </w:pPr>
      <w:r>
        <w:t>The CEO didn't actually believe the drug was safe when they said it (subjective falsity).</w:t>
      </w:r>
    </w:p>
    <w:p>
      <w:pPr>
        <w:pStyle w:val="ListNumber"/>
      </w:pPr>
      <w:r>
        <w:t>The CEO omitted specific, known facts that contradicted the opinion.</w:t>
      </w:r>
    </w:p>
    <w:p>
      <w:r>
        <w:t xml:space="preserve">Because it is incredibly difficult for plaintiffs to prove what a CEO genuinely believed at the pleading stage, </w:t>
      </w:r>
      <w:r>
        <w:rPr>
          <w:i/>
        </w:rPr>
        <w:t>Omnicare</w:t>
      </w:r>
      <w:r>
        <w:t xml:space="preserve"> acts as a massive shield against "fraud by hindsight" lawsuits.</w:t>
      </w:r>
    </w:p>
    <w:p>
      <w:pPr>
        <w:spacing w:before="240" w:after="240"/>
      </w:pPr>
      <w:r>
        <w:rPr>
          <w:color w:val="CCCCCC"/>
          <w:sz w:val="16"/>
        </w:rPr>
        <w:t>________________________________________________________________________________</w:t>
      </w:r>
    </w:p>
    <w:p>
      <w:pPr>
        <w:pStyle w:val="Heading2"/>
      </w:pPr>
      <w:r>
        <w:t>3. The Collision: How They Interact in Biotech Litigation</w:t>
      </w:r>
    </w:p>
    <w:p>
      <w:r>
        <w:t>The tension between these two cases is where D&amp;O risk actually lives.</w:t>
      </w:r>
    </w:p>
    <w:p>
      <w:pPr>
        <w:pStyle w:val="ListBullet"/>
      </w:pPr>
      <w:r>
        <w:rPr>
          <w:i/>
        </w:rPr>
      </w:r>
      <w:r>
        <w:rPr>
          <w:i/>
        </w:rPr>
        <w:t>Matrixx</w:t>
      </w:r>
      <w:r>
        <w:t xml:space="preserve"> says:** "You must disclose negative data (like adverse events) even if it's not conclusive."</w:t>
      </w:r>
    </w:p>
    <w:p>
      <w:pPr>
        <w:pStyle w:val="ListBullet"/>
      </w:pPr>
      <w:r>
        <w:rPr>
          <w:i/>
        </w:rPr>
      </w:r>
      <w:r>
        <w:rPr>
          <w:i/>
        </w:rPr>
        <w:t>Omnicare</w:t>
      </w:r>
      <w:r>
        <w:t xml:space="preserve"> says:** "Your optimistic opinions are protected as long as you genuinely believe them and don't omit contradictory facts."</w:t>
      </w:r>
    </w:p>
    <w:p>
      <w:r/>
      <w:r>
        <w:rPr>
          <w:b/>
        </w:rPr>
        <w:t>The Trap:</w:t>
      </w:r>
      <w:r>
        <w:t xml:space="preserve"> The legal collision happens when a CEO makes an optimistic opinion statement (</w:t>
      </w:r>
      <w:r>
        <w:rPr>
          <w:i/>
        </w:rPr>
        <w:t>Omnicare</w:t>
      </w:r>
      <w:r>
        <w:t>) while sitting on undisclosed negative data (</w:t>
      </w:r>
      <w:r>
        <w:rPr>
          <w:i/>
        </w:rPr>
        <w:t>Matrixx</w:t>
      </w:r>
      <w:r>
        <w:t>).</w:t>
      </w:r>
    </w:p>
    <w:p>
      <w:r>
        <w:t xml:space="preserve">If a biotech CEO says, </w:t>
      </w:r>
      <w:r>
        <w:rPr>
          <w:i/>
        </w:rPr>
        <w:t>"We believe our Phase II safety profile is excellent,"</w:t>
      </w:r>
      <w:r>
        <w:t xml:space="preserve"> but internal emails show they had received three reports of severe liver toxicity, the plaintiff will use both cases to destroy the company. The plaintiff will argue under </w:t>
      </w:r>
      <w:r>
        <w:rPr>
          <w:i/>
        </w:rPr>
        <w:t>Matrixx</w:t>
      </w:r>
      <w:r>
        <w:t xml:space="preserve"> that the liver toxicity was material and had to be disclosed, and under </w:t>
      </w:r>
      <w:r>
        <w:rPr>
          <w:i/>
        </w:rPr>
        <w:t>Omnicare</w:t>
      </w:r>
      <w:r>
        <w:t xml:space="preserve"> that the CEO's opinion was "misleading" because it omitted the contradictory safety data.</w:t>
      </w:r>
    </w:p>
    <w:p>
      <w:pPr>
        <w:pStyle w:val="Heading3"/>
      </w:pPr>
      <w:r>
        <w:t>The Underwriting Takeaway</w:t>
      </w:r>
    </w:p>
    <w:p>
      <w:r>
        <w:t xml:space="preserve">When assessing a biotech risk, you are not underwriting the clinical science; you are underwriting the </w:t>
      </w:r>
      <w:r>
        <w:rPr>
          <w:b/>
        </w:rPr>
        <w:t>management team's communication discipline</w:t>
      </w:r>
      <w:r>
        <w:t>.</w:t>
      </w:r>
    </w:p>
    <w:p>
      <w:pPr>
        <w:pStyle w:val="ListNumber"/>
      </w:pPr>
      <w:r/>
      <w:r>
        <w:rPr>
          <w:b/>
        </w:rPr>
        <w:t>The Safe Company:</w:t>
      </w:r>
      <w:r>
        <w:t xml:space="preserve"> Discloses all FDA feedback and adverse events promptly (</w:t>
      </w:r>
      <w:r>
        <w:rPr>
          <w:i/>
        </w:rPr>
        <w:t>satisfying Matrixx</w:t>
      </w:r>
      <w:r>
        <w:t>), and couches all forward-looking statements strictly as opinions without guaranteeing outcomes (</w:t>
      </w:r>
      <w:r>
        <w:rPr>
          <w:i/>
        </w:rPr>
        <w:t>maximizing the Omnicare shield</w:t>
      </w:r>
      <w:r>
        <w:t>).</w:t>
      </w:r>
    </w:p>
    <w:p>
      <w:pPr>
        <w:pStyle w:val="ListNumber"/>
      </w:pPr>
      <w:r/>
      <w:r>
        <w:rPr>
          <w:b/>
        </w:rPr>
        <w:t>The Dangerous Company:</w:t>
      </w:r>
      <w:r>
        <w:t xml:space="preserve"> Hyping interim data as "definitive proof" of efficacy, while delaying the disclosure of minor adverse events because "they aren't statistically significant yet." This company will lose the </w:t>
      </w:r>
      <w:r>
        <w:rPr>
          <w:i/>
        </w:rPr>
        <w:t>Omnicare</w:t>
      </w:r>
      <w:r>
        <w:t xml:space="preserve"> protection and be strictly liable under </w:t>
      </w:r>
      <w:r>
        <w:rPr>
          <w:i/>
        </w:rPr>
        <w:t>Matrixx</w:t>
      </w:r>
      <w:r>
        <w:t>.</w:t>
      </w:r>
    </w:p>
    <w:p>
      <w:pPr>
        <w:spacing w:before="240" w:after="240"/>
      </w:pPr>
      <w:r>
        <w:rPr>
          <w:color w:val="CCCCCC"/>
          <w:sz w:val="16"/>
        </w:rPr>
        <w:t>________________________________________________________________________________</w:t>
      </w:r>
    </w:p>
    <w:p>
      <w:pPr>
        <w:pStyle w:val="Heading3"/>
      </w:pPr>
      <w:r>
        <w:t>References</w:t>
      </w:r>
    </w:p>
    <w:p>
      <w:r>
        <w:t xml:space="preserve">[1] </w:t>
      </w:r>
      <w:r>
        <w:rPr>
          <w:i/>
        </w:rPr>
        <w:t>Matrixx Initiatives, Inc. v. Siracusano</w:t>
      </w:r>
      <w:r>
        <w:t>, 563 U.S. 27 (2011).</w:t>
      </w:r>
    </w:p>
    <w:p>
      <w:r>
        <w:t xml:space="preserve">[2] </w:t>
      </w:r>
      <w:r>
        <w:rPr>
          <w:i/>
        </w:rPr>
        <w:t>Omnicare, Inc. v. Laborers Dist. Council Const. Industry Pension Fund</w:t>
      </w:r>
      <w:r>
        <w:t>, 575 U.S. 175 (2015).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2B5C"/>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4E8C"/>
      <w:sz w:val="3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06BA6"/>
      <w:sz w:val="28"/>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006BA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