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II vs. Phase III Failure: A D&amp;O Underwriting Analysis</w:t>
      </w:r>
    </w:p>
    <w:p>
      <w:r/>
      <w:r>
        <w:rPr>
          <w:b/>
        </w:rPr>
        <w:t>Prepared by:</w:t>
      </w:r>
      <w:r>
        <w:t xml:space="preserve"> Manus AI</w:t>
      </w:r>
    </w:p>
    <w:p>
      <w:r/>
      <w:r>
        <w:rPr>
          <w:b/>
        </w:rPr>
        <w:t>Date:</w:t>
      </w:r>
      <w:r>
        <w:t xml:space="preserve"> March 2026</w:t>
      </w:r>
    </w:p>
    <w:p>
      <w:pPr>
        <w:pStyle w:val="Heading2"/>
      </w:pPr>
      <w:r>
        <w:t>The Claim</w:t>
      </w:r>
    </w:p>
    <w:p>
      <w:r>
        <w:t xml:space="preserve">Your colleague stated: </w:t>
      </w:r>
      <w:r>
        <w:rPr>
          <w:i/>
        </w:rPr>
        <w:t>"Failing Phase III is not nearly as bad as failing Phase II."</w:t>
      </w:r>
      <w:r/>
    </w:p>
    <w:p>
      <w:pPr>
        <w:pStyle w:val="Heading2"/>
      </w:pPr>
      <w:r>
        <w:t>The Verdict</w:t>
      </w:r>
    </w:p>
    <w:p>
      <w:r>
        <w:t xml:space="preserve">From a clinical science perspective, this statement is arguable. But from a </w:t>
      </w:r>
      <w:r>
        <w:rPr>
          <w:b/>
        </w:rPr>
        <w:t>D&amp;O Underwriting and Severity perspective, this statement is definitively FALSE.</w:t>
      </w:r>
      <w:r/>
    </w:p>
    <w:p>
      <w:r>
        <w:t>In fact, the opposite is true: A Phase III failure is significantly more dangerous to a D&amp;O book than a Phase II failure. While Phase II failures happen more frequently, Phase III failures destroy vastly more market capitalization and generate much larger securities class action settlements.</w:t>
      </w:r>
    </w:p>
    <w:p>
      <w:r>
        <w:t>Here is the empirical breakdown of why Phase III failures are the peak severity events in biotech underwriting.</w:t>
      </w:r>
    </w:p>
    <w:p>
      <w:pPr>
        <w:spacing w:before="240" w:after="240"/>
      </w:pPr>
      <w:r>
        <w:rPr>
          <w:color w:val="CCCCCC"/>
          <w:sz w:val="16"/>
        </w:rPr>
        <w:t>________________________________________________________________________________</w:t>
      </w:r>
    </w:p>
    <w:p>
      <w:pPr>
        <w:pStyle w:val="Heading2"/>
      </w:pPr>
      <w:r>
        <w:t>1. The "Surprise Factor" and Market Expectations</w:t>
      </w:r>
    </w:p>
    <w:p>
      <w:r>
        <w:t>The primary driver of a securities class action is the "stock drop" (the loss of market capitalization). Stock drops are driven by the market's expectation of success versus the reality of failure.</w:t>
      </w:r>
    </w:p>
    <w:p>
      <w:pPr>
        <w:pStyle w:val="ListBullet"/>
      </w:pPr>
      <w:r/>
      <w:r>
        <w:rPr>
          <w:b/>
        </w:rPr>
        <w:t>Phase II Reality:</w:t>
      </w:r>
      <w:r>
        <w:t xml:space="preserve"> According to BIO/clinical data, the transition from Phase II to Phase III has the </w:t>
      </w:r>
      <w:r>
        <w:rPr>
          <w:b/>
        </w:rPr>
        <w:t>highest failure rate in drug development (approximately 71%)</w:t>
      </w:r>
      <w:r>
        <w:t>. Because sophisticated institutional investors know that 7 out of 10 Phase II trials fail, the market has already "priced in" a high probability of failure. When a Phase II trial fails, the stock drops (typically 40-70% for single-asset companies), but the "surprise" is lower.</w:t>
      </w:r>
    </w:p>
    <w:p>
      <w:pPr>
        <w:pStyle w:val="ListBullet"/>
      </w:pPr>
      <w:r/>
      <w:r>
        <w:rPr>
          <w:b/>
        </w:rPr>
        <w:t>Phase III Reality:</w:t>
      </w:r>
      <w:r>
        <w:t xml:space="preserve"> Phase III trials have a much higher success rate (approximately 58%). By the time a company reaches Phase III, the market expects the drug to succeed. Therefore, a Phase III failure is a massive shock to the market. The stock drop is typically more severe (50-90%), and the investor anger is much higher.</w:t>
      </w:r>
    </w:p>
    <w:p>
      <w:pPr>
        <w:pStyle w:val="Heading2"/>
      </w:pPr>
      <w:r>
        <w:t>2. Market Capitalization at Risk (The Severity Multiplier)</w:t>
      </w:r>
    </w:p>
    <w:p>
      <w:r>
        <w:t>D&amp;O settlement severity is directly correlated to the "plaintiff-style damages" (the total dollars lost by the shareholder class).</w:t>
      </w:r>
    </w:p>
    <w:p>
      <w:pPr>
        <w:pStyle w:val="ListBullet"/>
      </w:pPr>
      <w:r/>
      <w:r>
        <w:rPr>
          <w:b/>
        </w:rPr>
        <w:t>Phase II Valuation:</w:t>
      </w:r>
      <w:r>
        <w:t xml:space="preserve"> A company in Phase II is typically valued lower. If a $300M market cap company suffers a 50% stock drop, the total value destroyed is $150M.</w:t>
      </w:r>
    </w:p>
    <w:p>
      <w:pPr>
        <w:pStyle w:val="ListBullet"/>
      </w:pPr>
      <w:r/>
      <w:r>
        <w:rPr>
          <w:b/>
        </w:rPr>
        <w:t>Phase III Valuation:</w:t>
      </w:r>
      <w:r>
        <w:t xml:space="preserve"> If a drug passes Phase II, the company's valuation usually skyrockets. That same company might now have a $1.5B market cap entering Phase III. If the Phase III trial fails and the stock drops 70%, the total value destroyed is </w:t>
      </w:r>
      <w:r>
        <w:rPr>
          <w:b/>
        </w:rPr>
        <w:t>$1.05 Billion</w:t>
      </w:r>
      <w:r>
        <w:t>.</w:t>
      </w:r>
    </w:p>
    <w:p>
      <w:r>
        <w:t>Because the absolute dollar loss is exponentially larger in a Phase III failure, the plaintiff law firms are far more motivated to sue, and the resulting settlement (if the case survives a motion to dismiss) will be significantly higher.</w:t>
      </w:r>
    </w:p>
    <w:p>
      <w:pPr>
        <w:pStyle w:val="Heading2"/>
      </w:pPr>
      <w:r>
        <w:t>3. Sunk Costs and "Scienter"</w:t>
      </w:r>
    </w:p>
    <w:p>
      <w:r>
        <w:t>To win a securities class action under the PSLRA, plaintiffs must prove "scienter" (intent to deceive or severe recklessness).</w:t>
      </w:r>
    </w:p>
    <w:p>
      <w:pPr>
        <w:pStyle w:val="ListBullet"/>
      </w:pPr>
      <w:r/>
      <w:r>
        <w:rPr>
          <w:b/>
        </w:rPr>
        <w:t>Phase II:</w:t>
      </w:r>
      <w:r>
        <w:t xml:space="preserve"> Trials are relatively cheap and short. If it fails, management can easily argue "that's just science."</w:t>
      </w:r>
    </w:p>
    <w:p>
      <w:pPr>
        <w:pStyle w:val="ListBullet"/>
      </w:pPr>
      <w:r/>
      <w:r>
        <w:rPr>
          <w:b/>
        </w:rPr>
        <w:t>Phase III:</w:t>
      </w:r>
      <w:r>
        <w:t xml:space="preserve"> Phase III trials often cost between $200 million and $500 million and take years to complete. When a company burns half a billion dollars of investor money and fails, plaintiffs will aggressively scour every statement management made over the last three years. They will argue that management </w:t>
      </w:r>
      <w:r>
        <w:rPr>
          <w:i/>
        </w:rPr>
        <w:t>must</w:t>
      </w:r>
      <w:r>
        <w:t xml:space="preserve"> have known the drug wasn't working but hid the truth to keep their jobs and salaries.</w:t>
      </w:r>
    </w:p>
    <w:p>
      <w:pPr>
        <w:pStyle w:val="Heading2"/>
      </w:pPr>
      <w:r>
        <w:t>4. The Section 11 / Secondary Offering Trap</w:t>
      </w:r>
    </w:p>
    <w:p>
      <w:r>
        <w:t>Because Phase III trials are so expensive, biotech companies almost always execute secondary stock offerings (IPOs or follow-on offerings) right after successful Phase II data to fund the Phase III trial.</w:t>
      </w:r>
    </w:p>
    <w:p>
      <w:r>
        <w:t xml:space="preserve">If the Phase III trial fails, plaintiffs will not just file a standard 10b-5 fraud claim; they will file a </w:t>
      </w:r>
      <w:r>
        <w:rPr>
          <w:b/>
        </w:rPr>
        <w:t>Section 11 claim</w:t>
      </w:r>
      <w:r>
        <w:t xml:space="preserve"> under the Securities Act of 1933. Section 11 claims are strictly liability for misstatements in offering documents—they do not require the plaintiffs to prove scienter. This makes Phase III failures legally harder to defend if the company raised money recently.</w:t>
      </w:r>
    </w:p>
    <w:p>
      <w:pPr>
        <w:spacing w:before="240" w:after="240"/>
      </w:pPr>
      <w:r>
        <w:rPr>
          <w:color w:val="CCCCCC"/>
          <w:sz w:val="16"/>
        </w:rPr>
        <w:t>________________________________________________________________________________</w:t>
      </w:r>
    </w:p>
    <w:p>
      <w:pPr>
        <w:pStyle w:val="Heading2"/>
      </w:pPr>
      <w:r>
        <w:t>When Might Your Colleague Be Right? (The Exception)</w:t>
      </w:r>
    </w:p>
    <w:p>
      <w:r>
        <w:t xml:space="preserve">There is one specific scenario where a Phase II failure is a massive D&amp;O nightmare: </w:t>
      </w:r>
      <w:r>
        <w:rPr>
          <w:b/>
        </w:rPr>
        <w:t>The "Hype" Trap.</w:t>
      </w:r>
      <w:r/>
    </w:p>
    <w:p>
      <w:r>
        <w:t>If a company's management has spent months going on CNBC, issuing press releases, and hyping up "incredible interim data" from a Phase II trial—violating the legal safe harbor of "puffery"—and then the final Phase II data fails, the resulting lawsuit is highly dangerous. In this scenario, the failure isn't just a scientific setback; it looks like a deliberate pump-and-dump scheme.</w:t>
      </w:r>
    </w:p>
    <w:p>
      <w:pPr>
        <w:pStyle w:val="Heading2"/>
      </w:pPr>
      <w:r>
        <w:t>Summary for Underwriters</w:t>
      </w:r>
    </w:p>
    <w:p>
      <w:pPr>
        <w:pStyle w:val="ListBullet"/>
      </w:pPr>
      <w:r/>
      <w:r>
        <w:rPr>
          <w:b/>
        </w:rPr>
        <w:t>Phase II Failures:</w:t>
      </w:r>
      <w:r>
        <w:t xml:space="preserve"> High Frequency, Moderate Severity. (They happen often, but courts dismiss them at a high rate, and the market cap destruction is smaller).</w:t>
      </w:r>
    </w:p>
    <w:p>
      <w:pPr>
        <w:pStyle w:val="ListBullet"/>
      </w:pPr>
      <w:r/>
      <w:r>
        <w:rPr>
          <w:b/>
        </w:rPr>
        <w:t>Phase III Failures:</w:t>
      </w:r>
      <w:r>
        <w:t xml:space="preserve"> Moderate Frequency, </w:t>
      </w:r>
      <w:r>
        <w:rPr>
          <w:b/>
        </w:rPr>
        <w:t>Maximum Severity</w:t>
      </w:r>
      <w:r>
        <w:t>. (They happen less often, but when they do, they wipe out billions in value and trigger the largest settlements in the life sciences sector).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2B5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4E8C"/>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6BA6"/>
      <w:sz w:val="28"/>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006BA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