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Breakdown Analysis: Swiss Re "BioTech" Presentation</w:t>
      </w:r>
    </w:p>
    <w:p>
      <w:r/>
      <w:r>
        <w:rPr>
          <w:b/>
        </w:rPr>
        <w:t>Prepared by:</w:t>
      </w:r>
      <w:r>
        <w:t xml:space="preserve"> Manus AI</w:t>
      </w:r>
    </w:p>
    <w:p>
      <w:r/>
      <w:r>
        <w:rPr>
          <w:b/>
        </w:rPr>
        <w:t>Date:</w:t>
      </w:r>
      <w:r>
        <w:t xml:space="preserve"> March 2026</w:t>
      </w:r>
    </w:p>
    <w:p>
      <w:pPr>
        <w:pStyle w:val="Heading2"/>
      </w:pPr>
      <w:r>
        <w:t>Executive Summary</w:t>
      </w:r>
    </w:p>
    <w:p>
      <w:r>
        <w:t>To answer your question regarding how much of the Swiss Re presentation is basic knowledge versus insightful underwriting information, I have conducted a page-by-page classification of the entire 22-page document.</w:t>
      </w:r>
    </w:p>
    <w:p>
      <w:r>
        <w:t xml:space="preserve">The analysis reveals that the document is heavily skewed toward textbook definitions and filler, with </w:t>
      </w:r>
      <w:r>
        <w:rPr>
          <w:b/>
        </w:rPr>
        <w:t>only 9% (2 pages) containing genuine D&amp;O underwriting insight</w:t>
      </w:r>
      <w:r>
        <w:t>, and even that insight is outdated. If an underwriter were to rely on this document, they would spend the vast majority of their time reading Wikipedia-level explanations of the FDA process (which contain critical errors) rather than learning how to select and price risk.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The Quantitative Breakdown</w:t>
      </w:r>
    </w:p>
    <w:p>
      <w:r>
        <w:t>The 22 pages of the presentation break down into four distinct categories:</w:t>
      </w:r>
    </w:p>
    <w:p>
      <w:pPr>
        <w:pStyle w:val="ListNumber"/>
      </w:pPr>
      <w:r/>
      <w:r>
        <w:rPr>
          <w:b/>
        </w:rPr>
        <w:t>Filler / Section Dividers:</w:t>
      </w:r>
      <w:r>
        <w:t xml:space="preserve"> 8 pages (</w:t>
      </w:r>
      <w:r>
        <w:rPr>
          <w:b/>
        </w:rPr>
        <w:t>36%</w:t>
      </w:r>
      <w:r>
        <w:t>)</w:t>
      </w:r>
    </w:p>
    <w:p>
      <w:pPr>
        <w:pStyle w:val="ListNumber"/>
      </w:pPr>
      <w:r/>
      <w:r>
        <w:rPr>
          <w:b/>
        </w:rPr>
        <w:t>Basic Knowledge:</w:t>
      </w:r>
      <w:r>
        <w:t xml:space="preserve"> 7 pages (</w:t>
      </w:r>
      <w:r>
        <w:rPr>
          <w:b/>
        </w:rPr>
        <w:t>32%</w:t>
      </w:r>
      <w:r>
        <w:t>)</w:t>
      </w:r>
    </w:p>
    <w:p>
      <w:pPr>
        <w:pStyle w:val="ListNumber"/>
      </w:pPr>
      <w:r/>
      <w:r>
        <w:rPr>
          <w:b/>
        </w:rPr>
        <w:t>Mixed (Shallow Underwriting Points):</w:t>
      </w:r>
      <w:r>
        <w:t xml:space="preserve"> 5 pages (</w:t>
      </w:r>
      <w:r>
        <w:rPr>
          <w:b/>
        </w:rPr>
        <w:t>23%</w:t>
      </w:r>
      <w:r>
        <w:t>)</w:t>
      </w:r>
    </w:p>
    <w:p>
      <w:pPr>
        <w:pStyle w:val="ListNumber"/>
      </w:pPr>
      <w:r/>
      <w:r>
        <w:rPr>
          <w:b/>
        </w:rPr>
        <w:t>Genuine D&amp;O Insight:</w:t>
      </w:r>
      <w:r>
        <w:t xml:space="preserve"> 2 pages (</w:t>
      </w:r>
      <w:r>
        <w:rPr>
          <w:b/>
        </w:rPr>
        <w:t>9%</w:t>
      </w:r>
      <w:r>
        <w:t>)</w:t>
      </w:r>
    </w:p>
    <w:p>
      <w:r>
        <w:rPr>
          <w:i/>
        </w:rPr>
        <w:t>(See attached `content_breakdown_chart.png` for visual representation)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Detailed Category Analysis</w:t>
      </w:r>
    </w:p>
    <w:p>
      <w:pPr>
        <w:pStyle w:val="Heading3"/>
      </w:pPr>
      <w:r>
        <w:t>1. Basic Knowledge (32% of document)</w:t>
      </w:r>
    </w:p>
    <w:p>
      <w:r>
        <w:rPr>
          <w:i/>
        </w:rPr>
        <w:t>Pages 4, 6, 7, 8, 9, 10, 11</w:t>
      </w:r>
    </w:p>
    <w:p>
      <w:r>
        <w:t>Nearly a third of the document is devoted to defining basic terms that any life sciences underwriter should already know, or could find in a two-minute web search.</w:t>
      </w:r>
    </w:p>
    <w:p>
      <w:pPr>
        <w:pStyle w:val="ListBullet"/>
      </w:pPr>
      <w:r/>
      <w:r>
        <w:rPr>
          <w:b/>
        </w:rPr>
        <w:t>What it contains:</w:t>
      </w:r>
      <w:r>
        <w:t xml:space="preserve"> Definitions of preclinical testing, the three phases of clinical trials, Fast Track status, generic drugs, and orphan drugs.</w:t>
      </w:r>
    </w:p>
    <w:p>
      <w:pPr>
        <w:pStyle w:val="ListBullet"/>
      </w:pPr>
      <w:r/>
      <w:r>
        <w:rPr>
          <w:b/>
        </w:rPr>
        <w:t>The Problem:</w:t>
      </w:r>
      <w:r>
        <w:t xml:space="preserve"> Not only is this basic knowledge, but it contains </w:t>
      </w:r>
      <w:r>
        <w:rPr>
          <w:b/>
        </w:rPr>
        <w:t>critical regulatory errors</w:t>
      </w:r>
      <w:r>
        <w:t>. For example, Page 6 states that after preclinical testing, a company files an "NDA" (New Drug Application). This is completely wrong—they file an IND (Investigational New Drug application). Page 9 states the FDA takes "up to 6 months" to review an NDA, which is only true for priority review; standard review is 10 months.</w:t>
      </w:r>
    </w:p>
    <w:p>
      <w:pPr>
        <w:pStyle w:val="ListBullet"/>
      </w:pPr>
      <w:r/>
      <w:r>
        <w:rPr>
          <w:b/>
        </w:rPr>
        <w:t>Underwriting Value:</w:t>
      </w:r>
      <w:r>
        <w:t xml:space="preserve"> None. It teaches the underwriter the wrong regulatory timeline.</w:t>
      </w:r>
    </w:p>
    <w:p>
      <w:pPr>
        <w:pStyle w:val="Heading3"/>
      </w:pPr>
      <w:r>
        <w:t>2. Mixed: Shallow Underwriting Points (23% of document)</w:t>
      </w:r>
    </w:p>
    <w:p>
      <w:r>
        <w:rPr>
          <w:i/>
        </w:rPr>
        <w:t>Pages 13, 14, 15, 17, 18</w:t>
      </w:r>
    </w:p>
    <w:p>
      <w:r>
        <w:t>These pages attempt to provide underwriting guidance but fail to offer the depth, benchmarks, or context required to actually make a risk decision.</w:t>
      </w:r>
    </w:p>
    <w:p>
      <w:pPr>
        <w:pStyle w:val="ListBullet"/>
      </w:pPr>
      <w:r/>
      <w:r>
        <w:rPr>
          <w:b/>
        </w:rPr>
        <w:t>What it contains:</w:t>
      </w:r>
      <w:r>
        <w:t xml:space="preserve"> Checklists asking about the company's pipeline, cash burn, board of directors, and accounting issues (like R&amp;D capitalization).</w:t>
      </w:r>
    </w:p>
    <w:p>
      <w:pPr>
        <w:pStyle w:val="ListBullet"/>
      </w:pPr>
      <w:r/>
      <w:r>
        <w:rPr>
          <w:b/>
        </w:rPr>
        <w:t>The Problem:</w:t>
      </w:r>
      <w:r>
        <w:t xml:space="preserve"> It provides the </w:t>
      </w:r>
      <w:r>
        <w:rPr>
          <w:i/>
        </w:rPr>
        <w:t>questions</w:t>
      </w:r>
      <w:r>
        <w:t xml:space="preserve"> but not the </w:t>
      </w:r>
      <w:r>
        <w:rPr>
          <w:i/>
        </w:rPr>
        <w:t>answers</w:t>
      </w:r>
      <w:r>
        <w:t xml:space="preserve">. For example, it says "Current Ratio and Working Capital are very important" (Page 14) but gives no guidance on what a safe cash runway looks like for a Phase II vs. Phase III company. It mentions "M&amp;A activity poses a risk" (Page 17) but doesn't explain </w:t>
      </w:r>
      <w:r>
        <w:rPr>
          <w:i/>
        </w:rPr>
        <w:t>why</w:t>
      </w:r>
      <w:r>
        <w:t xml:space="preserve"> or how to underwrite a de-SPAC transaction.</w:t>
      </w:r>
    </w:p>
    <w:p>
      <w:pPr>
        <w:pStyle w:val="ListBullet"/>
      </w:pPr>
      <w:r/>
      <w:r>
        <w:rPr>
          <w:b/>
        </w:rPr>
        <w:t>Underwriting Value:</w:t>
      </w:r>
      <w:r>
        <w:t xml:space="preserve"> Moderate. It points the underwriter in the right general direction but stops short of providing an actual underwriting framework.</w:t>
      </w:r>
    </w:p>
    <w:p>
      <w:pPr>
        <w:pStyle w:val="Heading3"/>
      </w:pPr>
      <w:r>
        <w:t>3. Genuine D&amp;O Insight (9% of document)</w:t>
      </w:r>
    </w:p>
    <w:p>
      <w:r>
        <w:rPr>
          <w:i/>
        </w:rPr>
        <w:t>Pages 20, 21</w:t>
      </w:r>
    </w:p>
    <w:p>
      <w:r>
        <w:t>Only two pages in the entire document address the actual legal and claims environment that drives D&amp;O severity.</w:t>
      </w:r>
    </w:p>
    <w:p>
      <w:pPr>
        <w:pStyle w:val="ListBullet"/>
      </w:pPr>
      <w:r/>
      <w:r>
        <w:rPr>
          <w:b/>
        </w:rPr>
        <w:t>What it contains:</w:t>
      </w:r>
      <w:r>
        <w:t xml:space="preserve"> A summary of the Supreme Court's 2011 </w:t>
      </w:r>
      <w:r>
        <w:rPr>
          <w:i/>
        </w:rPr>
        <w:t>Matrixx Initiatives v. Siracusano</w:t>
      </w:r>
      <w:r>
        <w:t xml:space="preserve"> decision regarding the disclosure of adverse events.</w:t>
      </w:r>
    </w:p>
    <w:p>
      <w:pPr>
        <w:pStyle w:val="ListBullet"/>
      </w:pPr>
      <w:r/>
      <w:r>
        <w:rPr>
          <w:b/>
        </w:rPr>
        <w:t>The Problem:</w:t>
      </w:r>
      <w:r>
        <w:t xml:space="preserve"> While this is genuine D&amp;O insight, it is severely outdated. The document concludes that </w:t>
      </w:r>
      <w:r>
        <w:rPr>
          <w:i/>
        </w:rPr>
        <w:t>Matrixx</w:t>
      </w:r>
      <w:r>
        <w:t xml:space="preserve"> makes it "harder to dismiss securities claims" (Page 21). However, it completely misses the Supreme Court's 2015 </w:t>
      </w:r>
      <w:r>
        <w:rPr>
          <w:i/>
        </w:rPr>
        <w:t>Omnicare</w:t>
      </w:r>
      <w:r>
        <w:t xml:space="preserve"> decision, which provided massive protections for statements of opinion, and it ignores the PSLRA safe harbor. As our empirical data showed, biotech cases are actually dismissed at a very high rate (~68%). Furthermore, the background citation on Page 20 lists the </w:t>
      </w:r>
      <w:r>
        <w:rPr>
          <w:i/>
        </w:rPr>
        <w:t>Carter-Wallace</w:t>
      </w:r>
      <w:r>
        <w:t xml:space="preserve"> case as occurring in 1988; it actually occurred in 1998.</w:t>
      </w:r>
    </w:p>
    <w:p>
      <w:pPr>
        <w:pStyle w:val="ListBullet"/>
      </w:pPr>
      <w:r/>
      <w:r>
        <w:rPr>
          <w:b/>
        </w:rPr>
        <w:t>Underwriting Value:</w:t>
      </w:r>
      <w:r>
        <w:t xml:space="preserve"> Low to Moderate. It is D&amp;O-specific, but relying on it today would lead an underwriter to drastically overestimate the difficulty of defending a biotech claim.</w:t>
      </w:r>
    </w:p>
    <w:p>
      <w:pPr>
        <w:pStyle w:val="Heading3"/>
      </w:pPr>
      <w:r>
        <w:t>4. Filler (36% of document)</w:t>
      </w:r>
    </w:p>
    <w:p>
      <w:r>
        <w:rPr>
          <w:i/>
        </w:rPr>
        <w:t>Pages 1, 2, 3, 5, 12, 16, 19, 22</w:t>
      </w:r>
    </w:p>
    <w:p>
      <w:r>
        <w:t>Over a third of the slide deck consists of title pages, "thank you" slides, and blank section dividers.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Conclusion: What is Missing?</w:t>
      </w:r>
    </w:p>
    <w:p>
      <w:r>
        <w:t xml:space="preserve">When we compare the 9% of actual insight in the Swiss Re document against what a modern underwriter </w:t>
      </w:r>
      <w:r>
        <w:rPr>
          <w:i/>
        </w:rPr>
        <w:t>needs</w:t>
      </w:r>
      <w:r>
        <w:t xml:space="preserve"> to know, the gap is massive. </w:t>
      </w:r>
      <w:r>
        <w:rPr>
          <w:i/>
        </w:rPr>
        <w:t>(See attached `missing_items_chart.png`)</w:t>
      </w:r>
      <w:r/>
    </w:p>
    <w:p>
      <w:r>
        <w:t>A functional underwriting guide must allocate its space to:</w:t>
      </w:r>
    </w:p>
    <w:p>
      <w:pPr>
        <w:pStyle w:val="ListNumber"/>
      </w:pPr>
      <w:r/>
      <w:r>
        <w:rPr>
          <w:b/>
        </w:rPr>
        <w:t>Empirical Claims Data:</w:t>
      </w:r>
      <w:r>
        <w:t xml:space="preserve"> Dismissal rates by phase, average settlement values by market cap, and plaintiff firm concentration. (Missing from Swiss Re)</w:t>
      </w:r>
    </w:p>
    <w:p>
      <w:pPr>
        <w:pStyle w:val="ListNumber"/>
      </w:pPr>
      <w:r/>
      <w:r>
        <w:rPr>
          <w:b/>
        </w:rPr>
        <w:t>The Legal Framework:</w:t>
      </w:r>
      <w:r>
        <w:t xml:space="preserve"> How </w:t>
      </w:r>
      <w:r>
        <w:rPr>
          <w:i/>
        </w:rPr>
        <w:t>Omnicare</w:t>
      </w:r>
      <w:r>
        <w:t xml:space="preserve"> and the PSLRA protect management, and what constitutes actionable "scienter." (Missing from Swiss Re)</w:t>
      </w:r>
    </w:p>
    <w:p>
      <w:pPr>
        <w:pStyle w:val="ListNumber"/>
      </w:pPr>
      <w:r/>
      <w:r>
        <w:rPr>
          <w:b/>
        </w:rPr>
        <w:t>Specific Risk Triggers:</w:t>
      </w:r>
      <w:r>
        <w:t xml:space="preserve"> The danger of characterizing FDA communications, the transition risk to commercialization, and the specific hazards of gene therapy vs. small molecules. (Missing from Swiss Re)</w:t>
      </w:r>
    </w:p>
    <w:p>
      <w:r/>
      <w:r>
        <w:rPr>
          <w:b/>
        </w:rPr>
        <w:t>Final Verdict:</w:t>
      </w:r>
      <w:r>
        <w:t xml:space="preserve"> The Swiss Re presentation is approximately </w:t>
      </w:r>
      <w:r>
        <w:rPr>
          <w:b/>
        </w:rPr>
        <w:t>90% basic knowledge/filler</w:t>
      </w:r>
      <w:r>
        <w:t xml:space="preserve"> and </w:t>
      </w:r>
      <w:r>
        <w:rPr>
          <w:b/>
        </w:rPr>
        <w:t>10% outdated underwriting insight</w:t>
      </w:r>
      <w:r>
        <w:t>. It should not be used as a foundation for a modern life sciences D&amp;O underwriting strategy.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4E8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6BA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6BA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