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Critical D&amp;O Underwriting Analysis: Swiss Re Biotech Presentation</w:t>
      </w:r>
    </w:p>
    <w:p>
      <w:r/>
      <w:r>
        <w:rPr>
          <w:b/>
        </w:rPr>
        <w:t>Prepared by Manus AI</w:t>
      </w:r>
      <w:r/>
    </w:p>
    <w:p>
      <w:r/>
      <w:r>
        <w:rPr>
          <w:b/>
        </w:rPr>
        <w:t>Date: March 2026</w:t>
      </w:r>
      <w:r/>
    </w:p>
    <w:p>
      <w:r>
        <w:t>____________________________________________________________</w:t>
      </w:r>
    </w:p>
    <w:p>
      <w:pPr>
        <w:pStyle w:val="Heading1"/>
      </w:pPr>
      <w:r>
        <w:t>Executive Summary</w:t>
      </w:r>
    </w:p>
    <w:p>
      <w:r>
        <w:t xml:space="preserve">This report provides a comprehensive critical analysis of the Swiss Re "Biotechnology D&amp;O Underwriting" presentation (22 slides) from the standpoint of modern Directors and Officers liability underwriting. The analysis cross-references the document's claims against contemporary securities litigation data from Sidley Austin's annual </w:t>
      </w:r>
      <w:r>
        <w:rPr>
          <w:i/>
        </w:rPr>
        <w:t>Securities Class Actions in the Life Sciences Sector</w:t>
      </w:r>
      <w:r>
        <w:t xml:space="preserve"> reports (2021-2024), Willis Towers Watson's </w:t>
      </w:r>
      <w:r>
        <w:rPr>
          <w:i/>
        </w:rPr>
        <w:t>2025 Life Sciences Litigation Trends</w:t>
      </w:r>
      <w:r>
        <w:t xml:space="preserve">, Goodwin Procter's </w:t>
      </w:r>
      <w:r>
        <w:rPr>
          <w:i/>
        </w:rPr>
        <w:t>Securities Litigation Against Life Sciences 2024 Year in Review</w:t>
      </w:r>
      <w:r>
        <w:t xml:space="preserve">, and the BakerHostetler/PLUS </w:t>
      </w:r>
      <w:r>
        <w:rPr>
          <w:i/>
        </w:rPr>
        <w:t>Myths and Misconceptions of Biotech Securities Claims</w:t>
      </w:r>
      <w:r>
        <w:t xml:space="preserve"> study (2005-2022).</w:t>
      </w:r>
    </w:p>
    <w:p>
      <w:r>
        <w:t xml:space="preserve">The Swiss Re document contains </w:t>
      </w:r>
      <w:r>
        <w:rPr>
          <w:b/>
        </w:rPr>
        <w:t>four categories of deficiency</w:t>
      </w:r>
      <w:r>
        <w:t>: (1) critical regulatory and factual errors that would mislead underwriters, (2) misconceptions about claims experience that are directly contradicted by empirical litigation data, (3) outdated or mischaracterized legal precedent, and (4) significant omissions of modern risk factors that drive the majority of today's biotech securities litigation.</w:t>
      </w:r>
    </w:p>
    <w:p>
      <w:r>
        <w:t>____________________________________________________________</w:t>
      </w:r>
    </w:p>
    <w:p>
      <w:pPr>
        <w:pStyle w:val="Heading1"/>
      </w:pPr>
      <w:r>
        <w:t>Part I: Regulatory and Factual Errors</w:t>
      </w:r>
    </w:p>
    <w:p>
      <w:pPr>
        <w:pStyle w:val="Heading2"/>
      </w:pPr>
      <w:r>
        <w:t>1.1 IND vs. NDA Confusion (Slide 6)</w:t>
      </w:r>
    </w:p>
    <w:p>
      <w:r>
        <w:t xml:space="preserve">The document states: </w:t>
      </w:r>
      <w:r>
        <w:rPr>
          <w:i/>
        </w:rPr>
        <w:t>"After preclinical testing, the company files an NDA with the FDA."</w:t>
      </w:r>
      <w:r/>
    </w:p>
    <w:p>
      <w:r>
        <w:t xml:space="preserve">This is a </w:t>
      </w:r>
      <w:r>
        <w:rPr>
          <w:b/>
        </w:rPr>
        <w:t>fundamental regulatory error</w:t>
      </w:r>
      <w:r>
        <w:t xml:space="preserve">. After preclinical testing, a company files an </w:t>
      </w:r>
      <w:r>
        <w:rPr>
          <w:b/>
        </w:rPr>
        <w:t>Investigational New Drug (IND)</w:t>
      </w:r>
      <w:r>
        <w:t xml:space="preserve"> application, which is a request for permission to begin human clinical trials. A </w:t>
      </w:r>
      <w:r>
        <w:rPr>
          <w:b/>
        </w:rPr>
        <w:t>New Drug Application (NDA)</w:t>
      </w:r>
      <w:r>
        <w:t xml:space="preserve"> is the entirely separate filing submitted </w:t>
      </w:r>
      <w:r>
        <w:rPr>
          <w:i/>
        </w:rPr>
        <w:t>after</w:t>
      </w:r>
      <w:r>
        <w:t xml:space="preserve"> the successful completion of all three phases of clinical trials, requesting commercial marketing approval. Confusing the initiation of human testing with the final application for commercial approval demonstrates a misunderstanding of the drug development lifecycle that would cause an underwriter to misidentify where a company sits in the regulatory pipeline and, consequently, misassess the timing and nature of its primary risk catalysts.</w:t>
      </w:r>
    </w:p>
    <w:p>
      <w:pPr>
        <w:pStyle w:val="Heading2"/>
      </w:pPr>
      <w:r>
        <w:t>1.2 FDA Review Timeline Error (Slide 9)</w:t>
      </w:r>
    </w:p>
    <w:p>
      <w:r>
        <w:t xml:space="preserve">The document states: </w:t>
      </w:r>
      <w:r>
        <w:rPr>
          <w:i/>
        </w:rPr>
        <w:t>"By law the FDA can take up to 6 months to review the NDA."</w:t>
      </w:r>
      <w:r/>
    </w:p>
    <w:p>
      <w:r>
        <w:t>Under the Prescription Drug User Fee Act (PDUFA), the FDA's review timelines are as follows: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left"/>
            </w:pPr>
            <w:r>
              <w:rPr>
                <w:b/>
                <w:color w:val="FFFFFF"/>
                <w:sz w:val="18"/>
              </w:rPr>
              <w:t>Review Type</w:t>
            </w:r>
          </w:p>
        </w:tc>
        <w:tc>
          <w:tcPr>
            <w:tcW w:type="dxa" w:w="3120"/>
            <w:shd w:fill="1F4E79"/>
          </w:tcPr>
          <w:p>
            <w:pPr>
              <w:jc w:val="left"/>
            </w:pPr>
            <w:r>
              <w:rPr>
                <w:b/>
                <w:color w:val="FFFFFF"/>
                <w:sz w:val="18"/>
              </w:rPr>
              <w:t>Timeline</w:t>
            </w:r>
          </w:p>
        </w:tc>
        <w:tc>
          <w:tcPr>
            <w:tcW w:type="dxa" w:w="3120"/>
            <w:shd w:fill="1F4E79"/>
          </w:tcPr>
          <w:p>
            <w:pPr>
              <w:jc w:val="left"/>
            </w:pPr>
            <w:r>
              <w:rPr>
                <w:b/>
                <w:color w:val="FFFFFF"/>
                <w:sz w:val="18"/>
              </w:rPr>
              <w:t>Eligibility</w:t>
            </w:r>
          </w:p>
        </w:tc>
      </w:tr>
      <w:tr>
        <w:tc>
          <w:tcPr>
            <w:tcW w:type="dxa" w:w="3120"/>
          </w:tcPr>
          <w:p>
            <w:r>
              <w:rPr>
                <w:sz w:val="18"/>
              </w:rPr>
              <w:t>Standard Review</w:t>
            </w:r>
          </w:p>
        </w:tc>
        <w:tc>
          <w:tcPr>
            <w:tcW w:type="dxa" w:w="3120"/>
          </w:tcPr>
          <w:p>
            <w:r>
              <w:rPr>
                <w:sz w:val="18"/>
              </w:rPr>
              <w:t>10 months from filing date</w:t>
            </w:r>
          </w:p>
        </w:tc>
        <w:tc>
          <w:tcPr>
            <w:tcW w:type="dxa" w:w="3120"/>
          </w:tcPr>
          <w:p>
            <w:r>
              <w:rPr>
                <w:sz w:val="18"/>
              </w:rPr>
              <w:t>Default for all NDAs/BLAs</w:t>
            </w:r>
          </w:p>
        </w:tc>
      </w:tr>
      <w:tr>
        <w:tc>
          <w:tcPr>
            <w:tcW w:type="dxa" w:w="3120"/>
            <w:shd w:fill="E8F0FE"/>
          </w:tcPr>
          <w:p>
            <w:r>
              <w:rPr>
                <w:sz w:val="18"/>
              </w:rPr>
              <w:t>Priority Review</w:t>
            </w:r>
          </w:p>
        </w:tc>
        <w:tc>
          <w:tcPr>
            <w:tcW w:type="dxa" w:w="3120"/>
            <w:shd w:fill="E8F0FE"/>
          </w:tcPr>
          <w:p>
            <w:r>
              <w:rPr>
                <w:sz w:val="18"/>
              </w:rPr>
              <w:t>6 months from filing date</w:t>
            </w:r>
          </w:p>
        </w:tc>
        <w:tc>
          <w:tcPr>
            <w:tcW w:type="dxa" w:w="3120"/>
            <w:shd w:fill="E8F0FE"/>
          </w:tcPr>
          <w:p>
            <w:r>
              <w:rPr>
                <w:sz w:val="18"/>
              </w:rPr>
              <w:t>Drugs treating serious conditions with significant improvement over existing therapies</w:t>
            </w:r>
          </w:p>
        </w:tc>
      </w:tr>
    </w:tbl>
    <w:p/>
    <w:p>
      <w:r>
        <w:t>The document's claim that the review takes "up to 6 months" is only accurate for Priority Review designations, which represent a minority of submissions. The standard review period is 10 months [1]. An underwriter relying on this figure would miscalculate the expected catalyst date for an FDA decision, potentially misjudging the timing of a stock-moving event within a policy period.</w:t>
      </w:r>
    </w:p>
    <w:p>
      <w:pPr>
        <w:pStyle w:val="Heading2"/>
      </w:pPr>
      <w:r>
        <w:t>1.3 Carter-Wallace Case Date Error (Slide 20)</w:t>
      </w:r>
    </w:p>
    <w:p>
      <w:r>
        <w:t xml:space="preserve">The document cites </w:t>
      </w:r>
      <w:r>
        <w:rPr>
          <w:i/>
        </w:rPr>
        <w:t>"Carter-Wallace Inc, Securities Litigation (2nd Cir 1988)."</w:t>
      </w:r>
      <w:r/>
    </w:p>
    <w:p>
      <w:r>
        <w:t xml:space="preserve">The correct citation is </w:t>
      </w:r>
      <w:r>
        <w:rPr>
          <w:i/>
        </w:rPr>
        <w:t>In re Carter-Wallace, Inc. Securities Litigation</w:t>
      </w:r>
      <w:r>
        <w:t xml:space="preserve">, 150 F.3d 153 (2d Cir. </w:t>
      </w:r>
      <w:r>
        <w:rPr>
          <w:b/>
        </w:rPr>
        <w:t>1998</w:t>
      </w:r>
      <w:r>
        <w:t>). The case was decided on July 13, 1998, not 1988. This is a ten-year error in the date of a foundational legal precedent. While the substantive description of the case is broadly accurate, the incorrect date undermines the document's credibility as a reference tool.</w:t>
      </w:r>
    </w:p>
    <w:p>
      <w:pPr>
        <w:pStyle w:val="Heading2"/>
      </w:pPr>
      <w:r>
        <w:t>1.4 Novo Nordisk Classification (Slide 4)</w:t>
      </w:r>
    </w:p>
    <w:p>
      <w:r>
        <w:t xml:space="preserve">The document identifies Novo Nordisk (market cap approximately $76.9 billion at the time of writing) as the "largest independent biotech." This classification is problematic for two reasons. First, Novo Nordisk is primarily classified as a </w:t>
      </w:r>
      <w:r>
        <w:rPr>
          <w:b/>
        </w:rPr>
        <w:t>pharmaceutical company</w:t>
      </w:r>
      <w:r>
        <w:t>, not a biotechnology company, by major industry classification systems (GICS, ICB). It is a large-cap, revenue-generating, multi-product pharmaceutical enterprise headquartered in Denmark, which is fundamentally different from the clinical-stage, pre-revenue biotech companies that are the document's stated focus. Second, the market cap figure is significantly outdated (Novo Nordisk's market cap was approximately $171.6 billion as of early 2026), suggesting the document has not been updated in several years.</w:t>
      </w:r>
    </w:p>
    <w:p>
      <w:pPr>
        <w:pStyle w:val="Heading2"/>
      </w:pPr>
      <w:r>
        <w:t>1.5 Technology Valuation Formula (Slide 15)</w:t>
      </w:r>
    </w:p>
    <w:p>
      <w:r>
        <w:t xml:space="preserve">The document presents the formula </w:t>
      </w:r>
      <w:r>
        <w:rPr>
          <w:i/>
        </w:rPr>
        <w:t>"Market Cap - Cash + Investments"</w:t>
      </w:r>
      <w:r>
        <w:t xml:space="preserve"> as a proxy for technology/pipeline valuation. As written, this is ambiguous and could be interpreted as </w:t>
      </w:r>
      <w:r>
        <w:rPr>
          <w:rFonts w:ascii="Consolas" w:hAnsi="Consolas"/>
          <w:color w:val="006600"/>
          <w:sz w:val="19"/>
        </w:rPr>
        <w:t>(Market Cap - Cash) + Investments</w:t>
      </w:r>
      <w:r>
        <w:t>, which would produce an inflated valuation. The correct formula for implied pipeline value is:</w:t>
      </w:r>
    </w:p>
    <w:p>
      <w:pPr>
        <w:ind w:left="720" w:right="720"/>
      </w:pPr>
      <w:r>
        <w:rPr>
          <w:i/>
          <w:color w:val="595959"/>
        </w:rPr>
        <w:t>Implied Pipeline Value = Market Capitalization - (Cash + Cash Equivalents + Short-Term Investments)</w:t>
      </w:r>
    </w:p>
    <w:p>
      <w:r>
        <w:t>This is a standard metric used by biotech analysts to assess how much of a company's market value is attributable to its technology versus its balance sheet liquidity.</w:t>
      </w:r>
    </w:p>
    <w:p>
      <w:pPr>
        <w:pStyle w:val="Heading2"/>
      </w:pPr>
      <w:r>
        <w:t>1.6 Recurring Typographical Errors</w:t>
      </w:r>
    </w:p>
    <w:p>
      <w:r>
        <w:t>The document contains numerous typographical errors that, while individually minor, collectively suggest a lack of quality control inappropriate for a professional underwriting reference: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left"/>
            </w:pPr>
            <w:r>
              <w:rPr>
                <w:b/>
                <w:color w:val="FFFFFF"/>
                <w:sz w:val="18"/>
              </w:rPr>
              <w:t>Location</w:t>
            </w:r>
          </w:p>
        </w:tc>
        <w:tc>
          <w:tcPr>
            <w:tcW w:type="dxa" w:w="3120"/>
            <w:shd w:fill="1F4E79"/>
          </w:tcPr>
          <w:p>
            <w:pPr>
              <w:jc w:val="left"/>
            </w:pPr>
            <w:r>
              <w:rPr>
                <w:b/>
                <w:color w:val="FFFFFF"/>
                <w:sz w:val="18"/>
              </w:rPr>
              <w:t>Error</w:t>
            </w:r>
          </w:p>
        </w:tc>
        <w:tc>
          <w:tcPr>
            <w:tcW w:type="dxa" w:w="3120"/>
            <w:shd w:fill="1F4E79"/>
          </w:tcPr>
          <w:p>
            <w:pPr>
              <w:jc w:val="left"/>
            </w:pPr>
            <w:r>
              <w:rPr>
                <w:b/>
                <w:color w:val="FFFFFF"/>
                <w:sz w:val="18"/>
              </w:rPr>
              <w:t>Correction</w:t>
            </w:r>
          </w:p>
        </w:tc>
      </w:tr>
      <w:tr>
        <w:tc>
          <w:tcPr>
            <w:tcW w:type="dxa" w:w="3120"/>
          </w:tcPr>
          <w:p>
            <w:r>
              <w:rPr>
                <w:sz w:val="18"/>
              </w:rPr>
              <w:t>Slide 4</w:t>
            </w:r>
          </w:p>
        </w:tc>
        <w:tc>
          <w:tcPr>
            <w:tcW w:type="dxa" w:w="3120"/>
          </w:tcPr>
          <w:p>
            <w:r>
              <w:rPr>
                <w:sz w:val="18"/>
              </w:rPr>
              <w:t>"Convetnion"</w:t>
            </w:r>
          </w:p>
        </w:tc>
        <w:tc>
          <w:tcPr>
            <w:tcW w:type="dxa" w:w="3120"/>
          </w:tcPr>
          <w:p>
            <w:r>
              <w:rPr>
                <w:sz w:val="18"/>
              </w:rPr>
              <w:t>Convention</w:t>
            </w:r>
          </w:p>
        </w:tc>
      </w:tr>
      <w:tr>
        <w:tc>
          <w:tcPr>
            <w:tcW w:type="dxa" w:w="3120"/>
            <w:shd w:fill="E8F0FE"/>
          </w:tcPr>
          <w:p>
            <w:r>
              <w:rPr>
                <w:sz w:val="18"/>
              </w:rPr>
              <w:t>Slide 4</w:t>
            </w:r>
          </w:p>
        </w:tc>
        <w:tc>
          <w:tcPr>
            <w:tcW w:type="dxa" w:w="3120"/>
            <w:shd w:fill="E8F0FE"/>
          </w:tcPr>
          <w:p>
            <w:r>
              <w:rPr>
                <w:sz w:val="18"/>
              </w:rPr>
              <w:t>"Diversitty"</w:t>
            </w:r>
          </w:p>
        </w:tc>
        <w:tc>
          <w:tcPr>
            <w:tcW w:type="dxa" w:w="3120"/>
            <w:shd w:fill="E8F0FE"/>
          </w:tcPr>
          <w:p>
            <w:r>
              <w:rPr>
                <w:sz w:val="18"/>
              </w:rPr>
              <w:t>Diversity</w:t>
            </w:r>
          </w:p>
        </w:tc>
      </w:tr>
      <w:tr>
        <w:tc>
          <w:tcPr>
            <w:tcW w:type="dxa" w:w="3120"/>
          </w:tcPr>
          <w:p>
            <w:r>
              <w:rPr>
                <w:sz w:val="18"/>
              </w:rPr>
              <w:t>Slide 4</w:t>
            </w:r>
          </w:p>
        </w:tc>
        <w:tc>
          <w:tcPr>
            <w:tcW w:type="dxa" w:w="3120"/>
          </w:tcPr>
          <w:p>
            <w:r>
              <w:rPr>
                <w:sz w:val="18"/>
              </w:rPr>
              <w:t>"biotechology"</w:t>
            </w:r>
          </w:p>
        </w:tc>
        <w:tc>
          <w:tcPr>
            <w:tcW w:type="dxa" w:w="3120"/>
          </w:tcPr>
          <w:p>
            <w:r>
              <w:rPr>
                <w:sz w:val="18"/>
              </w:rPr>
              <w:t>biotechnology</w:t>
            </w:r>
          </w:p>
        </w:tc>
      </w:tr>
      <w:tr>
        <w:tc>
          <w:tcPr>
            <w:tcW w:type="dxa" w:w="3120"/>
            <w:shd w:fill="E8F0FE"/>
          </w:tcPr>
          <w:p>
            <w:r>
              <w:rPr>
                <w:sz w:val="18"/>
              </w:rPr>
              <w:t>Slides 9, 10, 13</w:t>
            </w:r>
          </w:p>
        </w:tc>
        <w:tc>
          <w:tcPr>
            <w:tcW w:type="dxa" w:w="3120"/>
            <w:shd w:fill="E8F0FE"/>
          </w:tcPr>
          <w:p>
            <w:r>
              <w:rPr>
                <w:sz w:val="18"/>
              </w:rPr>
              <w:t>"clinical trails" (repeated 3x)</w:t>
            </w:r>
          </w:p>
        </w:tc>
        <w:tc>
          <w:tcPr>
            <w:tcW w:type="dxa" w:w="3120"/>
            <w:shd w:fill="E8F0FE"/>
          </w:tcPr>
          <w:p>
            <w:r>
              <w:rPr>
                <w:sz w:val="18"/>
              </w:rPr>
              <w:t>clinical trials</w:t>
            </w:r>
          </w:p>
        </w:tc>
      </w:tr>
      <w:tr>
        <w:tc>
          <w:tcPr>
            <w:tcW w:type="dxa" w:w="3120"/>
          </w:tcPr>
          <w:p>
            <w:r>
              <w:rPr>
                <w:sz w:val="18"/>
              </w:rPr>
              <w:t>Slide 14</w:t>
            </w:r>
          </w:p>
        </w:tc>
        <w:tc>
          <w:tcPr>
            <w:tcW w:type="dxa" w:w="3120"/>
          </w:tcPr>
          <w:p>
            <w:r>
              <w:rPr>
                <w:sz w:val="18"/>
              </w:rPr>
              <w:t>"non-existant"</w:t>
            </w:r>
          </w:p>
        </w:tc>
        <w:tc>
          <w:tcPr>
            <w:tcW w:type="dxa" w:w="3120"/>
          </w:tcPr>
          <w:p>
            <w:r>
              <w:rPr>
                <w:sz w:val="18"/>
              </w:rPr>
              <w:t>non-existent</w:t>
            </w:r>
          </w:p>
        </w:tc>
      </w:tr>
      <w:tr>
        <w:tc>
          <w:tcPr>
            <w:tcW w:type="dxa" w:w="3120"/>
            <w:shd w:fill="E8F0FE"/>
          </w:tcPr>
          <w:p>
            <w:r>
              <w:rPr>
                <w:sz w:val="18"/>
              </w:rPr>
              <w:t>Slide 20</w:t>
            </w:r>
          </w:p>
        </w:tc>
        <w:tc>
          <w:tcPr>
            <w:tcW w:type="dxa" w:w="3120"/>
            <w:shd w:fill="E8F0FE"/>
          </w:tcPr>
          <w:p>
            <w:r>
              <w:rPr>
                <w:sz w:val="18"/>
              </w:rPr>
              <w:t>"asses"</w:t>
            </w:r>
          </w:p>
        </w:tc>
        <w:tc>
          <w:tcPr>
            <w:tcW w:type="dxa" w:w="3120"/>
            <w:shd w:fill="E8F0FE"/>
          </w:tcPr>
          <w:p>
            <w:r>
              <w:rPr>
                <w:sz w:val="18"/>
              </w:rPr>
              <w:t>assess</w:t>
            </w:r>
          </w:p>
        </w:tc>
      </w:tr>
    </w:tbl>
    <w:p/>
    <w:p>
      <w:r>
        <w:t>____________________________________________________________</w:t>
      </w:r>
    </w:p>
    <w:p>
      <w:pPr>
        <w:pStyle w:val="Heading1"/>
      </w:pPr>
      <w:r>
        <w:t>Part II: Misconceptions Contrary to Actual Claims Experience</w:t>
      </w:r>
    </w:p>
    <w:p>
      <w:r>
        <w:t>This section addresses the most consequential flaw in the document: its implicit framing of clinical-stage biotech companies as inherently high-risk D&amp;O accounts that will generate large, expensive securities claims. Modern empirical data directly contradicts this assumption.</w:t>
      </w:r>
    </w:p>
    <w:p>
      <w:pPr>
        <w:pStyle w:val="Heading2"/>
      </w:pPr>
      <w:r>
        <w:t>2.1 The Clinical Trial Failure Risk Myth</w:t>
      </w:r>
    </w:p>
    <w:p>
      <w:r>
        <w:t>The document's entire structure implies that the clinical trial process is the primary source of D&amp;O risk, and that a failed trial will result in a costly securities claim. The BakerHostetler/PLUS study, covering every federal district court decision on motions to dismiss development-stage biotech securities cases from 2005 to 2022, found the opposite [2]:</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F4E79"/>
          </w:tcPr>
          <w:p>
            <w:pPr>
              <w:jc w:val="left"/>
            </w:pPr>
            <w:r>
              <w:rPr>
                <w:b/>
                <w:color w:val="FFFFFF"/>
                <w:sz w:val="18"/>
              </w:rPr>
              <w:t>Period</w:t>
            </w:r>
          </w:p>
        </w:tc>
        <w:tc>
          <w:tcPr>
            <w:tcW w:type="dxa" w:w="3120"/>
            <w:shd w:fill="1F4E79"/>
          </w:tcPr>
          <w:p>
            <w:pPr>
              <w:jc w:val="left"/>
            </w:pPr>
            <w:r>
              <w:rPr>
                <w:b/>
                <w:color w:val="FFFFFF"/>
                <w:sz w:val="18"/>
              </w:rPr>
              <w:t>Cases Reviewed</w:t>
            </w:r>
          </w:p>
        </w:tc>
        <w:tc>
          <w:tcPr>
            <w:tcW w:type="dxa" w:w="3120"/>
            <w:shd w:fill="1F4E79"/>
          </w:tcPr>
          <w:p>
            <w:pPr>
              <w:jc w:val="left"/>
            </w:pPr>
            <w:r>
              <w:rPr>
                <w:b/>
                <w:color w:val="FFFFFF"/>
                <w:sz w:val="18"/>
              </w:rPr>
              <w:t>Complete Dismissal Rate</w:t>
            </w:r>
          </w:p>
        </w:tc>
      </w:tr>
      <w:tr>
        <w:tc>
          <w:tcPr>
            <w:tcW w:type="dxa" w:w="3120"/>
          </w:tcPr>
          <w:p>
            <w:r>
              <w:rPr>
                <w:sz w:val="18"/>
              </w:rPr>
              <w:t>2005-2011</w:t>
            </w:r>
          </w:p>
        </w:tc>
        <w:tc>
          <w:tcPr>
            <w:tcW w:type="dxa" w:w="3120"/>
          </w:tcPr>
          <w:p>
            <w:r>
              <w:rPr>
                <w:sz w:val="18"/>
              </w:rPr>
              <w:t>25</w:t>
            </w:r>
          </w:p>
        </w:tc>
        <w:tc>
          <w:tcPr>
            <w:tcW w:type="dxa" w:w="3120"/>
          </w:tcPr>
          <w:p>
            <w:r>
              <w:rPr>
                <w:sz w:val="18"/>
              </w:rPr>
              <w:t>56%</w:t>
            </w:r>
          </w:p>
        </w:tc>
      </w:tr>
      <w:tr>
        <w:tc>
          <w:tcPr>
            <w:tcW w:type="dxa" w:w="3120"/>
            <w:shd w:fill="E8F0FE"/>
          </w:tcPr>
          <w:p>
            <w:r>
              <w:rPr>
                <w:sz w:val="18"/>
              </w:rPr>
              <w:t>2012-2017</w:t>
            </w:r>
          </w:p>
        </w:tc>
        <w:tc>
          <w:tcPr>
            <w:tcW w:type="dxa" w:w="3120"/>
            <w:shd w:fill="E8F0FE"/>
          </w:tcPr>
          <w:p>
            <w:r>
              <w:rPr>
                <w:sz w:val="18"/>
              </w:rPr>
              <w:t>45</w:t>
            </w:r>
          </w:p>
        </w:tc>
        <w:tc>
          <w:tcPr>
            <w:tcW w:type="dxa" w:w="3120"/>
            <w:shd w:fill="E8F0FE"/>
          </w:tcPr>
          <w:p>
            <w:r>
              <w:rPr>
                <w:sz w:val="18"/>
              </w:rPr>
              <w:t>76%</w:t>
            </w:r>
          </w:p>
        </w:tc>
      </w:tr>
      <w:tr>
        <w:tc>
          <w:tcPr>
            <w:tcW w:type="dxa" w:w="3120"/>
          </w:tcPr>
          <w:p>
            <w:r>
              <w:rPr>
                <w:sz w:val="18"/>
              </w:rPr>
              <w:t>2017-2022</w:t>
            </w:r>
          </w:p>
        </w:tc>
        <w:tc>
          <w:tcPr>
            <w:tcW w:type="dxa" w:w="3120"/>
          </w:tcPr>
          <w:p>
            <w:r>
              <w:rPr>
                <w:sz w:val="18"/>
              </w:rPr>
              <w:t>44</w:t>
            </w:r>
          </w:p>
        </w:tc>
        <w:tc>
          <w:tcPr>
            <w:tcW w:type="dxa" w:w="3120"/>
          </w:tcPr>
          <w:p>
            <w:r>
              <w:rPr>
                <w:sz w:val="18"/>
              </w:rPr>
              <w:t>68.2%</w:t>
            </w:r>
          </w:p>
        </w:tc>
      </w:tr>
      <w:tr>
        <w:tc>
          <w:tcPr>
            <w:tcW w:type="dxa" w:w="3120"/>
            <w:shd w:fill="E8F0FE"/>
          </w:tcPr>
          <w:p>
            <w:r>
              <w:rPr>
                <w:sz w:val="18"/>
              </w:rPr>
              <w:t>Overall (2005-2022)</w:t>
            </w:r>
          </w:p>
        </w:tc>
        <w:tc>
          <w:tcPr>
            <w:tcW w:type="dxa" w:w="3120"/>
            <w:shd w:fill="E8F0FE"/>
          </w:tcPr>
          <w:p>
            <w:r>
              <w:rPr>
                <w:sz w:val="18"/>
              </w:rPr>
              <w:t>114</w:t>
            </w:r>
          </w:p>
        </w:tc>
        <w:tc>
          <w:tcPr>
            <w:tcW w:type="dxa" w:w="3120"/>
            <w:shd w:fill="E8F0FE"/>
          </w:tcPr>
          <w:p>
            <w:r>
              <w:rPr>
                <w:sz w:val="18"/>
              </w:rPr>
              <w:t>~68%</w:t>
            </w:r>
          </w:p>
        </w:tc>
      </w:tr>
    </w:tbl>
    <w:p/>
    <w:p>
      <w:r>
        <w:t xml:space="preserve">These dismissal rates are </w:t>
      </w:r>
      <w:r>
        <w:rPr>
          <w:b/>
        </w:rPr>
        <w:t>significantly higher</w:t>
      </w:r>
      <w:r>
        <w:t xml:space="preserve"> than the average for all securities class actions. The study's authors concluded:</w:t>
      </w:r>
    </w:p>
    <w:p>
      <w:pPr>
        <w:ind w:left="720" w:right="720"/>
      </w:pPr>
      <w:r>
        <w:rPr>
          <w:i/>
          <w:color w:val="595959"/>
        </w:rPr>
        <w:t>"Securities claims brought against small, clinical-stage biotech companies were actually more likely to be dismissed at an early stage than other types of securities class actions." [2]</w:t>
      </w:r>
    </w:p>
    <w:p>
      <w:r>
        <w:t xml:space="preserve">The structural reasons for this are critical for underwriters to understand. First, clinical trial outcomes are inherently uncertain, making it extremely difficult for plaintiffs to prove </w:t>
      </w:r>
      <w:r>
        <w:rPr>
          <w:i/>
        </w:rPr>
        <w:t>scienter</w:t>
      </w:r>
      <w:r>
        <w:t xml:space="preserve"> (that management </w:t>
      </w:r>
      <w:r>
        <w:rPr>
          <w:i/>
        </w:rPr>
        <w:t>knew</w:t>
      </w:r>
      <w:r>
        <w:t xml:space="preserve"> a trial would fail and intentionally misled investors). Second, these cases typically involve a single corrective disclosure (the failed trial announcement), which simplifies loss-causation analysis. Third, small biotech companies have few employees, yielding fewer witnesses and documents, which reduces defense costs even if the case survives dismissal.</w:t>
      </w:r>
    </w:p>
    <w:p>
      <w:pPr>
        <w:pStyle w:val="Heading2"/>
      </w:pPr>
      <w:r>
        <w:t>2.2 Pre-Approval vs. Mature Product Severity</w:t>
      </w:r>
    </w:p>
    <w:p>
      <w:r>
        <w:t xml:space="preserve">The document does not differentiate between the risk profiles of pre-approval and mature-product companies. According to Sidley Austin's 2024 annual report, while pre-approval cases constitute the majority of filings (approximately 57% per WTW [3]), companies historically fare </w:t>
      </w:r>
      <w:r>
        <w:rPr>
          <w:b/>
        </w:rPr>
        <w:t>better</w:t>
      </w:r>
      <w:r>
        <w:t xml:space="preserve"> in defending pre-approval cases than mature product cases [4]. In 2024, companies prevailed in 57% of pre-approval cases versus 61% of mature product cases, but the long-run trend shows pre-approval companies winning at higher rates.</w:t>
      </w:r>
    </w:p>
    <w:p>
      <w:r>
        <w:t>Mature product cases typically involve allegations related to sales performance, financial reporting, marketing practices, or manufacturing compliance, areas where courts are far less forgiving than the inherently uncertain realm of clinical science. An underwriter who treats all biotech companies as equally risky is mispricing both ends of the spectrum.</w:t>
      </w:r>
    </w:p>
    <w:p>
      <w:pPr>
        <w:pStyle w:val="Heading2"/>
      </w:pPr>
      <w:r>
        <w:t>2.3 The "High Profile Drug = High Exposure" Oversimplification</w:t>
      </w:r>
    </w:p>
    <w:p>
      <w:r>
        <w:t xml:space="preserve">The document states (Slide 13) that a "high profile drug (cancer, AIDS, heart disease)" equals "high exposure." While therapeutic area does correlate with stock volatility (and therefore the magnitude of a potential stock drop), it does not directly correlate with the </w:t>
      </w:r>
      <w:r>
        <w:rPr>
          <w:i/>
        </w:rPr>
        <w:t>defensibility</w:t>
      </w:r>
      <w:r>
        <w:t xml:space="preserve"> of the resulting securities claim. The true exposure driver is not the disease area but the </w:t>
      </w:r>
      <w:r>
        <w:rPr>
          <w:b/>
        </w:rPr>
        <w:t>quality of the company's disclosure practices</w:t>
      </w:r>
      <w:r>
        <w:t xml:space="preserve"> surrounding the development program. A well-counseled company developing a cancer drug with disciplined disclosures is a better risk than a poorly counseled company developing an orphan drug with reckless public statements about FDA alignment.</w:t>
      </w:r>
    </w:p>
    <w:p>
      <w:r>
        <w:t>____________________________________________________________</w:t>
      </w:r>
    </w:p>
    <w:p>
      <w:pPr>
        <w:pStyle w:val="Heading1"/>
      </w:pPr>
      <w:r>
        <w:t>Part III: Outdated and Incomplete Legal Analysis</w:t>
      </w:r>
    </w:p>
    <w:p>
      <w:pPr>
        <w:pStyle w:val="Heading2"/>
      </w:pPr>
      <w:r>
        <w:t>3.1 Matrixx Decision: Correct but Incomplete</w:t>
      </w:r>
    </w:p>
    <w:p>
      <w:r>
        <w:t xml:space="preserve">The document's discussion of </w:t>
      </w:r>
      <w:r>
        <w:rPr>
          <w:i/>
        </w:rPr>
        <w:t>Matrixx Initiatives, Inc. v. Siracusano</w:t>
      </w:r>
      <w:r>
        <w:t>, 563 U.S. 27 (2011), is substantively correct in its core holding: the Supreme Court unanimously rejected a bright-line statistical significance test for materiality under Rule 10b-5. However, the document presents this as the final word on the legal landscape, which is incomplete.</w:t>
      </w:r>
    </w:p>
    <w:p>
      <w:pPr>
        <w:pStyle w:val="Heading2"/>
      </w:pPr>
      <w:r>
        <w:t>3.2 Missing: Omnicare (2015)</w:t>
      </w:r>
    </w:p>
    <w:p>
      <w:r>
        <w:t xml:space="preserve">The most significant omission in the legal analysis is the Supreme Court's 2015 decision in </w:t>
      </w:r>
      <w:r>
        <w:rPr>
          <w:i/>
        </w:rPr>
        <w:t>Omnicare, Inc. v. Laborers District Council Constructing Industry Pension Fund</w:t>
      </w:r>
      <w:r>
        <w:t xml:space="preserve">, 575 U.S. 175 (2015). This decision is arguably </w:t>
      </w:r>
      <w:r>
        <w:rPr>
          <w:b/>
        </w:rPr>
        <w:t>more important for biotech D&amp;O underwriting</w:t>
      </w:r>
      <w:r>
        <w:t xml:space="preserve"> than </w:t>
      </w:r>
      <w:r>
        <w:rPr>
          <w:i/>
        </w:rPr>
        <w:t>Matrixx</w:t>
      </w:r>
      <w:r>
        <w:t xml:space="preserve"> because it established the framework for evaluating statements of opinion in securities cases. Under </w:t>
      </w:r>
      <w:r>
        <w:rPr>
          <w:i/>
        </w:rPr>
        <w:t>Omnicare</w:t>
      </w:r>
      <w:r>
        <w:t>, management's optimistic statements about clinical trial prospects or FDA approval expectations are generally protected as opinions, unless the plaintiff can demonstrate that the speaker did not actually hold that belief or omitted material facts that would make the opinion misleading [2]. This is the primary legal shield protecting biotech executives today, and any underwriting guide that omits it is fundamentally incomplete.</w:t>
      </w:r>
    </w:p>
    <w:p>
      <w:pPr>
        <w:pStyle w:val="Heading2"/>
      </w:pPr>
      <w:r>
        <w:t>3.3 Missing: PSLRA Safe Harbor</w:t>
      </w:r>
    </w:p>
    <w:p>
      <w:r>
        <w:t>The document does not discuss the Private Securities Litigation Reform Act of 1995 (PSLRA) safe harbor for forward-looking statements, which is the statutory backbone of biotech securities defense. Under the PSLRA, forward-looking statements accompanied by meaningful cautionary language are protected from liability. Biotech companies routinely make forward-looking statements about trial timelines, approval expectations, and commercial potential. The quality and specificity of their cautionary language is a critical underwriting factor that the document entirely ignores.</w:t>
      </w:r>
    </w:p>
    <w:p>
      <w:r>
        <w:t>____________________________________________________________</w:t>
      </w:r>
    </w:p>
    <w:p>
      <w:pPr>
        <w:pStyle w:val="Heading1"/>
      </w:pPr>
      <w:r>
        <w:t>Part IV: Critical Omissions from the Underwriting Framework</w:t>
      </w:r>
    </w:p>
    <w:p>
      <w:r>
        <w:t>The document's "Underwriting Points" section (Slides 13-15) and "Other Considerations" section (Slides 17-18) miss several of the most important risk factors driving modern life sciences securities litigation.</w:t>
      </w:r>
    </w:p>
    <w:p>
      <w:pPr>
        <w:pStyle w:val="Heading2"/>
      </w:pPr>
      <w:r>
        <w:t>4.1 Section 11 / Securities Offering Risk</w:t>
      </w:r>
    </w:p>
    <w:p>
      <w:r>
        <w:t xml:space="preserve">Biotech companies are among the most frequent issuers of equity securities (IPOs, follow-on offerings, at-the-market programs). Section 11 of the Securities Act of 1933 imposes </w:t>
      </w:r>
      <w:r>
        <w:rPr>
          <w:b/>
        </w:rPr>
        <w:t>strict liability</w:t>
      </w:r>
      <w:r>
        <w:t xml:space="preserve"> for material misstatements in registration statements, meaning plaintiffs do not need to prove </w:t>
      </w:r>
      <w:r>
        <w:rPr>
          <w:i/>
        </w:rPr>
        <w:t>scienter</w:t>
      </w:r>
      <w:r>
        <w:t>. In 2024, 198 core securities class action cases brought only Section 10(b) claims (the highest on record), while Section 11 filings declined to 21 [5]. However, Section 11 claims remain a critical exposure for any biotech company that has recently conducted a public offering, and the document does not mention them at all.</w:t>
      </w:r>
    </w:p>
    <w:p>
      <w:pPr>
        <w:pStyle w:val="Heading2"/>
      </w:pPr>
      <w:r>
        <w:t>4.2 Insider Trading and 10b5-1 Plans</w:t>
      </w:r>
    </w:p>
    <w:p>
      <w:r>
        <w:t xml:space="preserve">The document does not address insider trading risk, which is the single most effective tool plaintiffs use to establish </w:t>
      </w:r>
      <w:r>
        <w:rPr>
          <w:i/>
        </w:rPr>
        <w:t>scienter</w:t>
      </w:r>
      <w:r>
        <w:t xml:space="preserve"> in biotech securities cases. When executives sell stock shortly before a negative clinical readout, courts are far more willing to infer fraudulent intent. The presence, structure, and timing of Rule 10b5-1 trading plans is a critical underwriting check.</w:t>
      </w:r>
    </w:p>
    <w:p>
      <w:pPr>
        <w:pStyle w:val="Heading2"/>
      </w:pPr>
      <w:r>
        <w:t>4.3 Complete Response Letters (CRLs) and Advisory Committee Meetings</w:t>
      </w:r>
    </w:p>
    <w:p>
      <w:r>
        <w:t>The document does not mention CRLs (the FDA's formal rejection of an NDA/BLA) or FDA Advisory Committee (AdCom) meetings, both of which are among the most significant stock-moving events in the biotech sector. AdCom votes are public, binary (yes/no recommendation), and frequently trigger 30-50%+ stock price movements.</w:t>
      </w:r>
    </w:p>
    <w:p>
      <w:pPr>
        <w:pStyle w:val="Heading2"/>
      </w:pPr>
      <w:r>
        <w:t>4.4 Biosimilars and the BPCIA</w:t>
      </w:r>
    </w:p>
    <w:p>
      <w:r>
        <w:t>The document's discussion of generic drugs and ANDAs is incomplete without addressing the Biologics Price Competition and Innovation Act (BPCIA), which governs the approval pathway for biosimilar products. The "patent dance" litigation under the BPCIA is a growing source of securities exposure for both innovator and biosimilar companies.</w:t>
      </w:r>
    </w:p>
    <w:p>
      <w:pPr>
        <w:pStyle w:val="Heading2"/>
      </w:pPr>
      <w:r>
        <w:t>4.5 SPAC and De-SPAC Transactions</w:t>
      </w:r>
    </w:p>
    <w:p>
      <w:r>
        <w:t>While SPAC-related filings have declined from their 2021 peak (33 cases) to 11 in 2024 [5], the de-SPAC pathway remains a common route to public markets for biotech companies. De-SPAC transactions carry unique D&amp;O risks, including projections made during the merger process that may later prove inaccurate.</w:t>
      </w:r>
    </w:p>
    <w:p>
      <w:pPr>
        <w:pStyle w:val="Heading2"/>
      </w:pPr>
      <w:r>
        <w:t>4.6 Geographic and Jurisdictional Risk</w:t>
      </w:r>
    </w:p>
    <w:p>
      <w:r>
        <w:t>The document does not address the geographic concentration of biotech securities litigation. In 2024, filings were concentrated in the Ninth Circuit (California, 14 cases), Second Circuit (New York, 9 cases), and First Circuit (Massachusetts, 8 cases) [4]. Venue selection affects dismissal rates and settlement dynamics, and is a relevant underwriting consideration.</w:t>
      </w:r>
    </w:p>
    <w:p>
      <w:r>
        <w:t>____________________________________________________________</w:t>
      </w:r>
    </w:p>
    <w:p>
      <w:pPr>
        <w:pStyle w:val="Heading1"/>
      </w:pPr>
      <w:r>
        <w:t>Part V: Summary Error and Omission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tcPr>
          <w:p>
            <w:pPr>
              <w:jc w:val="left"/>
            </w:pPr>
            <w:r>
              <w:rPr>
                <w:b/>
                <w:color w:val="FFFFFF"/>
                <w:sz w:val="18"/>
              </w:rPr>
              <w:t>Category</w:t>
            </w:r>
          </w:p>
        </w:tc>
        <w:tc>
          <w:tcPr>
            <w:tcW w:type="dxa" w:w="2340"/>
            <w:shd w:fill="1F4E79"/>
          </w:tcPr>
          <w:p>
            <w:pPr>
              <w:jc w:val="left"/>
            </w:pPr>
            <w:r>
              <w:rPr>
                <w:b/>
                <w:color w:val="FFFFFF"/>
                <w:sz w:val="18"/>
              </w:rPr>
              <w:t>Issue</w:t>
            </w:r>
          </w:p>
        </w:tc>
        <w:tc>
          <w:tcPr>
            <w:tcW w:type="dxa" w:w="2340"/>
            <w:shd w:fill="1F4E79"/>
          </w:tcPr>
          <w:p>
            <w:pPr>
              <w:jc w:val="left"/>
            </w:pPr>
            <w:r>
              <w:rPr>
                <w:b/>
                <w:color w:val="FFFFFF"/>
                <w:sz w:val="18"/>
              </w:rPr>
              <w:t>Severity</w:t>
            </w:r>
          </w:p>
        </w:tc>
        <w:tc>
          <w:tcPr>
            <w:tcW w:type="dxa" w:w="2340"/>
            <w:shd w:fill="1F4E79"/>
          </w:tcPr>
          <w:p>
            <w:pPr>
              <w:jc w:val="left"/>
            </w:pPr>
            <w:r>
              <w:rPr>
                <w:b/>
                <w:color w:val="FFFFFF"/>
                <w:sz w:val="18"/>
              </w:rPr>
              <w:t>Impact on Underwriting</w:t>
            </w:r>
          </w:p>
        </w:tc>
      </w:tr>
      <w:tr>
        <w:tc>
          <w:tcPr>
            <w:tcW w:type="dxa" w:w="2340"/>
          </w:tcPr>
          <w:p>
            <w:r>
              <w:rPr>
                <w:sz w:val="18"/>
              </w:rPr>
              <w:t>Factual Error</w:t>
            </w:r>
          </w:p>
        </w:tc>
        <w:tc>
          <w:tcPr>
            <w:tcW w:type="dxa" w:w="2340"/>
          </w:tcPr>
          <w:p>
            <w:r>
              <w:rPr>
                <w:sz w:val="18"/>
              </w:rPr>
              <w:t>IND called "NDA" (Slide 6)</w:t>
            </w:r>
          </w:p>
        </w:tc>
        <w:tc>
          <w:tcPr>
            <w:tcW w:type="dxa" w:w="2340"/>
          </w:tcPr>
          <w:p>
            <w:r>
              <w:rPr>
                <w:sz w:val="18"/>
              </w:rPr>
              <w:t>Critical</w:t>
            </w:r>
          </w:p>
        </w:tc>
        <w:tc>
          <w:tcPr>
            <w:tcW w:type="dxa" w:w="2340"/>
          </w:tcPr>
          <w:p>
            <w:r>
              <w:rPr>
                <w:sz w:val="18"/>
              </w:rPr>
              <w:t>Misidentifies regulatory stage</w:t>
            </w:r>
          </w:p>
        </w:tc>
      </w:tr>
      <w:tr>
        <w:tc>
          <w:tcPr>
            <w:tcW w:type="dxa" w:w="2340"/>
            <w:shd w:fill="E8F0FE"/>
          </w:tcPr>
          <w:p>
            <w:r>
              <w:rPr>
                <w:sz w:val="18"/>
              </w:rPr>
              <w:t>Factual Error</w:t>
            </w:r>
          </w:p>
        </w:tc>
        <w:tc>
          <w:tcPr>
            <w:tcW w:type="dxa" w:w="2340"/>
            <w:shd w:fill="E8F0FE"/>
          </w:tcPr>
          <w:p>
            <w:r>
              <w:rPr>
                <w:sz w:val="18"/>
              </w:rPr>
              <w:t>FDA review "up to 6 months" (Slide 9)</w:t>
            </w:r>
          </w:p>
        </w:tc>
        <w:tc>
          <w:tcPr>
            <w:tcW w:type="dxa" w:w="2340"/>
            <w:shd w:fill="E8F0FE"/>
          </w:tcPr>
          <w:p>
            <w:r>
              <w:rPr>
                <w:sz w:val="18"/>
              </w:rPr>
              <w:t>High</w:t>
            </w:r>
          </w:p>
        </w:tc>
        <w:tc>
          <w:tcPr>
            <w:tcW w:type="dxa" w:w="2340"/>
            <w:shd w:fill="E8F0FE"/>
          </w:tcPr>
          <w:p>
            <w:r>
              <w:rPr>
                <w:sz w:val="18"/>
              </w:rPr>
              <w:t>Misjudges catalyst timing</w:t>
            </w:r>
          </w:p>
        </w:tc>
      </w:tr>
      <w:tr>
        <w:tc>
          <w:tcPr>
            <w:tcW w:type="dxa" w:w="2340"/>
          </w:tcPr>
          <w:p>
            <w:r>
              <w:rPr>
                <w:sz w:val="18"/>
              </w:rPr>
              <w:t>Factual Error</w:t>
            </w:r>
          </w:p>
        </w:tc>
        <w:tc>
          <w:tcPr>
            <w:tcW w:type="dxa" w:w="2340"/>
          </w:tcPr>
          <w:p>
            <w:r>
              <w:rPr>
                <w:sz w:val="18"/>
              </w:rPr>
              <w:t>Carter-Wallace dated 1988 not 1998 (Slide 20)</w:t>
            </w:r>
          </w:p>
        </w:tc>
        <w:tc>
          <w:tcPr>
            <w:tcW w:type="dxa" w:w="2340"/>
          </w:tcPr>
          <w:p>
            <w:r>
              <w:rPr>
                <w:sz w:val="18"/>
              </w:rPr>
              <w:t>Medium</w:t>
            </w:r>
          </w:p>
        </w:tc>
        <w:tc>
          <w:tcPr>
            <w:tcW w:type="dxa" w:w="2340"/>
          </w:tcPr>
          <w:p>
            <w:r>
              <w:rPr>
                <w:sz w:val="18"/>
              </w:rPr>
              <w:t>Undermines credibility</w:t>
            </w:r>
          </w:p>
        </w:tc>
      </w:tr>
      <w:tr>
        <w:tc>
          <w:tcPr>
            <w:tcW w:type="dxa" w:w="2340"/>
            <w:shd w:fill="E8F0FE"/>
          </w:tcPr>
          <w:p>
            <w:r>
              <w:rPr>
                <w:sz w:val="18"/>
              </w:rPr>
              <w:t>Factual Error</w:t>
            </w:r>
          </w:p>
        </w:tc>
        <w:tc>
          <w:tcPr>
            <w:tcW w:type="dxa" w:w="2340"/>
            <w:shd w:fill="E8F0FE"/>
          </w:tcPr>
          <w:p>
            <w:r>
              <w:rPr>
                <w:sz w:val="18"/>
              </w:rPr>
              <w:t>Novo Nordisk classified as "biotech" (Slide 4)</w:t>
            </w:r>
          </w:p>
        </w:tc>
        <w:tc>
          <w:tcPr>
            <w:tcW w:type="dxa" w:w="2340"/>
            <w:shd w:fill="E8F0FE"/>
          </w:tcPr>
          <w:p>
            <w:r>
              <w:rPr>
                <w:sz w:val="18"/>
              </w:rPr>
              <w:t>Medium</w:t>
            </w:r>
          </w:p>
        </w:tc>
        <w:tc>
          <w:tcPr>
            <w:tcW w:type="dxa" w:w="2340"/>
            <w:shd w:fill="E8F0FE"/>
          </w:tcPr>
          <w:p>
            <w:r>
              <w:rPr>
                <w:sz w:val="18"/>
              </w:rPr>
              <w:t>Misleading sector definition</w:t>
            </w:r>
          </w:p>
        </w:tc>
      </w:tr>
      <w:tr>
        <w:tc>
          <w:tcPr>
            <w:tcW w:type="dxa" w:w="2340"/>
          </w:tcPr>
          <w:p>
            <w:r>
              <w:rPr>
                <w:sz w:val="18"/>
              </w:rPr>
              <w:t>Factual Error</w:t>
            </w:r>
          </w:p>
        </w:tc>
        <w:tc>
          <w:tcPr>
            <w:tcW w:type="dxa" w:w="2340"/>
          </w:tcPr>
          <w:p>
            <w:r>
              <w:rPr>
                <w:sz w:val="18"/>
              </w:rPr>
              <w:t>Ambiguous valuation formula (Slide 15)</w:t>
            </w:r>
          </w:p>
        </w:tc>
        <w:tc>
          <w:tcPr>
            <w:tcW w:type="dxa" w:w="2340"/>
          </w:tcPr>
          <w:p>
            <w:r>
              <w:rPr>
                <w:sz w:val="18"/>
              </w:rPr>
              <w:t>Medium</w:t>
            </w:r>
          </w:p>
        </w:tc>
        <w:tc>
          <w:tcPr>
            <w:tcW w:type="dxa" w:w="2340"/>
          </w:tcPr>
          <w:p>
            <w:r>
              <w:rPr>
                <w:sz w:val="18"/>
              </w:rPr>
              <w:t>Could inflate pipeline value</w:t>
            </w:r>
          </w:p>
        </w:tc>
      </w:tr>
      <w:tr>
        <w:tc>
          <w:tcPr>
            <w:tcW w:type="dxa" w:w="2340"/>
            <w:shd w:fill="E8F0FE"/>
          </w:tcPr>
          <w:p>
            <w:r>
              <w:rPr>
                <w:sz w:val="18"/>
              </w:rPr>
              <w:t>Claims Misconception</w:t>
            </w:r>
          </w:p>
        </w:tc>
        <w:tc>
          <w:tcPr>
            <w:tcW w:type="dxa" w:w="2340"/>
            <w:shd w:fill="E8F0FE"/>
          </w:tcPr>
          <w:p>
            <w:r>
              <w:rPr>
                <w:sz w:val="18"/>
              </w:rPr>
              <w:t>Clinical trial failure = high D&amp;O risk</w:t>
            </w:r>
          </w:p>
        </w:tc>
        <w:tc>
          <w:tcPr>
            <w:tcW w:type="dxa" w:w="2340"/>
            <w:shd w:fill="E8F0FE"/>
          </w:tcPr>
          <w:p>
            <w:r>
              <w:rPr>
                <w:sz w:val="18"/>
              </w:rPr>
              <w:t>Critical</w:t>
            </w:r>
          </w:p>
        </w:tc>
        <w:tc>
          <w:tcPr>
            <w:tcW w:type="dxa" w:w="2340"/>
            <w:shd w:fill="E8F0FE"/>
          </w:tcPr>
          <w:p>
            <w:r>
              <w:rPr>
                <w:sz w:val="18"/>
              </w:rPr>
              <w:t>Overprices pre-approval risk</w:t>
            </w:r>
          </w:p>
        </w:tc>
      </w:tr>
      <w:tr>
        <w:tc>
          <w:tcPr>
            <w:tcW w:type="dxa" w:w="2340"/>
          </w:tcPr>
          <w:p>
            <w:r>
              <w:rPr>
                <w:sz w:val="18"/>
              </w:rPr>
              <w:t>Claims Misconception</w:t>
            </w:r>
          </w:p>
        </w:tc>
        <w:tc>
          <w:tcPr>
            <w:tcW w:type="dxa" w:w="2340"/>
          </w:tcPr>
          <w:p>
            <w:r>
              <w:rPr>
                <w:sz w:val="18"/>
              </w:rPr>
              <w:t>No pre-approval vs. mature product distinction</w:t>
            </w:r>
          </w:p>
        </w:tc>
        <w:tc>
          <w:tcPr>
            <w:tcW w:type="dxa" w:w="2340"/>
          </w:tcPr>
          <w:p>
            <w:r>
              <w:rPr>
                <w:sz w:val="18"/>
              </w:rPr>
              <w:t>High</w:t>
            </w:r>
          </w:p>
        </w:tc>
        <w:tc>
          <w:tcPr>
            <w:tcW w:type="dxa" w:w="2340"/>
          </w:tcPr>
          <w:p>
            <w:r>
              <w:rPr>
                <w:sz w:val="18"/>
              </w:rPr>
              <w:t>Fails to identify true severity drivers</w:t>
            </w:r>
          </w:p>
        </w:tc>
      </w:tr>
      <w:tr>
        <w:tc>
          <w:tcPr>
            <w:tcW w:type="dxa" w:w="2340"/>
            <w:shd w:fill="E8F0FE"/>
          </w:tcPr>
          <w:p>
            <w:r>
              <w:rPr>
                <w:sz w:val="18"/>
              </w:rPr>
              <w:t>Claims Misconception</w:t>
            </w:r>
          </w:p>
        </w:tc>
        <w:tc>
          <w:tcPr>
            <w:tcW w:type="dxa" w:w="2340"/>
            <w:shd w:fill="E8F0FE"/>
          </w:tcPr>
          <w:p>
            <w:r>
              <w:rPr>
                <w:sz w:val="18"/>
              </w:rPr>
              <w:t>"High profile drug = high exposure"</w:t>
            </w:r>
          </w:p>
        </w:tc>
        <w:tc>
          <w:tcPr>
            <w:tcW w:type="dxa" w:w="2340"/>
            <w:shd w:fill="E8F0FE"/>
          </w:tcPr>
          <w:p>
            <w:r>
              <w:rPr>
                <w:sz w:val="18"/>
              </w:rPr>
              <w:t>Medium</w:t>
            </w:r>
          </w:p>
        </w:tc>
        <w:tc>
          <w:tcPr>
            <w:tcW w:type="dxa" w:w="2340"/>
            <w:shd w:fill="E8F0FE"/>
          </w:tcPr>
          <w:p>
            <w:r>
              <w:rPr>
                <w:sz w:val="18"/>
              </w:rPr>
              <w:t>Oversimplifies risk assessment</w:t>
            </w:r>
          </w:p>
        </w:tc>
      </w:tr>
      <w:tr>
        <w:tc>
          <w:tcPr>
            <w:tcW w:type="dxa" w:w="2340"/>
          </w:tcPr>
          <w:p>
            <w:r>
              <w:rPr>
                <w:sz w:val="18"/>
              </w:rPr>
              <w:t>Legal Omission</w:t>
            </w:r>
          </w:p>
        </w:tc>
        <w:tc>
          <w:tcPr>
            <w:tcW w:type="dxa" w:w="2340"/>
          </w:tcPr>
          <w:p>
            <w:r>
              <w:rPr>
                <w:sz w:val="18"/>
              </w:rPr>
              <w:t>No discussion of *Omnicare* (2015)</w:t>
            </w:r>
          </w:p>
        </w:tc>
        <w:tc>
          <w:tcPr>
            <w:tcW w:type="dxa" w:w="2340"/>
          </w:tcPr>
          <w:p>
            <w:r>
              <w:rPr>
                <w:sz w:val="18"/>
              </w:rPr>
              <w:t>Critical</w:t>
            </w:r>
          </w:p>
        </w:tc>
        <w:tc>
          <w:tcPr>
            <w:tcW w:type="dxa" w:w="2340"/>
          </w:tcPr>
          <w:p>
            <w:r>
              <w:rPr>
                <w:sz w:val="18"/>
              </w:rPr>
              <w:t>Misses primary legal defense</w:t>
            </w:r>
          </w:p>
        </w:tc>
      </w:tr>
      <w:tr>
        <w:tc>
          <w:tcPr>
            <w:tcW w:type="dxa" w:w="2340"/>
            <w:shd w:fill="E8F0FE"/>
          </w:tcPr>
          <w:p>
            <w:r>
              <w:rPr>
                <w:sz w:val="18"/>
              </w:rPr>
              <w:t>Legal Omission</w:t>
            </w:r>
          </w:p>
        </w:tc>
        <w:tc>
          <w:tcPr>
            <w:tcW w:type="dxa" w:w="2340"/>
            <w:shd w:fill="E8F0FE"/>
          </w:tcPr>
          <w:p>
            <w:r>
              <w:rPr>
                <w:sz w:val="18"/>
              </w:rPr>
              <w:t>No discussion of PSLRA safe harbor</w:t>
            </w:r>
          </w:p>
        </w:tc>
        <w:tc>
          <w:tcPr>
            <w:tcW w:type="dxa" w:w="2340"/>
            <w:shd w:fill="E8F0FE"/>
          </w:tcPr>
          <w:p>
            <w:r>
              <w:rPr>
                <w:sz w:val="18"/>
              </w:rPr>
              <w:t>High</w:t>
            </w:r>
          </w:p>
        </w:tc>
        <w:tc>
          <w:tcPr>
            <w:tcW w:type="dxa" w:w="2340"/>
            <w:shd w:fill="E8F0FE"/>
          </w:tcPr>
          <w:p>
            <w:r>
              <w:rPr>
                <w:sz w:val="18"/>
              </w:rPr>
              <w:t>Ignores statutory defense framework</w:t>
            </w:r>
          </w:p>
        </w:tc>
      </w:tr>
      <w:tr>
        <w:tc>
          <w:tcPr>
            <w:tcW w:type="dxa" w:w="2340"/>
          </w:tcPr>
          <w:p>
            <w:r>
              <w:rPr>
                <w:sz w:val="18"/>
              </w:rPr>
              <w:t>Underwriting Omission</w:t>
            </w:r>
          </w:p>
        </w:tc>
        <w:tc>
          <w:tcPr>
            <w:tcW w:type="dxa" w:w="2340"/>
          </w:tcPr>
          <w:p>
            <w:r>
              <w:rPr>
                <w:sz w:val="18"/>
              </w:rPr>
              <w:t>No Section 11 / offering risk analysis</w:t>
            </w:r>
          </w:p>
        </w:tc>
        <w:tc>
          <w:tcPr>
            <w:tcW w:type="dxa" w:w="2340"/>
          </w:tcPr>
          <w:p>
            <w:r>
              <w:rPr>
                <w:sz w:val="18"/>
              </w:rPr>
              <w:t>Critical</w:t>
            </w:r>
          </w:p>
        </w:tc>
        <w:tc>
          <w:tcPr>
            <w:tcW w:type="dxa" w:w="2340"/>
          </w:tcPr>
          <w:p>
            <w:r>
              <w:rPr>
                <w:sz w:val="18"/>
              </w:rPr>
              <w:t>Misses strict liability exposure</w:t>
            </w:r>
          </w:p>
        </w:tc>
      </w:tr>
      <w:tr>
        <w:tc>
          <w:tcPr>
            <w:tcW w:type="dxa" w:w="2340"/>
            <w:shd w:fill="E8F0FE"/>
          </w:tcPr>
          <w:p>
            <w:r>
              <w:rPr>
                <w:sz w:val="18"/>
              </w:rPr>
              <w:t>Underwriting Omission</w:t>
            </w:r>
          </w:p>
        </w:tc>
        <w:tc>
          <w:tcPr>
            <w:tcW w:type="dxa" w:w="2340"/>
            <w:shd w:fill="E8F0FE"/>
          </w:tcPr>
          <w:p>
            <w:r>
              <w:rPr>
                <w:sz w:val="18"/>
              </w:rPr>
              <w:t>No insider trading / 10b5-1 plan analysis</w:t>
            </w:r>
          </w:p>
        </w:tc>
        <w:tc>
          <w:tcPr>
            <w:tcW w:type="dxa" w:w="2340"/>
            <w:shd w:fill="E8F0FE"/>
          </w:tcPr>
          <w:p>
            <w:r>
              <w:rPr>
                <w:sz w:val="18"/>
              </w:rPr>
              <w:t>Critical</w:t>
            </w:r>
          </w:p>
        </w:tc>
        <w:tc>
          <w:tcPr>
            <w:tcW w:type="dxa" w:w="2340"/>
            <w:shd w:fill="E8F0FE"/>
          </w:tcPr>
          <w:p>
            <w:r>
              <w:rPr>
                <w:sz w:val="18"/>
              </w:rPr>
              <w:t>Misses primary scienter indicator</w:t>
            </w:r>
          </w:p>
        </w:tc>
      </w:tr>
      <w:tr>
        <w:tc>
          <w:tcPr>
            <w:tcW w:type="dxa" w:w="2340"/>
          </w:tcPr>
          <w:p>
            <w:r>
              <w:rPr>
                <w:sz w:val="18"/>
              </w:rPr>
              <w:t>Underwriting Omission</w:t>
            </w:r>
          </w:p>
        </w:tc>
        <w:tc>
          <w:tcPr>
            <w:tcW w:type="dxa" w:w="2340"/>
          </w:tcPr>
          <w:p>
            <w:r>
              <w:rPr>
                <w:sz w:val="18"/>
              </w:rPr>
              <w:t>No CRL / AdCom discussion</w:t>
            </w:r>
          </w:p>
        </w:tc>
        <w:tc>
          <w:tcPr>
            <w:tcW w:type="dxa" w:w="2340"/>
          </w:tcPr>
          <w:p>
            <w:r>
              <w:rPr>
                <w:sz w:val="18"/>
              </w:rPr>
              <w:t>High</w:t>
            </w:r>
          </w:p>
        </w:tc>
        <w:tc>
          <w:tcPr>
            <w:tcW w:type="dxa" w:w="2340"/>
          </w:tcPr>
          <w:p>
            <w:r>
              <w:rPr>
                <w:sz w:val="18"/>
              </w:rPr>
              <w:t>Misses major stock catalysts</w:t>
            </w:r>
          </w:p>
        </w:tc>
      </w:tr>
      <w:tr>
        <w:tc>
          <w:tcPr>
            <w:tcW w:type="dxa" w:w="2340"/>
            <w:shd w:fill="E8F0FE"/>
          </w:tcPr>
          <w:p>
            <w:r>
              <w:rPr>
                <w:sz w:val="18"/>
              </w:rPr>
              <w:t>Underwriting Omission</w:t>
            </w:r>
          </w:p>
        </w:tc>
        <w:tc>
          <w:tcPr>
            <w:tcW w:type="dxa" w:w="2340"/>
            <w:shd w:fill="E8F0FE"/>
          </w:tcPr>
          <w:p>
            <w:r>
              <w:rPr>
                <w:sz w:val="18"/>
              </w:rPr>
              <w:t>No biosimilar / BPCIA discussion</w:t>
            </w:r>
          </w:p>
        </w:tc>
        <w:tc>
          <w:tcPr>
            <w:tcW w:type="dxa" w:w="2340"/>
            <w:shd w:fill="E8F0FE"/>
          </w:tcPr>
          <w:p>
            <w:r>
              <w:rPr>
                <w:sz w:val="18"/>
              </w:rPr>
              <w:t>Medium</w:t>
            </w:r>
          </w:p>
        </w:tc>
        <w:tc>
          <w:tcPr>
            <w:tcW w:type="dxa" w:w="2340"/>
            <w:shd w:fill="E8F0FE"/>
          </w:tcPr>
          <w:p>
            <w:r>
              <w:rPr>
                <w:sz w:val="18"/>
              </w:rPr>
              <w:t>Incomplete competitive landscape</w:t>
            </w:r>
          </w:p>
        </w:tc>
      </w:tr>
      <w:tr>
        <w:tc>
          <w:tcPr>
            <w:tcW w:type="dxa" w:w="2340"/>
          </w:tcPr>
          <w:p>
            <w:r>
              <w:rPr>
                <w:sz w:val="18"/>
              </w:rPr>
              <w:t>Underwriting Omission</w:t>
            </w:r>
          </w:p>
        </w:tc>
        <w:tc>
          <w:tcPr>
            <w:tcW w:type="dxa" w:w="2340"/>
          </w:tcPr>
          <w:p>
            <w:r>
              <w:rPr>
                <w:sz w:val="18"/>
              </w:rPr>
              <w:t>No SPAC / de-SPAC risk discussion</w:t>
            </w:r>
          </w:p>
        </w:tc>
        <w:tc>
          <w:tcPr>
            <w:tcW w:type="dxa" w:w="2340"/>
          </w:tcPr>
          <w:p>
            <w:r>
              <w:rPr>
                <w:sz w:val="18"/>
              </w:rPr>
              <w:t>Medium</w:t>
            </w:r>
          </w:p>
        </w:tc>
        <w:tc>
          <w:tcPr>
            <w:tcW w:type="dxa" w:w="2340"/>
          </w:tcPr>
          <w:p>
            <w:r>
              <w:rPr>
                <w:sz w:val="18"/>
              </w:rPr>
              <w:t>Misses modern capital markets pathway</w:t>
            </w:r>
          </w:p>
        </w:tc>
      </w:tr>
      <w:tr>
        <w:tc>
          <w:tcPr>
            <w:tcW w:type="dxa" w:w="2340"/>
            <w:shd w:fill="E8F0FE"/>
          </w:tcPr>
          <w:p>
            <w:r>
              <w:rPr>
                <w:sz w:val="18"/>
              </w:rPr>
              <w:t>Underwriting Omission</w:t>
            </w:r>
          </w:p>
        </w:tc>
        <w:tc>
          <w:tcPr>
            <w:tcW w:type="dxa" w:w="2340"/>
            <w:shd w:fill="E8F0FE"/>
          </w:tcPr>
          <w:p>
            <w:r>
              <w:rPr>
                <w:sz w:val="18"/>
              </w:rPr>
              <w:t>No geographic / jurisdictional analysis</w:t>
            </w:r>
          </w:p>
        </w:tc>
        <w:tc>
          <w:tcPr>
            <w:tcW w:type="dxa" w:w="2340"/>
            <w:shd w:fill="E8F0FE"/>
          </w:tcPr>
          <w:p>
            <w:r>
              <w:rPr>
                <w:sz w:val="18"/>
              </w:rPr>
              <w:t>Medium</w:t>
            </w:r>
          </w:p>
        </w:tc>
        <w:tc>
          <w:tcPr>
            <w:tcW w:type="dxa" w:w="2340"/>
            <w:shd w:fill="E8F0FE"/>
          </w:tcPr>
          <w:p>
            <w:r>
              <w:rPr>
                <w:sz w:val="18"/>
              </w:rPr>
              <w:t>Ignores venue-driven outcome variance</w:t>
            </w:r>
          </w:p>
        </w:tc>
      </w:tr>
      <w:tr>
        <w:tc>
          <w:tcPr>
            <w:tcW w:type="dxa" w:w="2340"/>
          </w:tcPr>
          <w:p>
            <w:r>
              <w:rPr>
                <w:sz w:val="18"/>
              </w:rPr>
              <w:t>Quality</w:t>
            </w:r>
          </w:p>
        </w:tc>
        <w:tc>
          <w:tcPr>
            <w:tcW w:type="dxa" w:w="2340"/>
          </w:tcPr>
          <w:p>
            <w:r>
              <w:rPr>
                <w:sz w:val="18"/>
              </w:rPr>
              <w:t>Multiple typographical errors (6+)</w:t>
            </w:r>
          </w:p>
        </w:tc>
        <w:tc>
          <w:tcPr>
            <w:tcW w:type="dxa" w:w="2340"/>
          </w:tcPr>
          <w:p>
            <w:r>
              <w:rPr>
                <w:sz w:val="18"/>
              </w:rPr>
              <w:t>Low</w:t>
            </w:r>
          </w:p>
        </w:tc>
        <w:tc>
          <w:tcPr>
            <w:tcW w:type="dxa" w:w="2340"/>
          </w:tcPr>
          <w:p>
            <w:r>
              <w:rPr>
                <w:sz w:val="18"/>
              </w:rPr>
              <w:t>Unprofessional presentation</w:t>
            </w:r>
          </w:p>
        </w:tc>
      </w:tr>
    </w:tbl>
    <w:p/>
    <w:p>
      <w:r>
        <w:t>____________________________________________________________</w:t>
      </w:r>
    </w:p>
    <w:p>
      <w:pPr>
        <w:pStyle w:val="Heading1"/>
      </w:pPr>
      <w:r>
        <w:t>Conclusion</w:t>
      </w:r>
    </w:p>
    <w:p>
      <w:r>
        <w:t xml:space="preserve">The Swiss Re Biotech D&amp;O Underwriting presentation serves as a rudimentary introduction to what a biotechnology company is, but it </w:t>
      </w:r>
      <w:r>
        <w:rPr>
          <w:b/>
        </w:rPr>
        <w:t>fails as a reliable underwriting tool</w:t>
      </w:r>
      <w:r>
        <w:t xml:space="preserve"> for several critical reasons. It contains fundamental regulatory errors (IND vs. NDA, review timelines) that would cause an underwriter to misidentify a company's position in the development pipeline. It operates on outdated assumptions about securities litigation risk that are directly contradicted by 17 years of empirical claims data showing that clinical-stage biotech cases are dismissed at rates significantly above the market average. It omits the most important modern legal defenses (</w:t>
      </w:r>
      <w:r>
        <w:rPr>
          <w:i/>
        </w:rPr>
        <w:t>Omnicare</w:t>
      </w:r>
      <w:r>
        <w:t>, PSLRA safe harbor) and the most critical underwriting risk factors (insider trading patterns, Section 11 exposure, interim FDA communications, Forms 483 disclosure obligations).</w:t>
      </w:r>
    </w:p>
    <w:p>
      <w:r>
        <w:t xml:space="preserve">A modern biotech D&amp;O underwriter relying solely on this document would likely </w:t>
      </w:r>
      <w:r>
        <w:rPr>
          <w:b/>
        </w:rPr>
        <w:t>overprice clinical-stage risks</w:t>
      </w:r>
      <w:r>
        <w:t xml:space="preserve"> while simultaneously </w:t>
      </w:r>
      <w:r>
        <w:rPr>
          <w:b/>
        </w:rPr>
        <w:t>missing the nuanced disclosure and transactional risks</w:t>
      </w:r>
      <w:r>
        <w:t xml:space="preserve"> that actually drive claim severity in the life sciences sector.</w:t>
      </w:r>
    </w:p>
    <w:p>
      <w:r>
        <w:t>____________________________________________________________</w:t>
      </w:r>
    </w:p>
    <w:p>
      <w:pPr>
        <w:pStyle w:val="Heading2"/>
      </w:pPr>
      <w:r>
        <w:t>References</w:t>
      </w:r>
    </w:p>
    <w:p>
      <w:pPr>
        <w:spacing w:before="40" w:after="40"/>
      </w:pPr>
      <w:r>
        <w:rPr>
          <w:b/>
          <w:sz w:val="18"/>
        </w:rPr>
        <w:t xml:space="preserve">[1] </w:t>
      </w:r>
      <w:r>
        <w:rPr>
          <w:sz w:val="18"/>
        </w:rPr>
        <w:t xml:space="preserve">FDA - Priority Review. </w:t>
      </w:r>
      <w:r>
        <w:rPr>
          <w:color w:val="0066CC"/>
          <w:sz w:val="16"/>
        </w:rPr>
        <w:t>https://www.fda.gov/patients/fast-track-breakthrough-therapy-accelerated-approval-priority-review/priority-review</w:t>
      </w:r>
    </w:p>
    <w:p>
      <w:pPr>
        <w:spacing w:before="40" w:after="40"/>
      </w:pPr>
      <w:r>
        <w:rPr>
          <w:b/>
          <w:sz w:val="18"/>
        </w:rPr>
        <w:t xml:space="preserve">[2] </w:t>
      </w:r>
      <w:r>
        <w:rPr>
          <w:sz w:val="18"/>
        </w:rPr>
        <w:t xml:space="preserve">The D&amp;O Diary - Analysis of Biotech Securities Class Action Motion to Dismiss Results, 2005-2022. </w:t>
      </w:r>
      <w:r>
        <w:rPr>
          <w:color w:val="0066CC"/>
          <w:sz w:val="16"/>
        </w:rPr>
        <w:t>https://www.dandodiary.com/2022/07/articles/securities-litigation/guest-post-analysis-of-biotech-securities-class-action-motion-to-dismiss-results-2005-2022/</w:t>
      </w:r>
    </w:p>
    <w:p>
      <w:pPr>
        <w:spacing w:before="40" w:after="40"/>
      </w:pPr>
      <w:r>
        <w:rPr>
          <w:b/>
          <w:sz w:val="18"/>
        </w:rPr>
        <w:t xml:space="preserve">[3] </w:t>
      </w:r>
      <w:r>
        <w:rPr>
          <w:sz w:val="18"/>
        </w:rPr>
        <w:t xml:space="preserve">WTW - 2025 Life Sciences Litigation Trends. </w:t>
      </w:r>
      <w:r>
        <w:rPr>
          <w:color w:val="0066CC"/>
          <w:sz w:val="16"/>
        </w:rPr>
        <w:t>https://www.wtwco.com/en-us/insights/2025/10/2025-life-sciences-litigation-trends</w:t>
      </w:r>
    </w:p>
    <w:p>
      <w:pPr>
        <w:spacing w:before="40" w:after="40"/>
      </w:pPr>
      <w:r>
        <w:rPr>
          <w:b/>
          <w:sz w:val="18"/>
        </w:rPr>
        <w:t xml:space="preserve">[4] </w:t>
      </w:r>
      <w:r>
        <w:rPr>
          <w:sz w:val="18"/>
        </w:rPr>
        <w:t xml:space="preserve">Sidley Austin - Securities Litigation Against Life Sciences Companies: 2024. </w:t>
      </w:r>
      <w:r>
        <w:rPr>
          <w:color w:val="0066CC"/>
          <w:sz w:val="16"/>
        </w:rPr>
        <w:t>https://goodlifesci.sidley.com/2025/04/04/securities-litigation-against-life-sciences-companies-2024/</w:t>
      </w:r>
    </w:p>
    <w:p>
      <w:pPr>
        <w:spacing w:before="40" w:after="40"/>
      </w:pPr>
      <w:r>
        <w:rPr>
          <w:b/>
          <w:sz w:val="18"/>
        </w:rPr>
        <w:t xml:space="preserve">[5] </w:t>
      </w:r>
      <w:r>
        <w:rPr>
          <w:sz w:val="18"/>
        </w:rPr>
        <w:t xml:space="preserve">Goodwin Procter - Securities Litigation Against Life Sciences 2024 Year in Review. </w:t>
      </w:r>
      <w:r>
        <w:rPr>
          <w:color w:val="0066CC"/>
          <w:sz w:val="16"/>
        </w:rPr>
        <w:t>https://www.goodwinlaw.com/en/year-in-review/securities-litigation-against-life-sciences-2024-yir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