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Critical Analysis: Swiss Re "BioTech" D&amp;O Underwriting Presentation</w:t>
      </w:r>
    </w:p>
    <w:p>
      <w:r/>
      <w:r>
        <w:rPr>
          <w:b/>
        </w:rPr>
        <w:t>Prepared by:</w:t>
      </w:r>
      <w:r>
        <w:t xml:space="preserve"> Manus AI</w:t>
      </w:r>
    </w:p>
    <w:p>
      <w:r/>
      <w:r>
        <w:rPr>
          <w:b/>
        </w:rPr>
        <w:t>Date:</w:t>
      </w:r>
      <w:r>
        <w:t xml:space="preserve"> March 2026</w:t>
      </w:r>
    </w:p>
    <w:p>
      <w:pPr>
        <w:pStyle w:val="Heading2"/>
      </w:pPr>
      <w:r>
        <w:t>Executive Summary</w:t>
      </w:r>
    </w:p>
    <w:p>
      <w:r>
        <w:t>The provided Swiss Re presentation, "BioTech," is intended as a training or reference document for Directors &amp; Officers (D&amp;O) underwriters assessing biotechnology risks. However, a comprehensive review against current empirical claims data, federal securities jurisprudence, and FDA regulatory frameworks reveals that the document is fundamentally flawed.</w:t>
      </w:r>
    </w:p>
    <w:p>
      <w:r>
        <w:t>It contains critical regulatory errors that would cause an underwriter to misunderstand the development timeline, omits the primary legal defenses that protect biotech executives today, and relies on an outdated, overly pessimistic view of clinical-stage litigation risk. If an underwriting team were to rely on this document, they would likely overprice clinical-stage risks while failing to identify the actual drivers of severity in the modern life sciences D&amp;O environment.</w:t>
      </w:r>
    </w:p>
    <w:p>
      <w:r>
        <w:t>This analysis details the specific errors, omissions, and dangerous misconceptions present in the document, cross-referenced against authoritative 2024-2026 data from Sidley Austin, Dechert, Willis Towers Watson (WTW), and the PLUS/BakerHostetler biotech litigation studies.</w:t>
      </w:r>
    </w:p>
    <w:p>
      <w:pPr>
        <w:spacing w:before="240" w:after="240"/>
      </w:pPr>
      <w:r>
        <w:rPr>
          <w:color w:val="CCCCCC"/>
          <w:sz w:val="16"/>
        </w:rPr>
        <w:t>________________________________________________________________________________</w:t>
      </w:r>
    </w:p>
    <w:p>
      <w:pPr>
        <w:pStyle w:val="Heading2"/>
      </w:pPr>
      <w:r>
        <w:t>Part I: Critical Regulatory and Factual Errors</w:t>
      </w:r>
    </w:p>
    <w:p>
      <w:r>
        <w:t>The document contains basic errors regarding the FDA regulatory process. For an underwriter, misunderstanding the regulatory timeline means misunderstanding when a company is exposed to the highest risk of a stock-drop event.</w:t>
      </w:r>
    </w:p>
    <w:p>
      <w:pPr>
        <w:pStyle w:val="Heading3"/>
      </w:pPr>
      <w:r>
        <w:t>1. The IND vs. NDA Confusion (Page 6)</w:t>
      </w:r>
    </w:p>
    <w:p>
      <w:r/>
      <w:r>
        <w:rPr>
          <w:b/>
        </w:rPr>
        <w:t>The Document States:</w:t>
      </w:r>
      <w:r>
        <w:t xml:space="preserve"> "After preclinical testing, the company files an NDA with the FDA"</w:t>
      </w:r>
    </w:p>
    <w:p>
      <w:r/>
      <w:r>
        <w:rPr>
          <w:b/>
        </w:rPr>
        <w:t>The Reality:</w:t>
      </w:r>
      <w:r>
        <w:t xml:space="preserve"> This is a fundamental error. After preclinical testing, a company files an </w:t>
      </w:r>
      <w:r>
        <w:rPr>
          <w:b/>
        </w:rPr>
        <w:t>Investigational New Drug (IND)</w:t>
      </w:r>
      <w:r>
        <w:t xml:space="preserve"> application [1]. A New Drug Application (NDA) is filed </w:t>
      </w:r>
      <w:r>
        <w:rPr>
          <w:i/>
        </w:rPr>
        <w:t>after</w:t>
      </w:r>
      <w:r>
        <w:t xml:space="preserve"> the successful completion of Phase I, II, and III clinical trials [1].</w:t>
      </w:r>
    </w:p>
    <w:p>
      <w:r/>
      <w:r>
        <w:rPr>
          <w:b/>
        </w:rPr>
        <w:t>Underwriting Impact:</w:t>
      </w:r>
      <w:r>
        <w:t xml:space="preserve"> An underwriter relying on this document would misunderstand the entire lifecycle of drug development, confusing the beginning of human testing (IND) with the final request for commercial approval (NDA).</w:t>
      </w:r>
    </w:p>
    <w:p>
      <w:pPr>
        <w:pStyle w:val="Heading3"/>
      </w:pPr>
      <w:r>
        <w:t>2. Misstatement of FDA Review Timelines (Page 9)</w:t>
      </w:r>
    </w:p>
    <w:p>
      <w:r/>
      <w:r>
        <w:rPr>
          <w:b/>
        </w:rPr>
        <w:t>The Document States:</w:t>
      </w:r>
      <w:r>
        <w:t xml:space="preserve"> "By law the FDA can take up to 6 months to review the NDA"</w:t>
      </w:r>
    </w:p>
    <w:p>
      <w:r/>
      <w:r>
        <w:rPr>
          <w:b/>
        </w:rPr>
        <w:t>The Reality:</w:t>
      </w:r>
      <w:r>
        <w:t xml:space="preserve"> Under the Prescription Drug User Fee Act (PDUFA), the standard FDA review timeline for an NDA or BLA is </w:t>
      </w:r>
      <w:r>
        <w:rPr>
          <w:b/>
        </w:rPr>
        <w:t>10 months</w:t>
      </w:r>
      <w:r>
        <w:t xml:space="preserve"> [1]. The 6-month timeline applies </w:t>
      </w:r>
      <w:r>
        <w:rPr>
          <w:i/>
        </w:rPr>
        <w:t>only</w:t>
      </w:r>
      <w:r>
        <w:t xml:space="preserve"> to drugs granted Priority Review [1].</w:t>
      </w:r>
    </w:p>
    <w:p>
      <w:r/>
      <w:r>
        <w:rPr>
          <w:b/>
        </w:rPr>
        <w:t>Underwriting Impact:</w:t>
      </w:r>
      <w:r>
        <w:t xml:space="preserve"> The PDUFA date (the target date for the FDA's decision) is one of the highest-risk events for a biotech stock. If an underwriter models a 6-month window for a standard drug, they will misjudge the timing of the company's critical disclosures and the duration of their capital runway.</w:t>
      </w:r>
    </w:p>
    <w:p>
      <w:pPr>
        <w:pStyle w:val="Heading3"/>
      </w:pPr>
      <w:r>
        <w:t>3. Case Law Citation Error (Page 20)</w:t>
      </w:r>
    </w:p>
    <w:p>
      <w:r/>
      <w:r>
        <w:rPr>
          <w:b/>
        </w:rPr>
        <w:t>The Document States:</w:t>
      </w:r>
      <w:r>
        <w:t xml:space="preserve"> "Carter-Wallace Inc, Securities Litigation (2nd Cir 1988)"</w:t>
      </w:r>
    </w:p>
    <w:p>
      <w:r/>
      <w:r>
        <w:rPr>
          <w:b/>
        </w:rPr>
        <w:t>The Reality:</w:t>
      </w:r>
      <w:r>
        <w:t xml:space="preserve"> The landmark </w:t>
      </w:r>
      <w:r>
        <w:rPr>
          <w:i/>
        </w:rPr>
        <w:t>In re Carter-Wallace, Inc. Securities Litigation</w:t>
      </w:r>
      <w:r>
        <w:t xml:space="preserve"> was decided in </w:t>
      </w:r>
      <w:r>
        <w:rPr>
          <w:b/>
        </w:rPr>
        <w:t>1998</w:t>
      </w:r>
      <w:r>
        <w:t xml:space="preserve">, not 1988 [2]. Furthermore, the document oversimplifies the Second Circuit's ruling regarding the statistical significance of adverse events, failing to capture the nuance that eventually led to the Supreme Court's ruling in </w:t>
      </w:r>
      <w:r>
        <w:rPr>
          <w:i/>
        </w:rPr>
        <w:t>Matrixx Initiatives</w:t>
      </w:r>
      <w:r>
        <w:t>.</w:t>
      </w:r>
    </w:p>
    <w:p>
      <w:pPr>
        <w:pStyle w:val="Heading3"/>
      </w:pPr>
      <w:r>
        <w:t>4. Outdated Market Data (Page 4)</w:t>
      </w:r>
    </w:p>
    <w:p>
      <w:r/>
      <w:r>
        <w:rPr>
          <w:b/>
        </w:rPr>
        <w:t>The Document States:</w:t>
      </w:r>
      <w:r>
        <w:t xml:space="preserve"> Identifies Novo Nordisk as the "largest independent biotech" with a market cap of approximately $76.9B.</w:t>
      </w:r>
    </w:p>
    <w:p>
      <w:r/>
      <w:r>
        <w:rPr>
          <w:b/>
        </w:rPr>
        <w:t>The Reality:</w:t>
      </w:r>
      <w:r>
        <w:t xml:space="preserve"> Novo Nordisk is traditionally classified as a large pharmaceutical company, not an independent biotech. Furthermore, its market cap is currently well over $150 billion [3]. While this is merely an artifact of the document's age, it highlights the need for a modernized framework.</w:t>
      </w:r>
    </w:p>
    <w:p>
      <w:pPr>
        <w:spacing w:before="240" w:after="240"/>
      </w:pPr>
      <w:r>
        <w:rPr>
          <w:color w:val="CCCCCC"/>
          <w:sz w:val="16"/>
        </w:rPr>
        <w:t>________________________________________________________________________________</w:t>
      </w:r>
    </w:p>
    <w:p>
      <w:pPr>
        <w:pStyle w:val="Heading2"/>
      </w:pPr>
      <w:r>
        <w:t>Part II: The "Clinical Risk" Misconception vs. Empirical Data</w:t>
      </w:r>
    </w:p>
    <w:p>
      <w:r>
        <w:t>The most dangerous flaw in the Swiss Re document is not what it says, but the implicit assumption it creates: that clinical trial failures are the primary driver of D&amp;O liability and that such litigation is inherently difficult to defend. Empirical data from the last two decades proves the exact opposite.</w:t>
      </w:r>
    </w:p>
    <w:p>
      <w:pPr>
        <w:pStyle w:val="Heading3"/>
      </w:pPr>
      <w:r>
        <w:t>The Reality of Dismissal Rates</w:t>
      </w:r>
    </w:p>
    <w:p>
      <w:r>
        <w:t>A comprehensive study by BakerHostetler and the Professional Liability Underwriting Society (PLUS) analyzed every securities class action filed against development-stage biotech companies from 2005 through 2022 [4]. The findings directly contradict common underwriting fears:</w:t>
      </w:r>
    </w:p>
    <w:p>
      <w:pPr>
        <w:pStyle w:val="ListBullet"/>
      </w:pPr>
      <w:r/>
      <w:r>
        <w:rPr>
          <w:b/>
        </w:rPr>
        <w:t>High Dismissal Rates:</w:t>
      </w:r>
      <w:r>
        <w:t xml:space="preserve"> Federal courts dismissed approximately </w:t>
      </w:r>
      <w:r>
        <w:rPr>
          <w:b/>
        </w:rPr>
        <w:t>68%</w:t>
      </w:r>
      <w:r>
        <w:t xml:space="preserve"> of all securities class actions against development-stage biotech companies [4].</w:t>
      </w:r>
    </w:p>
    <w:p>
      <w:pPr>
        <w:pStyle w:val="ListBullet"/>
      </w:pPr>
      <w:r/>
      <w:r>
        <w:rPr>
          <w:b/>
        </w:rPr>
        <w:t>Consistent Defendant Success:</w:t>
      </w:r>
      <w:r>
        <w:t xml:space="preserve"> Data from WTW and Sidley Austin confirms this trend continues today. In 2024, life sciences companies won dismissal in </w:t>
      </w:r>
      <w:r>
        <w:rPr>
          <w:b/>
        </w:rPr>
        <w:t>59%</w:t>
      </w:r>
      <w:r>
        <w:t xml:space="preserve"> of district court decisions and won affirmance in </w:t>
      </w:r>
      <w:r>
        <w:rPr>
          <w:b/>
        </w:rPr>
        <w:t>100%</w:t>
      </w:r>
      <w:r>
        <w:t xml:space="preserve"> of appellate decisions [5] [6].</w:t>
      </w:r>
    </w:p>
    <w:p>
      <w:pPr>
        <w:pStyle w:val="ListBullet"/>
      </w:pPr>
      <w:r/>
      <w:r>
        <w:rPr>
          <w:b/>
        </w:rPr>
        <w:t>Better Than Average:</w:t>
      </w:r>
      <w:r>
        <w:t xml:space="preserve"> Life sciences companies consistently achieve higher dismissal rates than the overall average for securities class actions across all industries (which typically hovers around 40-45%) [7].</w:t>
      </w:r>
    </w:p>
    <w:p>
      <w:pPr>
        <w:pStyle w:val="Heading3"/>
      </w:pPr>
      <w:r>
        <w:t>Why Biotech Defendants Win</w:t>
      </w:r>
    </w:p>
    <w:p>
      <w:r>
        <w:t xml:space="preserve">The Swiss Re document fails to explain </w:t>
      </w:r>
      <w:r>
        <w:rPr>
          <w:i/>
        </w:rPr>
        <w:t>why</w:t>
      </w:r>
      <w:r>
        <w:t xml:space="preserve"> these cases are frequently dismissed, leaving underwriters blind to the structural advantages biotech defendants possess:</w:t>
      </w:r>
    </w:p>
    <w:p>
      <w:pPr>
        <w:pStyle w:val="ListNumber"/>
      </w:pPr>
      <w:r/>
      <w:r>
        <w:rPr>
          <w:b/>
        </w:rPr>
        <w:t>The "Public Good" Doctrine:</w:t>
      </w:r>
      <w:r>
        <w:t xml:space="preserve"> Courts explicitly recognize that investing in experimental drugs is inherently speculative, and that second-guessing clinical trial designs through securities litigation harms the public interest [4].</w:t>
      </w:r>
    </w:p>
    <w:p>
      <w:pPr>
        <w:pStyle w:val="ListNumber"/>
      </w:pPr>
      <w:r/>
      <w:r>
        <w:rPr>
          <w:b/>
        </w:rPr>
        <w:t>The Omnicare Shield:</w:t>
      </w:r>
      <w:r>
        <w:t xml:space="preserve"> Following the 2015 Supreme Court decision in </w:t>
      </w:r>
      <w:r>
        <w:rPr>
          <w:i/>
        </w:rPr>
        <w:t>Omnicare</w:t>
      </w:r>
      <w:r>
        <w:t>, statements of opinion (such as a CEO stating they are "encouraged by the data" or "confident in approval") are heavily protected [4]. As long as the opinion is honestly held and the company does not conceal directly contradictory internal data, courts routinely dismiss these claims as non-actionable puffery [4].</w:t>
      </w:r>
    </w:p>
    <w:p>
      <w:pPr>
        <w:pStyle w:val="ListNumber"/>
      </w:pPr>
      <w:r/>
      <w:r>
        <w:rPr>
          <w:b/>
        </w:rPr>
        <w:t>Scienter Hurdles:</w:t>
      </w:r>
      <w:r>
        <w:t xml:space="preserve"> Under the Private Securities Litigation Reform Act (PSLRA), plaintiffs must prove "scienter" (intent to defraud). As noted in the 2024 Dechert survey, courts frequently dismiss cases—even when statements were arguably false—because plaintiffs cannot prove that executives </w:t>
      </w:r>
      <w:r>
        <w:rPr>
          <w:i/>
        </w:rPr>
        <w:t>intended</w:t>
      </w:r>
      <w:r>
        <w:t xml:space="preserve"> to mislead investors rather than simply being overly optimistic about complex science [8].</w:t>
      </w:r>
    </w:p>
    <w:p>
      <w:r/>
      <w:r>
        <w:rPr>
          <w:b/>
        </w:rPr>
        <w:t>Underwriting Impact:</w:t>
      </w:r>
      <w:r>
        <w:t xml:space="preserve"> An underwriter using the Swiss Re document would likely apply punitive pricing to a Phase II or Phase III biotech company out of fear of a clinical trial failure. While the </w:t>
      </w:r>
      <w:r>
        <w:rPr>
          <w:i/>
        </w:rPr>
        <w:t>stock drop</w:t>
      </w:r>
      <w:r>
        <w:t xml:space="preserve"> risk is real, the </w:t>
      </w:r>
      <w:r>
        <w:rPr>
          <w:i/>
        </w:rPr>
        <w:t>D&amp;O severity</w:t>
      </w:r>
      <w:r>
        <w:t xml:space="preserve"> risk is mitigated by these massive structural legal advantages.</w:t>
      </w:r>
    </w:p>
    <w:p>
      <w:pPr>
        <w:spacing w:before="240" w:after="240"/>
      </w:pPr>
      <w:r>
        <w:rPr>
          <w:color w:val="CCCCCC"/>
          <w:sz w:val="16"/>
        </w:rPr>
        <w:t>________________________________________________________________________________</w:t>
      </w:r>
    </w:p>
    <w:p>
      <w:pPr>
        <w:pStyle w:val="Heading2"/>
      </w:pPr>
      <w:r>
        <w:t>Part III: Critical Omissions in Risk Assessment</w:t>
      </w:r>
    </w:p>
    <w:p>
      <w:r>
        <w:t>Because the document focuses heavily on basic definitions and outdated case law (</w:t>
      </w:r>
      <w:r>
        <w:rPr>
          <w:i/>
        </w:rPr>
        <w:t>Matrixx</w:t>
      </w:r>
      <w:r>
        <w:t>), it completely misses the actual drivers of D&amp;O severity in the modern life sciences landscape. An underwriter using this guide would fail to ask the most important questions.</w:t>
      </w:r>
    </w:p>
    <w:p>
      <w:pPr>
        <w:pStyle w:val="Heading3"/>
      </w:pPr>
      <w:r>
        <w:t>1. The FDA Communications Trap</w:t>
      </w:r>
    </w:p>
    <w:p>
      <w:r>
        <w:t>The document mentions FDA reviews but fails to identify the single most dangerous area for biotech disclosures: characterizing interim FDA feedback.</w:t>
      </w:r>
    </w:p>
    <w:p>
      <w:pPr>
        <w:pStyle w:val="ListBullet"/>
      </w:pPr>
      <w:r/>
      <w:r>
        <w:rPr>
          <w:b/>
        </w:rPr>
        <w:t>The Missing Risk:</w:t>
      </w:r>
      <w:r>
        <w:t xml:space="preserve"> Courts grant wide latitude for companies to express optimism about their trials. However, when a company specifically claims the FDA has "agreed to," "blessed," or "approved" a methodology, and that turns out to be false, courts almost always allow the case to proceed [4].</w:t>
      </w:r>
    </w:p>
    <w:p>
      <w:pPr>
        <w:pStyle w:val="ListBullet"/>
      </w:pPr>
      <w:r/>
      <w:r>
        <w:rPr>
          <w:b/>
        </w:rPr>
        <w:t>Underwriting Need:</w:t>
      </w:r>
      <w:r>
        <w:t xml:space="preserve"> Underwriters must evaluate whether management has a history of over-characterizing FDA feedback or selectively disclosing only the positive portions of FDA communications.</w:t>
      </w:r>
    </w:p>
    <w:p>
      <w:pPr>
        <w:pStyle w:val="Heading3"/>
      </w:pPr>
      <w:r>
        <w:t>2. Technology-Specific Risk Profiles</w:t>
      </w:r>
    </w:p>
    <w:p>
      <w:r>
        <w:t>The document treats "biotech" as a monolith. In reality, D&amp;O risk varies wildly by modality:</w:t>
      </w:r>
    </w:p>
    <w:p>
      <w:pPr>
        <w:pStyle w:val="ListBullet"/>
      </w:pPr>
      <w:r/>
      <w:r>
        <w:rPr>
          <w:b/>
        </w:rPr>
        <w:t>Gene Therapy:</w:t>
      </w:r>
      <w:r>
        <w:t xml:space="preserve"> Carries unique risks of late-stage clinical holds due to viral vector safety signals or manufacturing (CMC) issues [9].</w:t>
      </w:r>
    </w:p>
    <w:p>
      <w:pPr>
        <w:pStyle w:val="ListBullet"/>
      </w:pPr>
      <w:r/>
      <w:r>
        <w:rPr>
          <w:b/>
        </w:rPr>
        <w:t>Small Molecules vs. Biologics:</w:t>
      </w:r>
      <w:r>
        <w:t xml:space="preserve"> Different phase transition success rates (and therefore different stock drop probabilities) [10].</w:t>
      </w:r>
    </w:p>
    <w:p>
      <w:pPr>
        <w:pStyle w:val="ListBullet"/>
      </w:pPr>
      <w:r/>
      <w:r>
        <w:rPr>
          <w:b/>
        </w:rPr>
        <w:t>Medical Devices:</w:t>
      </w:r>
      <w:r>
        <w:t xml:space="preserve"> Governed by entirely different regulatory pathways (510(k) vs. PMA) with unique litigation triggers like product recalls and FDA warning letters [9].</w:t>
      </w:r>
    </w:p>
    <w:p>
      <w:pPr>
        <w:pStyle w:val="Heading3"/>
      </w:pPr>
      <w:r>
        <w:t>3. The Commercialization Transition Risk</w:t>
      </w:r>
    </w:p>
    <w:p>
      <w:r>
        <w:t>According to BHSI and Sidley Austin, the transition from a development-stage company to a commercial-stage company is one of the most perilous periods for D&amp;O risk [5] [11].</w:t>
      </w:r>
    </w:p>
    <w:p>
      <w:pPr>
        <w:pStyle w:val="ListBullet"/>
      </w:pPr>
      <w:r/>
      <w:r>
        <w:rPr>
          <w:b/>
        </w:rPr>
        <w:t>The Missing Risk:</w:t>
      </w:r>
      <w:r>
        <w:t xml:space="preserve"> The document focuses on clinical trials but ignores the fact that in 2024, </w:t>
      </w:r>
      <w:r>
        <w:rPr>
          <w:b/>
        </w:rPr>
        <w:t>43%</w:t>
      </w:r>
      <w:r>
        <w:t xml:space="preserve"> of new securities class actions were filed against companies with </w:t>
      </w:r>
      <w:r>
        <w:rPr>
          <w:i/>
        </w:rPr>
        <w:t>mature products</w:t>
      </w:r>
      <w:r>
        <w:t xml:space="preserve"> [5].</w:t>
      </w:r>
    </w:p>
    <w:p>
      <w:pPr>
        <w:pStyle w:val="ListBullet"/>
      </w:pPr>
      <w:r/>
      <w:r>
        <w:rPr>
          <w:b/>
        </w:rPr>
        <w:t>Underwriting Need:</w:t>
      </w:r>
      <w:r>
        <w:t xml:space="preserve"> Underwriters must assess a company's infrastructure for sales, marketing, and reimbursement, as missed revenue guidance on a newly launched drug is a primary driver of litigation [5].</w:t>
      </w:r>
    </w:p>
    <w:p>
      <w:pPr>
        <w:pStyle w:val="Heading3"/>
      </w:pPr>
      <w:r>
        <w:t>4. Financial and Transactional Exposures</w:t>
      </w:r>
    </w:p>
    <w:p>
      <w:r>
        <w:t>The Dechert 2024 survey revealed that life sciences companies face dual exposure: industry-specific risks (FDA/trials) and general corporate risks [8].</w:t>
      </w:r>
    </w:p>
    <w:p>
      <w:pPr>
        <w:pStyle w:val="ListBullet"/>
      </w:pPr>
      <w:r/>
      <w:r>
        <w:rPr>
          <w:b/>
        </w:rPr>
        <w:t>The Missing Risk:</w:t>
      </w:r>
      <w:r>
        <w:t xml:space="preserve"> In 2024, 34% of life sciences complaints involved financial reporting issues (internal controls, restatements), and 20% involved M&amp;A or IPO transactions [8].</w:t>
      </w:r>
    </w:p>
    <w:p>
      <w:pPr>
        <w:pStyle w:val="ListBullet"/>
      </w:pPr>
      <w:r/>
      <w:r>
        <w:rPr>
          <w:b/>
        </w:rPr>
        <w:t>Underwriting Need:</w:t>
      </w:r>
      <w:r>
        <w:t xml:space="preserve"> The document's "Financial condition" section (Page 14) is overly simplistic, focusing only on cash burn. It ignores the severe litigation risk associated with SPAC de-mergers, insider trading plans (10b5-1), and material weaknesses in internal controls [8] [9].</w:t>
      </w:r>
    </w:p>
    <w:p>
      <w:pPr>
        <w:spacing w:before="240" w:after="240"/>
      </w:pPr>
      <w:r>
        <w:rPr>
          <w:color w:val="CCCCCC"/>
          <w:sz w:val="16"/>
        </w:rPr>
        <w:t>________________________________________________________________________________</w:t>
      </w:r>
    </w:p>
    <w:p>
      <w:pPr>
        <w:pStyle w:val="Heading2"/>
      </w:pPr>
      <w:r>
        <w:t>Conclusion</w:t>
      </w:r>
    </w:p>
    <w:p>
      <w:r>
        <w:t xml:space="preserve">The Swiss Re "BioTech" presentation is inadequate for modern D&amp;O underwriting. Its regulatory errors demonstrate a lack of foundational industry knowledge, while its failure to address the PSLRA, </w:t>
      </w:r>
      <w:r>
        <w:rPr>
          <w:i/>
        </w:rPr>
        <w:t>Omnicare</w:t>
      </w:r>
      <w:r>
        <w:t>, and current dismissal statistics leaves underwriters with an inaccurate picture of actual liability risk.</w:t>
      </w:r>
    </w:p>
    <w:p>
      <w:r>
        <w:t>To underwrite this sector profitably, carriers must move away from the simplistic "clinical trial failure = D&amp;O loss" mentality. Instead, they must adopt a framework that differentiates risk by therapeutic area, recognizes the protective power of modern securities law, and focuses heavily on a management team's discipline regarding FDA communications and commercial execution.</w:t>
      </w:r>
    </w:p>
    <w:p>
      <w:pPr>
        <w:spacing w:before="240" w:after="240"/>
      </w:pPr>
      <w:r>
        <w:rPr>
          <w:color w:val="CCCCCC"/>
          <w:sz w:val="16"/>
        </w:rPr>
        <w:t>________________________________________________________________________________</w:t>
      </w:r>
    </w:p>
    <w:p>
      <w:pPr>
        <w:pStyle w:val="Heading3"/>
      </w:pPr>
      <w:r>
        <w:t>References</w:t>
      </w:r>
    </w:p>
    <w:p>
      <w:r>
        <w:t>[1] U.S. Food and Drug Administration (FDA). "The Drug Development Process."</w:t>
      </w:r>
    </w:p>
    <w:p>
      <w:r>
        <w:t>[2] In Re Carter-Wallace, Inc. Securities Litigation, 150 F.3d 153 (2d Cir. 1998).</w:t>
      </w:r>
    </w:p>
    <w:p>
      <w:r>
        <w:t>[3] Market data as of early 2026.</w:t>
      </w:r>
    </w:p>
    <w:p>
      <w:r>
        <w:t xml:space="preserve">[4] Greene, D., et al. "Analysis of Biotech Securities Class Action Motion to Dismiss Results 2005-2022." </w:t>
      </w:r>
      <w:r>
        <w:rPr>
          <w:i/>
        </w:rPr>
        <w:t>The D&amp;O Diary</w:t>
      </w:r>
      <w:r>
        <w:t xml:space="preserve"> / BakerHostetler.</w:t>
      </w:r>
    </w:p>
    <w:p>
      <w:r>
        <w:t>[5] Sidley Austin LLP. "Securities Litigation Against Life Sciences Companies: 2024." April 2025.</w:t>
      </w:r>
    </w:p>
    <w:p>
      <w:r>
        <w:t>[6] Willis Towers Watson (WTW). "2025 Life Sciences Litigation Trends." October 2025.</w:t>
      </w:r>
    </w:p>
    <w:p>
      <w:r>
        <w:t>[7] Cornerstone Research. "Securities Class Action Filings: 2024 Year in Review." January 2025.</w:t>
      </w:r>
    </w:p>
    <w:p>
      <w:r>
        <w:t>[8] Dechert LLP. "Dechert Survey: Developments in Securities Fraud Class Actions Against U.S. Life Sciences Companies: 2024 Edition." March 2025.</w:t>
      </w:r>
    </w:p>
    <w:p>
      <w:r>
        <w:t>[9] Industry Research Data on Technology-Specific Risks (2025-2026).</w:t>
      </w:r>
    </w:p>
    <w:p>
      <w:r>
        <w:t>[10] Biotechnology Innovation Organization (BIO). "Clinical Development Success Rates."</w:t>
      </w:r>
    </w:p>
    <w:p>
      <w:r>
        <w:t xml:space="preserve">[11] Berkshire Hathaway Specialty Insurance (BHSI). "Navigating Shareholder Litigation Risk in the Life Sciences Sector." </w:t>
      </w:r>
      <w:r>
        <w:rPr>
          <w:i/>
        </w:rPr>
        <w:t>Risk &amp; Insurance</w:t>
      </w:r>
      <w:r>
        <w:t>, March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2B5C"/>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04E8C"/>
      <w:sz w:val="3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006BA6"/>
      <w:sz w:val="28"/>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w:hAnsi="Calibri"/>
      <w:b/>
      <w:bCs/>
      <w:i/>
      <w:iCs/>
      <w:color w:val="006BA6"/>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