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Catalog of Underwriting Insights: Swiss Re "BioTech" Presentation</w:t>
      </w:r>
    </w:p>
    <w:p>
      <w:r/>
      <w:r>
        <w:rPr>
          <w:b/>
        </w:rPr>
        <w:t>Prepared by:</w:t>
      </w:r>
      <w:r>
        <w:t xml:space="preserve"> Manus AI</w:t>
      </w:r>
    </w:p>
    <w:p>
      <w:r/>
      <w:r>
        <w:rPr>
          <w:b/>
        </w:rPr>
        <w:t>Date:</w:t>
      </w:r>
      <w:r>
        <w:t xml:space="preserve"> March 2026</w:t>
      </w:r>
    </w:p>
    <w:p>
      <w:r>
        <w:t>This document catalogs every underwriting insight present in the Swiss Re "BioTech" presentation. It is divided into two categories:</w:t>
      </w:r>
    </w:p>
    <w:p>
      <w:pPr>
        <w:pStyle w:val="ListNumber"/>
      </w:pPr>
      <w:r/>
      <w:r>
        <w:rPr>
          <w:b/>
        </w:rPr>
        <w:t>Explicit Insights:</w:t>
      </w:r>
      <w:r>
        <w:t xml:space="preserve"> Fully stated, direct underwriting guidance.</w:t>
      </w:r>
    </w:p>
    <w:p>
      <w:pPr>
        <w:pStyle w:val="ListNumber"/>
      </w:pPr>
      <w:r/>
      <w:r>
        <w:rPr>
          <w:b/>
        </w:rPr>
        <w:t>Shadow Insights:</w:t>
      </w:r>
      <w:r>
        <w:t xml:space="preserve"> Implied, partially developed, or hinted-at underwriting knowledge that requires the underwriter to "fill in the blanks."</w:t>
      </w:r>
    </w:p>
    <w:p>
      <w:r>
        <w:t xml:space="preserve">For each insight, we analyze what the document gets right, what it misses, and what the </w:t>
      </w:r>
      <w:r>
        <w:rPr>
          <w:i/>
        </w:rPr>
        <w:t>complete</w:t>
      </w:r>
      <w:r>
        <w:t xml:space="preserve"> modern insight should be.</w:t>
      </w:r>
    </w:p>
    <w:p>
      <w:pPr>
        <w:spacing w:before="240" w:after="24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Part I: Explicit Insights</w:t>
      </w:r>
    </w:p>
    <w:p>
      <w:r>
        <w:t>These are the rare instances where the document directly connects a fact to a specific D&amp;O underwriting conclusion or legal outcome.</w:t>
      </w:r>
    </w:p>
    <w:p>
      <w:pPr>
        <w:pStyle w:val="Heading3"/>
      </w:pPr>
      <w:r>
        <w:t>1. The "Matrixx" Materiality Standard (Pages 20-21)</w:t>
      </w:r>
    </w:p>
    <w:p>
      <w:pPr>
        <w:pStyle w:val="ListBullet"/>
      </w:pPr>
      <w:r/>
      <w:r>
        <w:rPr>
          <w:b/>
        </w:rPr>
        <w:t>The Explicit Insight:</w:t>
      </w:r>
      <w:r>
        <w:t xml:space="preserve"> The document states that under the Supreme Court's 2011 ruling in </w:t>
      </w:r>
      <w:r>
        <w:rPr>
          <w:i/>
        </w:rPr>
        <w:t>Matrixx Initiatives v. Siracusano</w:t>
      </w:r>
      <w:r>
        <w:t>, a company cannot rely solely on a lack of "statistical significance" to justify withholding information about adverse events. The document explicitly concludes: "This ruling makes it harder to dismiss securities claims based on company decisions about what adverse effects to disclose."</w:t>
      </w:r>
    </w:p>
    <w:p>
      <w:pPr>
        <w:pStyle w:val="ListBullet"/>
      </w:pPr>
      <w:r/>
      <w:r>
        <w:rPr>
          <w:b/>
        </w:rPr>
        <w:t>What it gets right:</w:t>
      </w:r>
      <w:r>
        <w:t xml:space="preserve"> It correctly identifies that the Supreme Court rejected a bright-line "statistical significance" test for materiality regarding adverse events.</w:t>
      </w:r>
    </w:p>
    <w:p>
      <w:pPr>
        <w:pStyle w:val="ListBullet"/>
      </w:pPr>
      <w:r/>
      <w:r>
        <w:rPr>
          <w:b/>
        </w:rPr>
        <w:t>What it misses:</w:t>
      </w:r>
      <w:r>
        <w:t xml:space="preserve"> It completely misses the subsequent 15 years of jurisprudence. It fails to mention the 2015 </w:t>
      </w:r>
      <w:r>
        <w:rPr>
          <w:i/>
        </w:rPr>
        <w:t>Omnicare</w:t>
      </w:r>
      <w:r>
        <w:t xml:space="preserve"> decision (which heavily protects statements of opinion) and ignores the fact that, despite </w:t>
      </w:r>
      <w:r>
        <w:rPr>
          <w:i/>
        </w:rPr>
        <w:t>Matrixx</w:t>
      </w:r>
      <w:r>
        <w:t>, biotech companies actually win motions to dismiss at a massive ~68% rate.</w:t>
      </w:r>
    </w:p>
    <w:p>
      <w:pPr>
        <w:pStyle w:val="ListBullet"/>
      </w:pPr>
      <w:r/>
      <w:r>
        <w:rPr>
          <w:b/>
        </w:rPr>
        <w:t>The Complete Insight:</w:t>
      </w:r>
      <w:r>
        <w:t xml:space="preserve"> While </w:t>
      </w:r>
      <w:r>
        <w:rPr>
          <w:i/>
        </w:rPr>
        <w:t>Matrixx</w:t>
      </w:r>
      <w:r>
        <w:t xml:space="preserve"> means companies cannot hide behind a lack of statistical significance for adverse events, the combination of </w:t>
      </w:r>
      <w:r>
        <w:rPr>
          <w:i/>
        </w:rPr>
        <w:t>Omnicare</w:t>
      </w:r>
      <w:r>
        <w:t xml:space="preserve"> (protecting opinions) and the PSLRA's strict scienter requirements means that courts will still dismiss the vast majority of clinical-stage cases unless there is evidence of deliberate data manipulation or concealment of direct FDA feedback.</w:t>
      </w:r>
    </w:p>
    <w:p>
      <w:pPr>
        <w:pStyle w:val="Heading3"/>
      </w:pPr>
      <w:r>
        <w:t>2. High Profile = High Exposure (Page 13)</w:t>
      </w:r>
    </w:p>
    <w:p>
      <w:pPr>
        <w:pStyle w:val="ListBullet"/>
      </w:pPr>
      <w:r/>
      <w:r>
        <w:rPr>
          <w:b/>
        </w:rPr>
        <w:t>The Explicit Insight:</w:t>
      </w:r>
      <w:r>
        <w:t xml:space="preserve"> When assessing the pipeline, the document explicitly notes: "High profile drug (cancer, AIDS, heart disease)? High profile = high exposure."</w:t>
      </w:r>
    </w:p>
    <w:p>
      <w:pPr>
        <w:pStyle w:val="ListBullet"/>
      </w:pPr>
      <w:r/>
      <w:r>
        <w:rPr>
          <w:b/>
        </w:rPr>
        <w:t>What it gets right:</w:t>
      </w:r>
      <w:r>
        <w:t xml:space="preserve"> It correctly identifies that the therapeutic area dictates the market capitalization impact (and therefore the D&amp;O severity) of a clinical failure. A failure in a massive total addressable market (TAM) like oncology causes a larger stock drop than a failure in a niche indication.</w:t>
      </w:r>
    </w:p>
    <w:p>
      <w:pPr>
        <w:pStyle w:val="ListBullet"/>
      </w:pPr>
      <w:r/>
      <w:r>
        <w:rPr>
          <w:b/>
        </w:rPr>
        <w:t>What it misses:</w:t>
      </w:r>
      <w:r>
        <w:t xml:space="preserve"> It fails to differentiate between </w:t>
      </w:r>
      <w:r>
        <w:rPr>
          <w:i/>
        </w:rPr>
        <w:t>severity</w:t>
      </w:r>
      <w:r>
        <w:t xml:space="preserve"> exposure (stock drop size) and </w:t>
      </w:r>
      <w:r>
        <w:rPr>
          <w:i/>
        </w:rPr>
        <w:t>frequency</w:t>
      </w:r>
      <w:r>
        <w:t xml:space="preserve"> exposure (likelihood of failure). For example, oncology has a very high failure rate (frequency) and high severity, whereas cardiovascular drugs have a lower failure rate but massive severity when they do fail in Phase III.</w:t>
      </w:r>
    </w:p>
    <w:p>
      <w:pPr>
        <w:pStyle w:val="ListBullet"/>
      </w:pPr>
      <w:r/>
      <w:r>
        <w:rPr>
          <w:b/>
        </w:rPr>
        <w:t>The Complete Insight:</w:t>
      </w:r>
      <w:r>
        <w:t xml:space="preserve"> Underwriters must map the pipeline against empirical Phase Transition Success Rates. Oncology and CNS/Alzheimer's carry the highest combined frequency and severity risk due to low success rates and massive patient populations.</w:t>
      </w:r>
    </w:p>
    <w:p>
      <w:pPr>
        <w:pStyle w:val="Heading3"/>
      </w:pPr>
      <w:r>
        <w:t>3. Liquidity is Paramount (Page 14)</w:t>
      </w:r>
    </w:p>
    <w:p>
      <w:pPr>
        <w:pStyle w:val="ListBullet"/>
      </w:pPr>
      <w:r/>
      <w:r>
        <w:rPr>
          <w:b/>
        </w:rPr>
        <w:t>The Explicit Insight:</w:t>
      </w:r>
      <w:r>
        <w:t xml:space="preserve"> "Liquidity is paramount (especially for small companies)... Compare cash burn to cash balance."</w:t>
      </w:r>
    </w:p>
    <w:p>
      <w:pPr>
        <w:pStyle w:val="ListBullet"/>
      </w:pPr>
      <w:r/>
      <w:r>
        <w:rPr>
          <w:b/>
        </w:rPr>
        <w:t>What it gets right:</w:t>
      </w:r>
      <w:r>
        <w:t xml:space="preserve"> Cash runway is the lifeblood of a development-stage biotech. A company running out of cash will be forced to raise capital at highly dilutive terms, which often triggers litigation.</w:t>
      </w:r>
    </w:p>
    <w:p>
      <w:pPr>
        <w:pStyle w:val="ListBullet"/>
      </w:pPr>
      <w:r/>
      <w:r>
        <w:rPr>
          <w:b/>
        </w:rPr>
        <w:t>What it misses:</w:t>
      </w:r>
      <w:r>
        <w:t xml:space="preserve"> It fails to connect cash burn to the </w:t>
      </w:r>
      <w:r>
        <w:rPr>
          <w:i/>
        </w:rPr>
        <w:t>regulatory timeline</w:t>
      </w:r>
      <w:r>
        <w:t>.</w:t>
      </w:r>
    </w:p>
    <w:p>
      <w:pPr>
        <w:pStyle w:val="ListBullet"/>
      </w:pPr>
      <w:r/>
      <w:r>
        <w:rPr>
          <w:b/>
        </w:rPr>
        <w:t>The Complete Insight:</w:t>
      </w:r>
      <w:r>
        <w:t xml:space="preserve"> An underwriter must calculate whether the company's current cash balance will carry them </w:t>
      </w:r>
      <w:r>
        <w:rPr>
          <w:i/>
        </w:rPr>
        <w:t>at least 12 months past their next major data readout or PDUFA date</w:t>
      </w:r>
      <w:r>
        <w:t xml:space="preserve">. If a company must raise capital </w:t>
      </w:r>
      <w:r>
        <w:rPr>
          <w:i/>
        </w:rPr>
        <w:t>before</w:t>
      </w:r>
      <w:r>
        <w:t xml:space="preserve"> a major data catalyst, the risk of a "gun-jumping" or Section 11 offering claim skyrockets.</w:t>
      </w:r>
    </w:p>
    <w:p>
      <w:pPr>
        <w:spacing w:before="240" w:after="240"/>
      </w:pPr>
      <w:r>
        <w:rPr>
          <w:color w:val="CCCCCC"/>
          <w:sz w:val="16"/>
        </w:rPr>
        <w:t>________________________________________________________________________________</w:t>
      </w:r>
    </w:p>
    <w:p>
      <w:pPr>
        <w:pStyle w:val="Heading2"/>
      </w:pPr>
      <w:r>
        <w:t>Part II: Shadow Insights</w:t>
      </w:r>
    </w:p>
    <w:p>
      <w:r>
        <w:t xml:space="preserve">These are topics the document lists as "Underwriting Points" or "Other Considerations," but fails to explain </w:t>
      </w:r>
      <w:r>
        <w:rPr>
          <w:i/>
        </w:rPr>
        <w:t>why</w:t>
      </w:r>
      <w:r>
        <w:t xml:space="preserve"> they matter or </w:t>
      </w:r>
      <w:r>
        <w:rPr>
          <w:i/>
        </w:rPr>
        <w:t>how</w:t>
      </w:r>
      <w:r>
        <w:t xml:space="preserve"> they impact D&amp;O risk. They are breadcrumbs pointing toward actual risk, but the underwriter is left in the dark.</w:t>
      </w:r>
    </w:p>
    <w:p>
      <w:pPr>
        <w:pStyle w:val="Heading3"/>
      </w:pPr>
      <w:r>
        <w:t>1. The "Board of Directors Structure" Shadow Insight (Page 14)</w:t>
      </w:r>
    </w:p>
    <w:p>
      <w:pPr>
        <w:pStyle w:val="ListBullet"/>
      </w:pPr>
      <w:r/>
      <w:r>
        <w:rPr>
          <w:b/>
        </w:rPr>
        <w:t>The Shadow Insight:</w:t>
      </w:r>
      <w:r>
        <w:t xml:space="preserve"> The document lists "Previous public company experience is favorable" and "Previous experience with the FDA is a large plus."</w:t>
      </w:r>
    </w:p>
    <w:p>
      <w:pPr>
        <w:pStyle w:val="ListBullet"/>
      </w:pPr>
      <w:r/>
      <w:r>
        <w:rPr>
          <w:b/>
        </w:rPr>
        <w:t>What it hints at:</w:t>
      </w:r>
      <w:r>
        <w:t xml:space="preserve"> It hints at the fact that scientists often make poor public company executives.</w:t>
      </w:r>
    </w:p>
    <w:p>
      <w:pPr>
        <w:pStyle w:val="ListBullet"/>
      </w:pPr>
      <w:r/>
      <w:r>
        <w:rPr>
          <w:b/>
        </w:rPr>
        <w:t>The Complete Insight:</w:t>
      </w:r>
      <w:r>
        <w:t xml:space="preserve"> The primary driver of biotech D&amp;O claims is not the science failing, but </w:t>
      </w:r>
      <w:r>
        <w:rPr>
          <w:i/>
        </w:rPr>
        <w:t>management mishandling the communication of the failure</w:t>
      </w:r>
      <w:r>
        <w:t>. A board composed entirely of academic founders is a massive red flag. The board must include independent directors with specific experience in SEC disclosure rules, commercial launch, and managing investor expectations during clinical setbacks.</w:t>
      </w:r>
    </w:p>
    <w:p>
      <w:pPr>
        <w:pStyle w:val="Heading3"/>
      </w:pPr>
      <w:r>
        <w:t>2. The "M&amp;A Activity" Shadow Insight (Page 17)</w:t>
      </w:r>
    </w:p>
    <w:p>
      <w:pPr>
        <w:pStyle w:val="ListBullet"/>
      </w:pPr>
      <w:r/>
      <w:r>
        <w:rPr>
          <w:b/>
        </w:rPr>
        <w:t>The Shadow Insight:</w:t>
      </w:r>
      <w:r>
        <w:t xml:space="preserve"> "Due to the varying sizes of company's in this industry M&amp;A activity does pose a risk for underwriting, especially in the primary layer."</w:t>
      </w:r>
    </w:p>
    <w:p>
      <w:pPr>
        <w:pStyle w:val="ListBullet"/>
      </w:pPr>
      <w:r/>
      <w:r>
        <w:rPr>
          <w:b/>
        </w:rPr>
        <w:t>What it hints at:</w:t>
      </w:r>
      <w:r>
        <w:t xml:space="preserve"> It recognizes that mergers generate litigation, but provides zero context.</w:t>
      </w:r>
    </w:p>
    <w:p>
      <w:pPr>
        <w:pStyle w:val="ListBullet"/>
      </w:pPr>
      <w:r/>
      <w:r>
        <w:rPr>
          <w:b/>
        </w:rPr>
        <w:t>The Complete Insight:</w:t>
      </w:r>
      <w:r>
        <w:t xml:space="preserve"> M&amp;A is a dual-threat in biotech. First, standard merger-objection lawsuits (Section 14 claims) are nearly guaranteed upon acquisition. Second, and more dangerously today, is the </w:t>
      </w:r>
      <w:r>
        <w:rPr>
          <w:b/>
        </w:rPr>
        <w:t>De-SPAC risk</w:t>
      </w:r>
      <w:r>
        <w:t>. Companies that went public via SPAC face severe D&amp;O exposure because their pre-merger financial and clinical projections are heavily scrutinized when post-merger reality falls short.</w:t>
      </w:r>
    </w:p>
    <w:p>
      <w:pPr>
        <w:pStyle w:val="Heading3"/>
      </w:pPr>
      <w:r>
        <w:t>3. The "Accounting Issues" Shadow Insight (Page 17)</w:t>
      </w:r>
    </w:p>
    <w:p>
      <w:pPr>
        <w:pStyle w:val="ListBullet"/>
      </w:pPr>
      <w:r/>
      <w:r>
        <w:rPr>
          <w:b/>
        </w:rPr>
        <w:t>The Shadow Insight:</w:t>
      </w:r>
      <w:r>
        <w:t xml:space="preserve"> The document notes that underwriters should watch "accounting for R&amp;D costs (some companies have been caught capitalizing R&amp;D costs... which would artificially inflate earnings)" and "revenue recognition regarding wholesaler agreements."</w:t>
      </w:r>
    </w:p>
    <w:p>
      <w:pPr>
        <w:pStyle w:val="ListBullet"/>
      </w:pPr>
      <w:r/>
      <w:r>
        <w:rPr>
          <w:b/>
        </w:rPr>
        <w:t>What it hints at:</w:t>
      </w:r>
      <w:r>
        <w:t xml:space="preserve"> It hints at the fact that biotech companies face general corporate risks, not just clinical risks.</w:t>
      </w:r>
    </w:p>
    <w:p>
      <w:pPr>
        <w:pStyle w:val="ListBullet"/>
      </w:pPr>
      <w:r/>
      <w:r>
        <w:rPr>
          <w:b/>
        </w:rPr>
        <w:t>The Complete Insight:</w:t>
      </w:r>
      <w:r>
        <w:t xml:space="preserve"> As the 2024 Dechert survey proved, 34% of life sciences securities class actions are driven by financial reporting misrepresentations, not clinical failures. For commercial-stage companies, channel stuffing (revenue recognition) and material weaknesses in internal controls are primary drivers of D&amp;O severity.</w:t>
      </w:r>
    </w:p>
    <w:p>
      <w:pPr>
        <w:pStyle w:val="Heading3"/>
      </w:pPr>
      <w:r>
        <w:t>4. The "Partnership" Shadow Insight (Page 13)</w:t>
      </w:r>
    </w:p>
    <w:p>
      <w:pPr>
        <w:pStyle w:val="ListBullet"/>
      </w:pPr>
      <w:r/>
      <w:r>
        <w:rPr>
          <w:b/>
        </w:rPr>
        <w:t>The Shadow Insight:</w:t>
      </w:r>
      <w:r>
        <w:t xml:space="preserve"> The document asks: "Will company take product from pre-clinical through production or partner?"</w:t>
      </w:r>
    </w:p>
    <w:p>
      <w:pPr>
        <w:pStyle w:val="ListBullet"/>
      </w:pPr>
      <w:r/>
      <w:r>
        <w:rPr>
          <w:b/>
        </w:rPr>
        <w:t>What it hints at:</w:t>
      </w:r>
      <w:r>
        <w:t xml:space="preserve"> It implies there is a difference in risk profile between a solo developer and a partnered developer.</w:t>
      </w:r>
    </w:p>
    <w:p>
      <w:pPr>
        <w:pStyle w:val="ListBullet"/>
      </w:pPr>
      <w:r/>
      <w:r>
        <w:rPr>
          <w:b/>
        </w:rPr>
        <w:t>The Complete Insight:</w:t>
      </w:r>
      <w:r>
        <w:t xml:space="preserve"> Partnering with a "Big Pharma" company (e.g., Pfizer, Novartis) drastically </w:t>
      </w:r>
      <w:r>
        <w:rPr>
          <w:i/>
        </w:rPr>
        <w:t>reduces</w:t>
      </w:r>
      <w:r>
        <w:t xml:space="preserve"> the D&amp;O risk for the smaller biotech. The larger partner assumes the financial burden of Phase III trials and commercialization, and their involvement serves as a validating signal to the market. Conversely, a small biotech attempting to commercialize a drug alone faces massive execution risk, which is why 43% of 2024 claims hit mature product companies.</w:t>
      </w:r>
    </w:p>
    <w:p>
      <w:pPr>
        <w:pStyle w:val="Heading3"/>
      </w:pPr>
      <w:r>
        <w:t>5. The "Pricing Varies by Clinical Stage" Shadow Insight (Page 17)</w:t>
      </w:r>
    </w:p>
    <w:p>
      <w:pPr>
        <w:pStyle w:val="ListBullet"/>
      </w:pPr>
      <w:r/>
      <w:r>
        <w:rPr>
          <w:b/>
        </w:rPr>
        <w:t>The Shadow Insight:</w:t>
      </w:r>
      <w:r>
        <w:t xml:space="preserve"> "Pricing on these accounts varies due to several factors such as clinical stage and financial viability."</w:t>
      </w:r>
    </w:p>
    <w:p>
      <w:pPr>
        <w:pStyle w:val="ListBullet"/>
      </w:pPr>
      <w:r/>
      <w:r>
        <w:rPr>
          <w:b/>
        </w:rPr>
        <w:t>What it hints at:</w:t>
      </w:r>
      <w:r>
        <w:t xml:space="preserve"> It acknowledges that a Phase I company should be priced differently than a Phase III company.</w:t>
      </w:r>
    </w:p>
    <w:p>
      <w:pPr>
        <w:pStyle w:val="ListBullet"/>
      </w:pPr>
      <w:r/>
      <w:r>
        <w:rPr>
          <w:b/>
        </w:rPr>
        <w:t>The Complete Insight:</w:t>
      </w:r>
      <w:r>
        <w:t xml:space="preserve"> The document fails to provide the actual pricing curve. The empirical risk curve is bell-shaped: Risk is moderate in Phase I, peaks massively in Phase II/III and during the NDA review (due to the binary nature of the outcomes), dips slightly upon approval, and then spikes again during the first 12-18 months of commercialization (due to sales execution risk).</w:t>
      </w:r>
    </w:p>
    <w:p>
      <w:pPr>
        <w:pStyle w:val="Heading3"/>
      </w:pPr>
      <w:r>
        <w:t>6. The "Stock Chart Review" Shadow Insight (Page 15)</w:t>
      </w:r>
    </w:p>
    <w:p>
      <w:pPr>
        <w:pStyle w:val="ListBullet"/>
      </w:pPr>
      <w:r/>
      <w:r>
        <w:rPr>
          <w:b/>
        </w:rPr>
        <w:t>The Shadow Insight:</w:t>
      </w:r>
      <w:r>
        <w:t xml:space="preserve"> "Review the company's stock chart... What moves the company's stock (both price and volume)? Drug pipeline developments, patent expirations..."</w:t>
      </w:r>
    </w:p>
    <w:p>
      <w:pPr>
        <w:pStyle w:val="ListBullet"/>
      </w:pPr>
      <w:r/>
      <w:r>
        <w:rPr>
          <w:b/>
        </w:rPr>
        <w:t>What it hints at:</w:t>
      </w:r>
      <w:r>
        <w:t xml:space="preserve"> It hints at the concept of "event-driven" volatility.</w:t>
      </w:r>
    </w:p>
    <w:p>
      <w:pPr>
        <w:pStyle w:val="ListBullet"/>
      </w:pPr>
      <w:r/>
      <w:r>
        <w:rPr>
          <w:b/>
        </w:rPr>
        <w:t>The Complete Insight:</w:t>
      </w:r>
      <w:r>
        <w:t xml:space="preserve"> An underwriter isn't just looking at the chart; they are looking for the </w:t>
      </w:r>
      <w:r>
        <w:rPr>
          <w:i/>
        </w:rPr>
        <w:t>beta</w:t>
      </w:r>
      <w:r>
        <w:t xml:space="preserve"> of the stock relative to clinical announcements. If a company is a "single-asset" entity, a negative Phase II readout will cause a 70-90% stock drop. If they have a diversified pipeline, the drop might only be 20-30%. The underwriter must calculate the exact market capitalization destruction that would occur upon a total failure of the lead asset to model the potential settlement severity.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2B5C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4E8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6BA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6BA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