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FedEx Corporation (NYSE:FDX)</w:t>
      </w:r>
    </w:p>
    <w:p>
      <w:pPr>
        <w:pBdr>
          <w:top w:val="single" w:color="ffd000" w:sz="6" w:space="1"/>
          <w:bottom w:val="single" w:color="ffd000" w:sz="6" w:space="1"/>
          <w:left w:val="single" w:color="ffd000" w:sz="6" w:space="1"/>
          <w:right w:val="single" w:color="ffd000" w:sz="6" w:space="1"/>
        </w:pBdr>
        <w:shd w:fill="ffd000" w:color="ffd000" w:val="solid"/>
      </w:pPr>
      <w:r>
        <w:rPr>
          <w:sz w:val="24"/>
          <w:szCs w:val="24"/>
        </w:rPr>
        <w:t xml:space="preserve">Copilot recommends: Underwrite with additional consideration}</w:t>
      </w:r>
    </w:p>
    <w:p>
      <w:r>
        <w:rPr>
          <w:sz w:val="24"/>
          <w:szCs w:val="24"/>
        </w:rPr>
        <w:t xml:space="preserve">Report Generated By: Mike Gorlin</w:t>
      </w:r>
    </w:p>
    <w:p>
      <w:r>
        <w:rPr>
          <w:sz w:val="24"/>
          <w:szCs w:val="24"/>
        </w:rPr>
        <w:t xml:space="preserve">Report Generation Date: October 29th 2025, 10:21am</w:t>
      </w:r>
    </w:p>
    <w:p>
      <w:hyperlink w:history="1" r:id="rIddu9eeql5mpvpzjikjp8qn">
        <w:r>
          <w:rPr>
            <w:rStyle w:val="Hyperlink"/>
          </w:rPr>
          <w:t xml:space="preserve">Click here to access report</w:t>
        </w:r>
      </w:hyperlink>
    </w:p>
    <w:p>
      <w:pPr>
        <w:sectPr>
          <w:footerReference w:type="default" r:id="rId6"/>
          <w:pgSz w:w="11906" w:h="16838" w:orient="portrait"/>
          <w:pgMar w:top="1440" w:right="1440" w:bottom="1440" w:left="1440" w:header="708" w:footer="708" w:gutter="0"/>
          <w:pgNumType/>
          <w:docGrid w:linePitch="360"/>
        </w:sectPr>
      </w:pPr>
    </w:p>
    <w:p>
      <w:r>
        <w:rPr>
          <w:b/>
          <w:bCs/>
          <w:sz w:val="32"/>
          <w:szCs w:val="32"/>
        </w:rPr>
        <w:t xml:space="preserve">Copilot Thoughts</w:t>
      </w:r>
    </w:p>
    <w:p>
      <w:r>
        <w:rPr>
          <w:sz w:val="28"/>
          <w:szCs w:val="28"/>
        </w:rPr>
        <w:t xml:space="preserve">The recommendation to Underwrite with additional consideration was based on the following rationale...</w:t>
      </w:r>
    </w:p>
    <w:p>
      <w:r>
        <w:t xml:space="preserve">* Altman Z-Score is between 1.8 and 3, indicating moderate bankruptcy risk.</w:t>
      </w:r>
    </w:p>
    <w:p>
      <w:r>
        <w:t xml:space="preserve">* In the last 365 days, there were multiple stock price drops of more than 5% within a 1 day period.
In the last 365 days, there were multiple stock price drops of more than 10% within a 5 day period.</w:t>
      </w:r>
    </w:p>
    <w:p>
      <w:r>
        <w:t xml:space="preserve">* The documents describe 'Exchange Offers' and the issuance of 'New Notes' by FedEx Corporation. These New Notes are offered to eligible holders in exchange for existing notes, and the process is governed by confidential offering memoranda. The repeated references to 'Exchange Offers', 'Consent Solicitations', and the offering of 'New Notes' indicate a significant securities offering, likely involving a material amount of new public debt. Although the exact percentage increase is not specified, the language and context suggest this is an important offering intended to raise capital or refinance existing debt, which fits the definition of a securities offering as described in the question.</w:t>
      </w:r>
    </w:p>
    <w:p>
      <w:r>
        <w:t xml:space="preserve">* Unable to determine independence status of Audit Committee Chair</w:t>
      </w:r>
    </w:p>
    <w:p>
      <w:r>
        <w:t xml:space="preserve">* The documents explicitly state that the company regularly acquires businesses and has made acquisitions, including specific mention of integrating FedEx and ShopRunner. There are references to goodwill impairment charges related to certain acquisitions, some of which have been material, and to financial covenants and adjustments associated with acquisitions. This demonstrates that there have been major acquisitions by the company.</w:t>
      </w:r>
    </w:p>
    <w:p>
      <w:r>
        <w:t xml:space="preserve">* The documents clearly state that Federal Express announced and is executing a workforce reduction plan in Europe, impacting between 1,400 and 2,000 employees across back-office and commercial functions. The plan is ongoing, with associated severance and business optimization costs already incurred and further costs expected through fiscal 2026.</w:t>
      </w:r>
    </w:p>
    <w:p>
      <w:r>
        <w:t xml:space="preserve">* There was an impairment charge of $36 million recorded in the last 12 months for the FedEx Dataworks reporting unit, as disclosed in the Annual Report. The company's Total Assets for the same period (May 31, 2025) were $87,627 million. The impairment charge represents approximately 0.04% of the company's Total Assets for that period.</w:t>
      </w:r>
    </w:p>
    <w:p>
      <w:r>
        <w:t xml:space="preserve">* There has been at least one lawsuit filed against the company within the last year. The Annual Report states that in February 2025, the company reached an agreement to settle a lawsuit, and the court approved the settlement and dismissed the case in March 2025. Additionally, both the Annual and Quarterly Reports mention that FedEx and its subsidiaries are subject to various legal proceedings and claims, including lawsuits related to employment classification, wage-and-hour violations, and vehicle accidents. While most are described as not material, the explicit mention of a lawsuit settled in early 2025 confirms that at least one lawsuit was filed and resolved within the last year.</w:t>
      </w:r>
    </w:p>
    <w:p>
      <w:r>
        <w:t xml:space="preserve">* There has been a change in the members of the board of directors within the last 12 months. Specifically, David P. Steiner resigned from the FedEx Board of Directors effective May 9, 2025, following his appointment as United States Postmaster General. No other changes to chief officers or the president are reported in the provided documents within the last 12 months.</w:t>
      </w:r>
    </w:p>
    <w:p>
      <w:r>
        <w:t xml:space="preserve">* Company is listed in at least 1 of the required exchanges.</w:t>
      </w:r>
    </w:p>
    <w:p>
      <w:r>
        <w:rPr>
          <w:sz w:val="26"/>
          <w:szCs w:val="26"/>
        </w:rPr>
        <w:t xml:space="preserve">Factors:</w:t>
      </w:r>
    </w:p>
    <w:p/>
    <w:p>
      <w:pPr>
        <w:ind w:left="201"/>
      </w:pPr>
      <w:r>
        <w:t xml:space="preserve">* Financials: Excellent (4/4)</w:t>
      </w:r>
    </w:p>
    <w:p>
      <w:pPr>
        <w:ind w:left="403"/>
      </w:pPr>
      <w:r>
        <w:t xml:space="preserve">- 1. Is Current ratio greater or equal to 1.0? (PASS)</w:t>
      </w:r>
    </w:p>
    <w:p>
      <w:pPr>
        <w:ind w:left="403"/>
      </w:pPr>
      <w:r>
        <w:t xml:space="preserve">- 2. Is Debt/Equity greater or equal to 0? (PASS)</w:t>
      </w:r>
    </w:p>
    <w:p>
      <w:pPr>
        <w:ind w:left="403"/>
      </w:pPr>
      <w:r>
        <w:t xml:space="preserve">- 3. Is Cashflow from operations greater or equal to $0? (PASS)</w:t>
      </w:r>
    </w:p>
    <w:p>
      <w:pPr>
        <w:ind w:left="403"/>
      </w:pPr>
      <w:r>
        <w:t xml:space="preserve">- 4. Is Debt/EBITDA less than 3.0? (PASS)</w:t>
      </w:r>
    </w:p>
    <w:p/>
    <w:p>
      <w:r>
        <w:rPr>
          <w:b/>
          <w:bCs/>
          <w:sz w:val="28"/>
          <w:szCs w:val="28"/>
        </w:rPr>
        <w:t xml:space="preserve">The following have been identified as risks:</w:t>
      </w:r>
    </w:p>
    <w:p/>
    <w:p>
      <w:pPr>
        <w:ind w:left="201"/>
      </w:pPr>
      <w:r>
        <w:t xml:space="preserve">- Altman Z-Score is between 1.8 and 3, indicating moderate bankruptcy risk.</w:t>
      </w:r>
    </w:p>
    <w:p>
      <w:pPr>
        <w:ind w:left="201"/>
      </w:pPr>
      <w:r>
        <w:t xml:space="preserve">- Significant Stock price drop detected.</w:t>
      </w:r>
    </w:p>
    <w:p>
      <w:pPr>
        <w:ind w:left="201"/>
      </w:pPr>
      <w:r>
        <w:t xml:space="preserve">- Indication of offering of securities</w:t>
      </w:r>
    </w:p>
    <w:p>
      <w:r>
        <w:t xml:space="preserve">Sources:</w:t>
      </w:r>
    </w:p>
    <w:p>
      <w:pPr>
        <w:ind w:left="403"/>
      </w:pPr>
      <w:r>
        <w:rPr>
          <w:sz w:val="16"/>
          <w:szCs w:val="16"/>
        </w:rPr>
        <w:t xml:space="preserve">- Current Report, Page(s): 1, Date: Jan 07, 2025</w:t>
      </w:r>
    </w:p>
    <w:p>
      <w:pPr>
        <w:ind w:left="403"/>
      </w:pPr>
      <w:r>
        <w:rPr>
          <w:sz w:val="16"/>
          <w:szCs w:val="16"/>
        </w:rPr>
        <w:t xml:space="preserve">- Current Report, Page(s): 1, 2, Date: Jan 23, 2025</w:t>
      </w:r>
    </w:p>
    <w:p>
      <w:pPr>
        <w:ind w:left="403"/>
      </w:pPr>
      <w:r>
        <w:rPr>
          <w:sz w:val="16"/>
          <w:szCs w:val="16"/>
        </w:rPr>
        <w:t xml:space="preserve">- Current Report, Page(s): 1, 2, Date: Feb 07, 2025</w:t>
      </w:r>
    </w:p>
    <w:p>
      <w:pPr>
        <w:ind w:left="201"/>
      </w:pPr>
      <w:r>
        <w:t xml:space="preserve">- Unable to determine independence status of Audit Committee Chair</w:t>
      </w:r>
    </w:p>
    <w:p>
      <w:r>
        <w:t xml:space="preserve">Sources:</w:t>
      </w:r>
    </w:p>
    <w:p>
      <w:pPr>
        <w:ind w:left="403"/>
      </w:pPr>
      <w:r>
        <w:rPr>
          <w:sz w:val="16"/>
          <w:szCs w:val="16"/>
        </w:rPr>
        <w:t xml:space="preserve">- Definitive Proxy Statement, Page(s): 32, 34, 36, 93, 111, Date: Aug 18, 2025</w:t>
      </w:r>
    </w:p>
    <w:p>
      <w:pPr>
        <w:ind w:left="201"/>
      </w:pPr>
      <w:r>
        <w:t xml:space="preserve">- Acquisition</w:t>
      </w:r>
    </w:p>
    <w:p>
      <w:r>
        <w:t xml:space="preserve">Sources:</w:t>
      </w:r>
    </w:p>
    <w:p>
      <w:pPr>
        <w:ind w:left="403"/>
      </w:pPr>
      <w:r>
        <w:rPr>
          <w:sz w:val="16"/>
          <w:szCs w:val="16"/>
        </w:rPr>
        <w:t xml:space="preserve">- Annual Report, Page(s): 51, 136, Date: Jul 21, 2025</w:t>
      </w:r>
    </w:p>
    <w:p>
      <w:pPr>
        <w:ind w:left="403"/>
      </w:pPr>
      <w:r>
        <w:rPr>
          <w:sz w:val="16"/>
          <w:szCs w:val="16"/>
        </w:rPr>
        <w:t xml:space="preserve">- Annual Report, Page(s): 36, Date: Jul 17, 2023</w:t>
      </w:r>
    </w:p>
    <w:p>
      <w:pPr>
        <w:ind w:left="403"/>
      </w:pPr>
      <w:r>
        <w:rPr>
          <w:sz w:val="16"/>
          <w:szCs w:val="16"/>
        </w:rPr>
        <w:t xml:space="preserve">- Annual Report, Page(s): 51, 136, Date: Jul 21, 2025</w:t>
      </w:r>
    </w:p>
    <w:p>
      <w:pPr>
        <w:ind w:left="201"/>
      </w:pPr>
      <w:r>
        <w:t xml:space="preserve">- Layoff</w:t>
      </w:r>
    </w:p>
    <w:p>
      <w:r>
        <w:t xml:space="preserve">Sources:</w:t>
      </w:r>
    </w:p>
    <w:p>
      <w:pPr>
        <w:ind w:left="403"/>
      </w:pPr>
      <w:r>
        <w:rPr>
          <w:sz w:val="16"/>
          <w:szCs w:val="16"/>
        </w:rPr>
        <w:t xml:space="preserve">- Quarterly Report, Page(s): 26, Date: Dec 19, 2024</w:t>
      </w:r>
    </w:p>
    <w:p>
      <w:pPr>
        <w:ind w:left="403"/>
      </w:pPr>
      <w:r>
        <w:rPr>
          <w:sz w:val="16"/>
          <w:szCs w:val="16"/>
        </w:rPr>
        <w:t xml:space="preserve">- Quarterly Report, Page(s): 11, Date: Sep 18, 2025</w:t>
      </w:r>
    </w:p>
    <w:p>
      <w:pPr>
        <w:ind w:left="403"/>
      </w:pPr>
      <w:r>
        <w:rPr>
          <w:sz w:val="16"/>
          <w:szCs w:val="16"/>
        </w:rPr>
        <w:t xml:space="preserve">- Annual Report, Page(s): 83, 128, Date: Jul 21, 2025</w:t>
      </w:r>
    </w:p>
    <w:p>
      <w:pPr>
        <w:ind w:left="403"/>
      </w:pPr>
      <w:r>
        <w:rPr>
          <w:sz w:val="16"/>
          <w:szCs w:val="16"/>
        </w:rPr>
        <w:t xml:space="preserve">- Annual Report, Page(s): 83, 128, Date: Jul 21, 2025</w:t>
      </w:r>
    </w:p>
    <w:p>
      <w:pPr>
        <w:ind w:left="201"/>
      </w:pPr>
      <w:r>
        <w:t xml:space="preserve">- Impairment/write down detected.</w:t>
      </w:r>
    </w:p>
    <w:p>
      <w:r>
        <w:t xml:space="preserve">Sources:</w:t>
      </w:r>
    </w:p>
    <w:p>
      <w:pPr>
        <w:ind w:left="403"/>
      </w:pPr>
      <w:r>
        <w:rPr>
          <w:sz w:val="16"/>
          <w:szCs w:val="16"/>
        </w:rPr>
        <w:t xml:space="preserve">- Annual Report, Page(s): 110, 121, 123, 131, Date: Jul 21, 2025</w:t>
      </w:r>
    </w:p>
    <w:p>
      <w:pPr>
        <w:ind w:left="403"/>
      </w:pPr>
      <w:r>
        <w:rPr>
          <w:sz w:val="16"/>
          <w:szCs w:val="16"/>
        </w:rPr>
        <w:t xml:space="preserve">- Annual Report, Page(s): 110, 121, 123, 131, Date: Jul 21, 2025</w:t>
      </w:r>
    </w:p>
    <w:p>
      <w:pPr>
        <w:ind w:left="201"/>
      </w:pPr>
      <w:r>
        <w:t xml:space="preserve">- Lawsuit filed against the company</w:t>
      </w:r>
    </w:p>
    <w:p>
      <w:r>
        <w:t xml:space="preserve">Sources:</w:t>
      </w:r>
    </w:p>
    <w:p>
      <w:pPr>
        <w:ind w:left="403"/>
      </w:pPr>
      <w:r>
        <w:rPr>
          <w:sz w:val="16"/>
          <w:szCs w:val="16"/>
        </w:rPr>
        <w:t xml:space="preserve">- Annual Report, Page(s): 76, 149, 159, Date: Jul 21, 2025</w:t>
      </w:r>
    </w:p>
    <w:p>
      <w:pPr>
        <w:ind w:left="403"/>
      </w:pPr>
      <w:r>
        <w:rPr>
          <w:sz w:val="16"/>
          <w:szCs w:val="16"/>
        </w:rPr>
        <w:t xml:space="preserve">- Quarterly Report, Page(s): 24, 50, Date: Sep 18, 2025</w:t>
      </w:r>
    </w:p>
    <w:p>
      <w:pPr>
        <w:ind w:left="201"/>
      </w:pPr>
      <w:r>
        <w:t xml:space="preserve">- Executive Change</w:t>
      </w:r>
    </w:p>
    <w:p>
      <w:r>
        <w:t xml:space="preserve">Sources:</w:t>
      </w:r>
    </w:p>
    <w:p>
      <w:pPr>
        <w:ind w:left="403"/>
      </w:pPr>
      <w:r>
        <w:rPr>
          <w:sz w:val="16"/>
          <w:szCs w:val="16"/>
        </w:rPr>
        <w:t xml:space="preserve">- Current Report, Page(s): 2, Date: May 12, 2025</w:t>
      </w:r>
    </w:p>
    <w:p>
      <w:pPr>
        <w:ind w:left="201"/>
      </w:pPr>
      <w:r>
        <w:t xml:space="preserve">- Company is listed in at least 1 of the required exchanges.</w:t>
      </w:r>
    </w:p>
    <w:p/>
    <w:p>
      <w:r>
        <w:rPr>
          <w:b/>
          <w:bCs/>
          <w:sz w:val="28"/>
          <w:szCs w:val="28"/>
        </w:rPr>
        <w:t xml:space="preserve">The following were evaluated, but not detected as risks:</w:t>
      </w:r>
    </w:p>
    <w:p/>
    <w:p>
      <w:pPr>
        <w:ind w:left="201"/>
      </w:pPr>
      <w:r>
        <w:t xml:space="preserve">- Interest Coverage Ratio is greater than or equal to 1.5.</w:t>
      </w:r>
    </w:p>
    <w:p>
      <w:pPr>
        <w:ind w:left="201"/>
      </w:pPr>
      <w:r>
        <w:t xml:space="preserve">- Market cap is greater than 1 Billion dollars.</w:t>
      </w:r>
    </w:p>
    <w:p>
      <w:pPr>
        <w:ind w:left="201"/>
      </w:pPr>
      <w:r>
        <w:t xml:space="preserve">- This company was founded more than 3 years ago.</w:t>
      </w:r>
    </w:p>
    <w:p>
      <w:pPr>
        <w:ind w:left="201"/>
      </w:pPr>
      <w:r>
        <w:t xml:space="preserve">- Market cap is less than 200 Billion dollars.</w:t>
      </w:r>
    </w:p>
    <w:p>
      <w:pPr>
        <w:ind w:left="201"/>
      </w:pPr>
      <w:r>
        <w:t xml:space="preserve">- No indication of Activist Investor on 8-K</w:t>
      </w:r>
    </w:p>
    <w:p>
      <w:pPr>
        <w:ind w:left="201"/>
      </w:pPr>
      <w:r>
        <w:t xml:space="preserve">- No indication of Delayed financial statement in news release.</w:t>
      </w:r>
    </w:p>
    <w:p>
      <w:pPr>
        <w:ind w:left="201"/>
      </w:pPr>
      <w:r>
        <w:t xml:space="preserve">- No indication that the company IPO'd in last 12 months.</w:t>
      </w:r>
    </w:p>
    <w:p>
      <w:pPr>
        <w:ind w:left="201"/>
      </w:pPr>
      <w:r>
        <w:t xml:space="preserve">- No indication of bankruptcy proceedings.</w:t>
      </w:r>
    </w:p>
    <w:p>
      <w:pPr>
        <w:ind w:left="201"/>
      </w:pPr>
      <w:r>
        <w:t xml:space="preserve">- Company falls under liberty's Industry appetite guideline.</w:t>
      </w:r>
    </w:p>
    <w:p>
      <w:pPr>
        <w:ind w:left="201"/>
      </w:pPr>
      <w:r>
        <w:t xml:space="preserve">- No indication of guidance revision in the last 12 months.</w:t>
      </w:r>
    </w:p>
    <w:p>
      <w:pPr>
        <w:ind w:left="201"/>
      </w:pPr>
      <w:r>
        <w:t xml:space="preserve">- No indication of restructuring.</w:t>
      </w:r>
    </w:p>
    <w:p>
      <w:pPr>
        <w:ind w:left="201"/>
      </w:pPr>
      <w:r>
        <w:t xml:space="preserve">- Not a SPAC or Capital Pool Company(CPC)</w:t>
      </w:r>
    </w:p>
    <w:p>
      <w:pPr>
        <w:ind w:left="201"/>
      </w:pPr>
      <w:r>
        <w:t xml:space="preserve">- No indication of dividend reduction in the last 12 months.</w:t>
      </w:r>
    </w:p>
    <w:p>
      <w:pPr>
        <w:ind w:left="201"/>
      </w:pPr>
      <w:r>
        <w:t xml:space="preserve">- No indication of labor dispute or strikes at the company in the last 12 months.</w:t>
      </w:r>
    </w:p>
    <w:p>
      <w:pPr>
        <w:ind w:left="201"/>
      </w:pPr>
      <w:r>
        <w:t xml:space="preserve">- No uncertainty around company's ability to continue as a going concern</w:t>
      </w:r>
    </w:p>
    <w:p>
      <w:pPr>
        <w:ind w:left="201"/>
      </w:pPr>
      <w:r>
        <w:t xml:space="preserve">- No indication of breach of debt covenant without waiver</w:t>
      </w:r>
    </w:p>
    <w:p>
      <w:pPr>
        <w:ind w:left="201"/>
      </w:pPr>
      <w:r>
        <w:t xml:space="preserve">- No indication of cease trade orders</w:t>
      </w:r>
    </w:p>
    <w:p>
      <w:pPr>
        <w:ind w:left="201"/>
      </w:pPr>
      <w:r>
        <w:t xml:space="preserve">- No indication of securities class action lawsuit</w:t>
      </w:r>
    </w:p>
    <w:p>
      <w:pPr>
        <w:ind w:left="201"/>
      </w:pPr>
      <w:r>
        <w:t xml:space="preserve">- No change in auditor</w:t>
      </w:r>
    </w:p>
    <w:p>
      <w:pPr>
        <w:ind w:left="201"/>
      </w:pPr>
      <w:r>
        <w:t xml:space="preserve">- No indication if the Board has a majority of independent directors.</w:t>
      </w:r>
    </w:p>
    <w:p>
      <w:pPr>
        <w:ind w:left="201"/>
      </w:pPr>
      <w:r>
        <w:t xml:space="preserve">- No indication of cybersecurity incident in the last 12 months.</w:t>
      </w:r>
    </w:p>
    <w:p>
      <w:pPr>
        <w:ind w:left="201"/>
      </w:pPr>
      <w:r>
        <w:t xml:space="preserve">- No indication of hostile takeover attempt in last 12 months.</w:t>
      </w:r>
    </w:p>
    <w:p>
      <w:pPr>
        <w:ind w:left="201"/>
      </w:pPr>
      <w:r>
        <w:t xml:space="preserve">- No indication of securities commission investigation</w:t>
      </w:r>
    </w:p>
    <w:p>
      <w:pPr>
        <w:ind w:left="201"/>
      </w:pPr>
      <w:r>
        <w:t xml:space="preserve">- No indication of financial restatement.</w:t>
      </w:r>
    </w:p>
    <w:p>
      <w:pPr>
        <w:ind w:left="201"/>
      </w:pPr>
      <w:r>
        <w:t xml:space="preserve">- No indication of shareholder, directors or officers named in past litigation/declared bankruptcy</w:t>
      </w:r>
    </w:p>
    <w:p/>
    <w:p/>
    <w:p>
      <w:r>
        <w:rPr>
          <w:b/>
          <w:bCs/>
          <w:sz w:val="26"/>
          <w:szCs w:val="26"/>
        </w:rPr>
        <w:t xml:space="preserve">Highlights:</w:t>
      </w:r>
    </w:p>
    <w:p>
      <w:r>
        <w:t xml:space="preserve">Positive Aspects</w:t>
      </w:r>
    </w:p>
    <w:p>
      <w:r>
        <w:t xml:space="preserve"/>
      </w:r>
    </w:p>
    <w:p>
      <w:r>
        <w:t xml:space="preserve">Revenue and Income Growth: FedEx reported a 3% increase in revenue and a 10% increase in operating income for the first quarter of fiscal 2026, driven by improved yields in U.S. domestic and international priority package services, structural cost reductions from business optimization initiatives (including DRIVE and Network 2.0), and higher U.S. domestic package demand.</w:t>
      </w:r>
    </w:p>
    <w:p>
      <w:r>
        <w:t xml:space="preserve">Cost Optimization: Ongoing transformation initiatives, such as Network 2.0 and the Europe workforce reduction plan, are delivering structural cost reductions and operational efficiencies. Business optimization costs have decreased year-over-year, indicating progress in cost management.</w:t>
      </w:r>
    </w:p>
    <w:p>
      <w:r>
        <w:t xml:space="preserve">Liquidity and Financial Strength: FedEx maintains a strong liquidity position with $6.2 billion in cash and cash equivalents and access to $3.5 billion in credit facilities. Cash flows from operating activities increased by $0.5 billion, and capital expenditures decreased by 19% due to prioritization of efficiency investments.</w:t>
      </w:r>
    </w:p>
    <w:p>
      <w:r>
        <w:t xml:space="preserve">Shareholder Returns: The company repurchased $500 million of common stock and continues to pay dividends, with $1.6 billion remaining for future repurchases under the current program.</w:t>
      </w:r>
    </w:p>
    <w:p>
      <w:r>
        <w:t xml:space="preserve">Strategic Initiatives: The planned spin-off of FedEx Freight is expected to create a new publicly traded company, potentially unlocking shareholder value and allowing for more focused management of each segment.</w:t>
      </w:r>
    </w:p>
    <w:p>
      <w:r>
        <w:t xml:space="preserve"/>
      </w:r>
    </w:p>
    <w:p>
      <w:r>
        <w:t xml:space="preserve"/>
      </w:r>
    </w:p>
    <w:p>
      <w:r>
        <w:t xml:space="preserve">Challenges</w:t>
      </w:r>
    </w:p>
    <w:p>
      <w:r>
        <w:t xml:space="preserve"/>
      </w:r>
    </w:p>
    <w:p>
      <w:r>
        <w:t xml:space="preserve">Macroeconomic and Trade Headwinds: The transportation industry is facing weakened business conditions due to a decline in U.S. imports, slowed global industrial production, and evolving global trade policies (e.g., removal of de minimis exemption for certain imports), resulting in lower international export package volumes and reduced shipments at FedEx Freight.</w:t>
      </w:r>
    </w:p>
    <w:p>
      <w:r>
        <w:t xml:space="preserve">Inflation and Interest Rates: Although inflation has moderated, it remains elevated, and interest rates are steady, continuing to pressure demand for transportation services, especially higher-yielding priority services.</w:t>
      </w:r>
    </w:p>
    <w:p>
      <w:r>
        <w:t xml:space="preserve">Operating Expenses: Salaries and employee benefits, purchased transportation, and other operating expenses increased, partly offsetting gains from cost optimization. Professional fees, credit losses, and self-insurance accruals also rose.</w:t>
      </w:r>
    </w:p>
    <w:p>
      <w:r>
        <w:t xml:space="preserve">FedEx Freight Performance: Revenue and operating income for FedEx Freight declined (3% and 18%, respectively), with lower volume and base yields, and increased intercompany charges related to the spin-off preparation.</w:t>
      </w:r>
    </w:p>
    <w:p>
      <w:r>
        <w:t xml:space="preserve">Geopolitical and Regulatory Risks: Ongoing geopolitical conflicts, regulatory changes, and potential adverse tax law developments add uncertainty and risk to operations and financial results.</w:t>
      </w:r>
    </w:p>
    <w:p>
      <w:r>
        <w:t xml:space="preserve"/>
      </w:r>
    </w:p>
    <w:p>
      <w:r>
        <w:t xml:space="preserve"/>
      </w:r>
    </w:p>
    <w:p>
      <w:r>
        <w:t xml:space="preserve">Strategic Considerations</w:t>
      </w:r>
    </w:p>
    <w:p>
      <w:r>
        <w:t xml:space="preserve"/>
      </w:r>
    </w:p>
    <w:p>
      <w:r>
        <w:t xml:space="preserve">Business Optimization and Transformation: Continued focus on transformation initiatives (Network 2.0, DRIVE, Europe workforce reduction) is critical for long-term profitability and efficiency. The company expects $1 billion in incremental structural cost reduction benefits in 2026.</w:t>
      </w:r>
    </w:p>
    <w:p>
      <w:r>
        <w:t xml:space="preserve">Spin-off of FedEx Freight: The separation is expected to be completed by June 2026 and is anticipated to be tax-free for U.S. shareholders. This move may allow for more targeted strategies and capital allocation for each business.</w:t>
      </w:r>
    </w:p>
    <w:p>
      <w:r>
        <w:t xml:space="preserve">Capital Allocation: FedEx is prioritizing investments in modernization and efficiency, with capital expenditures expected to rise to $4.5 billion in 2026, mainly for Network 2.0 and facility upgrades, while aircraft spending will decline.</w:t>
      </w:r>
    </w:p>
    <w:p>
      <w:r>
        <w:t xml:space="preserve">Revenue Quality Strategy: To mitigate demand challenges, FedEx is optimizing its customer and service mix, managing surcharges, and aligning its cost base with demand.</w:t>
      </w:r>
    </w:p>
    <w:p>
      <w:r>
        <w:t xml:space="preserve">Risk Management: The company is actively managing liquidity, pension obligations, and credit ratings to ensure financial flexibility amid economic and industry uncertainties.</w:t>
      </w:r>
    </w:p>
    <w:p>
      <w:r>
        <w:t xml:space="preserve"/>
      </w:r>
    </w:p>
    <w:p>
      <w:r>
        <w:t xml:space="preserve"/>
      </w:r>
    </w:p>
    <w:p>
      <w:r>
        <w:t xml:space="preserve">Sentiment Conclusion</w:t>
      </w:r>
    </w:p>
    <w:p>
      <w:r>
        <w:t xml:space="preserve"/>
      </w:r>
    </w:p>
    <w:p>
      <w:r>
        <w:t xml:space="preserve">The overall sentiment of the report is cautiously optimistic. FedEx demonstrates resilience and adaptability through revenue growth, cost optimization, and strong liquidity, despite facing significant macroeconomic, trade, and industry challenges. Strategic initiatives, including transformation programs and the planned spin-off of FedEx Freight, position the company for future growth and efficiency. However, management acknowledges ongoing uncertainties related to global trade, inflation, geopolitical risks, and regulatory changes, emphasizing the need for continued vigilance and flexibility in navigating the evolving business environment.</w:t>
      </w:r>
    </w:p>
    <w:p>
      <w:pPr>
        <w:sectPr>
          <w:pgSz w:w="11906" w:h="16838" w:orient="portrait"/>
          <w:pgMar w:top="1440" w:right="1440" w:bottom="1440" w:left="1440" w:header="708" w:footer="708" w:gutter="0"/>
          <w:pgNumType/>
          <w:docGrid w:linePitch="360"/>
        </w:sectPr>
      </w:pPr>
    </w:p>
    <w:p>
      <w:r>
        <w:rPr>
          <w:b/>
          <w:bCs/>
          <w:sz w:val="32"/>
          <w:szCs w:val="32"/>
        </w:rPr>
        <w:t xml:space="preserve">Company Overview</w:t>
      </w:r>
    </w:p>
    <w:p>
      <w:r>
        <w:t xml:space="preserve">FedEx Corporation is a global leader in transportation, e-commerce, and business services, operating through an extensive and integrated network. Incorporated in Delaware in 1997, FedEx serves as the parent holding company for a portfolio of businesses, with its primary operating companies being Federal Express Corporation (the world’s largest express transportation company and a major North American provider of ground delivery services) and FedEx Freight, Inc. (a leading provider of less-than-truckload freight transportation in North America). In June 2024, FedEx consolidated its FedEx Ground and FedEx Corporate Services operations into Federal Express, creating a unified air-ground express network under the "one FedEx" plan. The company offers a broad range of services, including express and ground transportation, LTL freight, time-critical logistics, and e-commerce solutions, operating both domestically and internationally. As of May 31, 2025, FedEx reported consolidated revenue of $87.9 billion and net income of $4.1 billion, with Federal Express and FedEx Freight as its principal reportable segments.</w:t>
      </w:r>
    </w:p>
    <w:p>
      <w:r>
        <w:t xml:space="preserve"/>
      </w:r>
    </w:p>
    <w:p>
      <w:r>
        <w:t xml:space="preserve">FedEx maintains a substantial global footprint, operating more than 5,000 air and ground hubs, local stations, freight service centers, and retail locations worldwide. In the U.S., it owns or leases approximately 650 city station facilities and 1,150 sorting and distribution centers, with additional facilities in Canada and over 1,000 international city stations. FedEx Office runs about 2,000 customer-facing stores and 16 manufacturing plants, while FedEx Logistics and FedEx Supply Chain operate 110 and 80 facilities, respectively. The company also provides customer access through approximately 24,000 staffed drop-off locations in the U.S. and 14,000 internationally. As of May 31, 2025, FedEx employed around 300,000 permanent full-time and 210,000 permanent part-time employees, supplemented by about 5,700 independent service providers. Its headquarters are located at 942 South Shady Grove Road, Memphis, Tennessee.</w:t>
      </w:r>
    </w:p>
    <w:p>
      <w:r>
        <w:t xml:space="preserve"/>
      </w:r>
    </w:p>
    <w:p>
      <w:r>
        <w:t xml:space="preserve">Recent events and decisions at FedEx include the retirement and impairment of various aircraft fleets, with significant noncash charges and an extension of the MD-11 fleet retirement plan to 2032. The company is investing heavily in transformation initiatives such as DRIVE, Network 2.0, and Tricolor, aiming to enhance supply chain efficiency and operational alignment. In early 2025, FedEx completed debt exchange offers and consent solicitations related to subsidiary guarantees. The company continues to manage legal proceedings, regulatory and tax uncertainties, and cybersecurity risks. Leadership changes in 2025 were notable: Frederick W. Smith, founder and Executive Chairman, passed away in June, with R. Brad Martin appointed as Chairman and later Executive Chairman. Other board and executive transitions included committee leadership changes, director resignations, and executive departures. Rajesh Subramaniam remains President and CEO, supported by a board of twelve members and other senior executives.</w:t>
      </w:r>
    </w:p>
    <w:p>
      <w:r>
        <w:t xml:space="preserve"/>
      </w:r>
    </w:p>
    <w:p>
      <w:r>
        <w:t xml:space="preserve">FedEx is consistently recognized as the highest ranked delivery company on FORTUNE’s “World’s Most Admired Companies” list, placing 20th overall in 2025 and maintaining its leadership position for 25 consecutive years. The company competes directly with major industry peers such as UPS and DHL, and its reputation for reliability and ethical business practices is well established. Its material subsidiaries include Federal Express Corporation, FedEx Freight, and FedEx Custom Critical, with recent consolidation streamlining operations and reporting. FedEx’s business model leverages both employees and independent contractors, and its subsidiaries provide guarantees for certain debt securities, reflecting their financial and operational significance.</w:t>
      </w:r>
    </w:p>
    <w:p>
      <w:pPr>
        <w:sectPr>
          <w:pgSz w:w="11906" w:h="16838" w:orient="portrait"/>
          <w:pgMar w:top="1440" w:right="1440" w:bottom="1440" w:left="1440" w:header="708" w:footer="708" w:gutter="0"/>
          <w:pgNumType/>
          <w:docGrid w:linePitch="360"/>
        </w:sectPr>
      </w:pPr>
    </w:p>
    <w:p>
      <w:r>
        <w:rPr>
          <w:b/>
          <w:bCs/>
          <w:sz w:val="32"/>
          <w:szCs w:val="32"/>
        </w:rPr>
        <w:t xml:space="preserve">Financial Details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t xml:space="preserve"> </w:t>
            </w:r>
          </w:p>
        </w:tc>
        <w:tc>
          <w:tcPr>
            <w:tcW w:type="pct" w:w="70%"/>
            <w:gridSpan w:val="2"/>
          </w:tcPr>
          <w:p>
            <w:r>
              <w:rPr>
                <w:b/>
                <w:bCs/>
              </w:rPr>
              <w:t xml:space="preserve">Fiscal Year Ending</w:t>
            </w:r>
          </w:p>
        </w:tc>
      </w:tr>
      <w:tr>
        <w:tc>
          <w:p>
            <w:r>
              <w:rPr>
                <w:b/>
                <w:bCs/>
              </w:rPr>
              <w:t xml:space="preserve"> </w:t>
            </w:r>
          </w:p>
        </w:tc>
        <w:tc>
          <w:p>
            <w:r>
              <w:rPr>
                <w:b/>
                <w:bCs/>
              </w:rPr>
              <w:t xml:space="preserve">2025</w:t>
            </w:r>
          </w:p>
        </w:tc>
        <w:tc>
          <w:p>
            <w:r>
              <w:rPr>
                <w:b/>
                <w:bCs/>
              </w:rPr>
              <w:t xml:space="preserve">2024</w:t>
            </w:r>
          </w:p>
        </w:tc>
      </w:tr>
      <w:tr>
        <w:tc>
          <w:p>
            <w:r>
              <w:t xml:space="preserve">Revenue</w:t>
            </w:r>
          </w:p>
        </w:tc>
        <w:tc>
          <w:p>
            <w:r>
              <w:t xml:space="preserve">$87,926,000,000.0</w:t>
            </w:r>
          </w:p>
        </w:tc>
        <w:tc>
          <w:p>
            <w:r>
              <w:t xml:space="preserve">$87,693,000,000.0  (0.27%)</w:t>
            </w:r>
          </w:p>
        </w:tc>
      </w:tr>
      <w:tr>
        <w:tc>
          <w:p>
            <w:r>
              <w:t xml:space="preserve">Net Income</w:t>
            </w:r>
          </w:p>
        </w:tc>
        <w:tc>
          <w:p>
            <w:r>
              <w:t xml:space="preserve">$4,092,000,000.0</w:t>
            </w:r>
          </w:p>
        </w:tc>
        <w:tc>
          <w:p>
            <w:r>
              <w:t xml:space="preserve">$4,331,000,000.0  (-5.52%)</w:t>
            </w:r>
          </w:p>
        </w:tc>
      </w:tr>
      <w:tr>
        <w:tc>
          <w:p>
            <w:r>
              <w:t xml:space="preserve">Operating Cashflow</w:t>
            </w:r>
          </w:p>
        </w:tc>
        <w:tc>
          <w:p>
            <w:r>
              <w:t xml:space="preserve">$7,036,000,000.0</w:t>
            </w:r>
          </w:p>
        </w:tc>
        <w:tc>
          <w:p>
            <w:r>
              <w:t xml:space="preserve">$8,312,000,000.0  (-15.35%)</w:t>
            </w:r>
          </w:p>
        </w:tc>
      </w:tr>
      <w:tr>
        <w:tc>
          <w:p>
            <w:r>
              <w:t xml:space="preserve">Total Liabilities</w:t>
            </w:r>
          </w:p>
        </w:tc>
        <w:tc>
          <w:p>
            <w:r>
              <w:t xml:space="preserve">$59,553,000,000.0</w:t>
            </w:r>
          </w:p>
        </w:tc>
        <w:tc>
          <w:p>
            <w:r>
              <w:t xml:space="preserve">$59,425,000,000.0  (0.22%)</w:t>
            </w:r>
          </w:p>
        </w:tc>
      </w:tr>
      <w:tr>
        <w:tc>
          <w:p>
            <w:r>
              <w:t xml:space="preserve">Total Assets</w:t>
            </w:r>
          </w:p>
        </w:tc>
        <w:tc>
          <w:p>
            <w:r>
              <w:t xml:space="preserve">$87,627,000,000.0</w:t>
            </w:r>
          </w:p>
        </w:tc>
        <w:tc>
          <w:p>
            <w:r>
              <w:t xml:space="preserve">$87,007,000,000.0  (0.71%)</w:t>
            </w:r>
          </w:p>
        </w:tc>
      </w:tr>
      <w:tr>
        <w:tc>
          <w:p>
            <w:r>
              <w:t xml:space="preserve">Total Debt</w:t>
            </w:r>
          </w:p>
        </w:tc>
        <w:tc>
          <w:p>
            <w:r>
              <w:t xml:space="preserve">$37,416,000,000.0</w:t>
            </w:r>
          </w:p>
        </w:tc>
        <w:tc>
          <w:p>
            <w:r>
              <w:t xml:space="preserve">$37,719,000,000.0  (-0.80%)</w:t>
            </w:r>
          </w:p>
        </w:tc>
      </w:tr>
      <w:tr>
        <w:tc>
          <w:p>
            <w:r>
              <w:t xml:space="preserve">Total Debt/Equity</w:t>
            </w:r>
          </w:p>
        </w:tc>
        <w:tc>
          <w:p>
            <w:r>
              <w:t xml:space="preserve">133.28%</w:t>
            </w:r>
          </w:p>
        </w:tc>
        <w:tc>
          <w:p>
            <w:r>
              <w:t xml:space="preserve">136.75%  (-2.54%)</w:t>
            </w:r>
          </w:p>
        </w:tc>
      </w:tr>
      <w:tr>
        <w:tc>
          <w:p>
            <w:r>
              <w:t xml:space="preserve">Total Debt/EBITDA</w:t>
            </w:r>
          </w:p>
        </w:tc>
        <w:tc>
          <w:p>
            <w:r>
              <w:t xml:space="preserve">2.23</w:t>
            </w:r>
          </w:p>
        </w:tc>
        <w:tc>
          <w:p>
            <w:r>
              <w:t xml:space="preserve">2.25  (-0.63%)</w:t>
            </w:r>
          </w:p>
        </w:tc>
      </w:tr>
      <w:tr>
        <w:tc>
          <w:p>
            <w:r>
              <w:t xml:space="preserve">Current Ratio</w:t>
            </w:r>
          </w:p>
        </w:tc>
        <w:tc>
          <w:p>
            <w:r>
              <w:t xml:space="preserve">1.19</w:t>
            </w:r>
          </w:p>
        </w:tc>
        <w:tc>
          <w:p>
            <w:r>
              <w:t xml:space="preserve">1.36  (-12.49%)</w:t>
            </w:r>
          </w:p>
        </w:tc>
      </w:tr>
      <w:tr>
        <w:tc>
          <w:p>
            <w:r>
              <w:t xml:space="preserve">Market Cap</w:t>
            </w:r>
          </w:p>
        </w:tc>
        <w:tc>
          <w:p>
            <w:r>
              <w:t xml:space="preserve">$58,882,685,292.0</w:t>
            </w:r>
          </w:p>
        </w:tc>
        <w:tc>
          <w:p>
            <w:r>
              <w:t xml:space="preserve">N/A</w:t>
            </w:r>
          </w:p>
        </w:tc>
      </w:tr>
    </w:tbl>
    <w:p/>
    <w:p>
      <w:r>
        <w:rPr>
          <w:b/>
          <w:bCs/>
          <w:sz w:val="32"/>
          <w:szCs w:val="32"/>
        </w:rPr>
        <w:t xml:space="preserve">Year to Date Financial Details (USA)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Pr>
          <w:p>
            <w:r>
              <w:t xml:space="preserve"> </w:t>
            </w:r>
          </w:p>
        </w:tc>
        <w:tc>
          <w:tcPr>
            <w:tcW w:type="pct" w:w="70%"/>
            <w:gridSpan w:val="2"/>
          </w:tcPr>
          <w:p>
            <w:r>
              <w:rPr>
                <w:b/>
                <w:bCs/>
              </w:rPr>
              <w:t xml:space="preserve">Quarter Ending</w:t>
            </w:r>
          </w:p>
        </w:tc>
      </w:tr>
      <w:tr>
        <w:tc>
          <w:p>
            <w:r>
              <w:t xml:space="preserve"> </w:t>
            </w:r>
          </w:p>
        </w:tc>
        <w:tc>
          <w:p>
            <w:r>
              <w:rPr>
                <w:b/>
                <w:bCs/>
              </w:rPr>
              <w:t xml:space="preserve">2025-08</w:t>
            </w:r>
          </w:p>
        </w:tc>
        <w:tc>
          <w:p>
            <w:r>
              <w:rPr>
                <w:b/>
                <w:bCs/>
              </w:rPr>
              <w:t xml:space="preserve">2024-08</w:t>
            </w:r>
          </w:p>
        </w:tc>
      </w:tr>
      <w:tr>
        <w:tc>
          <w:p>
            <w:r>
              <w:t xml:space="preserve">Revenue</w:t>
            </w:r>
          </w:p>
        </w:tc>
        <w:tc>
          <w:p>
            <w:r>
              <w:t xml:space="preserve">$22,244,000,000.0</w:t>
            </w:r>
          </w:p>
        </w:tc>
        <w:tc>
          <w:p>
            <w:r>
              <w:t xml:space="preserve">$21,579,000,000.0  (3.08%)</w:t>
            </w:r>
          </w:p>
        </w:tc>
      </w:tr>
      <w:tr>
        <w:tc>
          <w:p>
            <w:r>
              <w:t xml:space="preserve">Net Income</w:t>
            </w:r>
          </w:p>
        </w:tc>
        <w:tc>
          <w:p>
            <w:r>
              <w:t xml:space="preserve">$824,000,000.0</w:t>
            </w:r>
          </w:p>
        </w:tc>
        <w:tc>
          <w:p>
            <w:r>
              <w:t xml:space="preserve">$794,000,000.0  (3.78%)</w:t>
            </w:r>
          </w:p>
        </w:tc>
      </w:tr>
      <w:tr>
        <w:tc>
          <w:p>
            <w:r>
              <w:t xml:space="preserve">Operating Cashflow</w:t>
            </w:r>
          </w:p>
        </w:tc>
        <w:tc>
          <w:p>
            <w:r>
              <w:t xml:space="preserve">$1,716,000,000.0</w:t>
            </w:r>
          </w:p>
        </w:tc>
        <w:tc>
          <w:p>
            <w:r>
              <w:t xml:space="preserve">$1,187,000,000.0  (44.57%)</w:t>
            </w:r>
          </w:p>
        </w:tc>
      </w:tr>
      <w:tr>
        <w:tc>
          <w:p>
            <w:r>
              <w:t xml:space="preserve">Total Liabilities</w:t>
            </w:r>
          </w:p>
        </w:tc>
        <w:tc>
          <w:p>
            <w:r>
              <w:t xml:space="preserve">$60,645,000,000.0</w:t>
            </w:r>
          </w:p>
        </w:tc>
        <w:tc>
          <w:p>
            <w:r>
              <w:t xml:space="preserve">$59,535,000,000.0  (1.86%)</w:t>
            </w:r>
          </w:p>
        </w:tc>
      </w:tr>
      <w:tr>
        <w:tc>
          <w:p>
            <w:r>
              <w:t xml:space="preserve">Total Assets</w:t>
            </w:r>
          </w:p>
        </w:tc>
        <w:tc>
          <w:p>
            <w:r>
              <w:t xml:space="preserve">$88,416,000,000.0</w:t>
            </w:r>
          </w:p>
        </w:tc>
        <w:tc>
          <w:p>
            <w:r>
              <w:t xml:space="preserve">$86,711,000,000.0  (1.97%)</w:t>
            </w:r>
          </w:p>
        </w:tc>
      </w:tr>
      <w:tr>
        <w:tc>
          <w:p>
            <w:r>
              <w:t xml:space="preserve">Total Debt</w:t>
            </w:r>
          </w:p>
        </w:tc>
        <w:tc>
          <w:p>
            <w:r>
              <w:t xml:space="preserve">$37,906,000,000.0</w:t>
            </w:r>
          </w:p>
        </w:tc>
        <w:tc>
          <w:p>
            <w:r>
              <w:t xml:space="preserve">$37,765,000,000.0  (0.37%)</w:t>
            </w:r>
          </w:p>
        </w:tc>
      </w:tr>
      <w:tr>
        <w:tc>
          <w:p>
            <w:r>
              <w:t xml:space="preserve">Total Debt/Equity</w:t>
            </w:r>
          </w:p>
        </w:tc>
        <w:tc>
          <w:p>
            <w:r>
              <w:t xml:space="preserve">136.49%</w:t>
            </w:r>
          </w:p>
        </w:tc>
        <w:tc>
          <w:p>
            <w:r>
              <w:t xml:space="preserve">138.96%  (-1.78%)</w:t>
            </w:r>
          </w:p>
        </w:tc>
      </w:tr>
      <w:tr>
        <w:tc>
          <w:p>
            <w:r>
              <w:t xml:space="preserve">Total Debt/EBITDA</w:t>
            </w:r>
          </w:p>
        </w:tc>
        <w:tc>
          <w:p>
            <w:r>
              <w:t xml:space="preserve">2.60</w:t>
            </w:r>
          </w:p>
        </w:tc>
        <w:tc>
          <w:p>
            <w:r>
              <w:t xml:space="preserve">2.70  (-3.54%)</w:t>
            </w:r>
          </w:p>
        </w:tc>
      </w:tr>
      <w:tr>
        <w:tc>
          <w:p>
            <w:r>
              <w:t xml:space="preserve">Current Ratio</w:t>
            </w:r>
          </w:p>
        </w:tc>
        <w:tc>
          <w:p>
            <w:r>
              <w:t xml:space="preserve">1.25</w:t>
            </w:r>
          </w:p>
        </w:tc>
        <w:tc>
          <w:p>
            <w:r>
              <w:t xml:space="preserve">1.28  (-2.82%)</w:t>
            </w:r>
          </w:p>
        </w:tc>
      </w:tr>
      <w:tr>
        <w:tc>
          <w:p>
            <w:r>
              <w:t xml:space="preserve">Market Cap</w:t>
            </w:r>
          </w:p>
        </w:tc>
        <w:tc>
          <w:p>
            <w:r>
              <w:t xml:space="preserve">$58,882,685,292.0</w:t>
            </w:r>
          </w:p>
        </w:tc>
        <w:tc>
          <w:p>
            <w:r>
              <w:t xml:space="preserve">N/A</w:t>
            </w:r>
          </w:p>
        </w:tc>
      </w:tr>
    </w:tbl>
    <w:p>
      <w:pPr>
        <w:sectPr>
          <w:pgSz w:w="11906" w:h="16838" w:orient="portrait"/>
          <w:pgMar w:top="1440" w:right="1440" w:bottom="1440" w:left="1440" w:header="708" w:footer="708" w:gutter="0"/>
          <w:pgNumType/>
          <w:docGrid w:linePitch="360"/>
        </w:sectPr>
      </w:pPr>
    </w:p>
    <w:p>
      <w:r>
        <w:rPr>
          <w:b/>
          <w:bCs/>
          <w:sz w:val="32"/>
          <w:szCs w:val="32"/>
        </w:rPr>
        <w:t xml:space="preserve">Altman-Z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Altman-Z Score</w:t>
            </w:r>
          </w:p>
        </w:tc>
        <w:tc>
          <w:p>
            <w:r>
              <w:rPr>
                <w:b/>
                <w:bCs/>
              </w:rPr>
              <w:t xml:space="preserve">2.61</w:t>
            </w:r>
          </w:p>
        </w:tc>
      </w:tr>
      <w:tr>
        <w:tc>
          <w:p>
            <w:r>
              <w:t xml:space="preserve">Risk Assessment</w:t>
            </w:r>
          </w:p>
        </w:tc>
        <w:tc>
          <w:p>
            <w:r>
              <w:t xml:space="preserve">Moderate Risk</w:t>
            </w:r>
          </w:p>
        </w:tc>
      </w:tr>
      <w:tr>
        <w:tc>
          <w:p>
            <w:r>
              <w:t xml:space="preserve">Working Capital / Total Assets × 1.2</w:t>
            </w:r>
          </w:p>
        </w:tc>
        <w:tc>
          <w:p>
            <w:r>
              <w:t xml:space="preserve">0.03</w:t>
            </w:r>
          </w:p>
        </w:tc>
      </w:tr>
      <w:tr>
        <w:tc>
          <w:p>
            <w:r>
              <w:t xml:space="preserve">Retained Earnings / Total Assets × 1.4</w:t>
            </w:r>
          </w:p>
        </w:tc>
        <w:tc>
          <w:p>
            <w:r>
              <w:t xml:space="preserve">0.47</w:t>
            </w:r>
          </w:p>
        </w:tc>
      </w:tr>
      <w:tr>
        <w:tc>
          <w:p>
            <w:r>
              <w:t xml:space="preserve">EBIT / Total Assets × 3.3</w:t>
            </w:r>
          </w:p>
        </w:tc>
        <w:tc>
          <w:p>
            <w:r>
              <w:t xml:space="preserve">0.08</w:t>
            </w:r>
          </w:p>
        </w:tc>
      </w:tr>
      <w:tr>
        <w:tc>
          <w:p>
            <w:r>
              <w:t xml:space="preserve">Market Value of Equity / Total Liabilities × 0.6</w:t>
            </w:r>
          </w:p>
        </w:tc>
        <w:tc>
          <w:p>
            <w:r>
              <w:t xml:space="preserve">1.08</w:t>
            </w:r>
          </w:p>
        </w:tc>
      </w:tr>
      <w:tr>
        <w:tc>
          <w:p>
            <w:r>
              <w:t xml:space="preserve">Sales / Total Assets × 1.0</w:t>
            </w:r>
          </w:p>
        </w:tc>
        <w:tc>
          <w:p>
            <w:r>
              <w:t xml:space="preserve">1.00</w:t>
            </w:r>
          </w:p>
        </w:tc>
      </w:tr>
    </w:tbl>
    <w:p>
      <w:pPr>
        <w:sectPr>
          <w:pgSz w:w="11906" w:h="16838" w:orient="portrait"/>
          <w:pgMar w:top="1440" w:right="1440" w:bottom="1440" w:left="1440" w:header="708" w:footer="708" w:gutter="0"/>
          <w:pgNumType/>
          <w:docGrid w:linePitch="360"/>
        </w:sectPr>
      </w:pPr>
    </w:p>
    <w:p>
      <w:r>
        <w:rPr>
          <w:b/>
          <w:bCs/>
          <w:sz w:val="32"/>
          <w:szCs w:val="32"/>
        </w:rPr>
        <w:t xml:space="preserve">Stock Data</w:t>
      </w:r>
    </w:p>
    <w:p>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571750"/>
                    </a:xfrm>
                    <a:prstGeom prst="rect">
                      <a:avLst/>
                    </a:prstGeom>
                  </pic:spPr>
                </pic:pic>
              </a:graphicData>
            </a:graphic>
          </wp:inline>
        </w:drawing>
      </w: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571750"/>
                    </a:xfrm>
                    <a:prstGeom prst="rect">
                      <a:avLst/>
                    </a:prstGeom>
                  </pic:spPr>
                </pic:pic>
              </a:graphicData>
            </a:graphic>
          </wp:inline>
        </w:drawing>
      </w: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57175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r>
        <w:rPr>
          <w:b/>
          <w:bCs/>
          <w:sz w:val="32"/>
          <w:szCs w:val="32"/>
        </w:rPr>
        <w:t xml:space="preserve">Stock Data Summary</w:t>
      </w:r>
    </w:p>
    <w:p>
      <w:r>
        <w:rPr>
          <w:b/>
          <w:bCs/>
          <w:sz w:val="28"/>
          <w:szCs w:val="28"/>
        </w:rPr>
        <w:br/>
        <w:t xml:space="preserve">2025-01-27 - 2025-02-03</w:t>
      </w:r>
      <w:r>
        <w:br/>
        <w:t xml:space="preserve">
The stock price dropped by 12%. The stock price drop was likely caused by FedEx's announcement of proposed amendments to the indentures governing its outstanding senior notes, specifically to provide for the automatic and unconditional release and discharge of the guarantee of FedEx Freight, Inc. This reduction in credit support for the notes may have raised concerns among investors about increased risk, leading to the decline in stock price. The benchmark index Vanguard World Fund - Vanguard Industrials ETF (VIS) didn't drop in this period. This stock price drop was not tied to the benchmark index.
</w:t>
      </w:r>
      <w:r>
        <w:t xml:space="preserve">
Sources:
 - 8-K, Page(s): 0, 1, 2, Date: Jan 23, 2025
 - 8-K, Page(s): 0, 1, Date: Jan 30, 2025
 - 8-K, Page(s): 0, 1, 2, Date: Feb 07, 2025
</w:t>
      </w:r>
    </w:p>
    <w:p>
      <w:r>
        <w:rPr>
          <w:b/>
          <w:bCs/>
          <w:sz w:val="28"/>
          <w:szCs w:val="28"/>
        </w:rPr>
        <w:br/>
        <w:t xml:space="preserve">2025-03-20 - 2025-03-21</w:t>
      </w:r>
      <w:r>
        <w:br/>
        <w:t xml:space="preserve">
The stock price dropped by 6%. The stock price drop was likely caused by several negative disclosures in the press release, including flat revenue growth for the nine months of 2025, lower shipments at FedEx Freight due to weakened macroeconomic conditions and increased tariffs, and a decline in earnings per share compared to the prior year. Additionally, the announcement of a planned spin-off with uncertain financial benefits and increased vulnerability to market conditions, as well as higher business optimization and legal expenses, contributed to investor concerns. The benchmark index Vanguard World Fund - Vanguard Industrials ETF (VIS) didn't drop in this period. This stock price drop was not tied to the benchmark index.
</w:t>
      </w:r>
      <w:r>
        <w:t xml:space="preserve">
Sources:
 - 10-Q, Page(s): 19, 27, 28, 32, 36, 39, 51, 55, 59, Date: Mar 20, 2025
</w:t>
      </w:r>
    </w:p>
    <w:p>
      <w:r>
        <w:rPr>
          <w:b/>
          <w:bCs/>
          <w:sz w:val="28"/>
          <w:szCs w:val="28"/>
        </w:rPr>
        <w:br/>
        <w:t xml:space="preserve">2025-04-02 - 2025-04-09</w:t>
      </w:r>
      <w:r>
        <w:br/>
        <w:t xml:space="preserve">
The stock price dropped by 19%. No potental causes have been identified. The benchmark index Vanguard World Fund - Vanguard Industrials ETF (VIS) dropped by 13%. This stock price drop was tied to the benchmark index.
</w:t>
      </w:r>
    </w:p>
    <w:p>
      <w:r>
        <w:rPr>
          <w:b/>
          <w:bCs/>
          <w:sz w:val="28"/>
          <w:szCs w:val="28"/>
        </w:rPr>
        <w:br/>
        <w:t xml:space="preserve">2025-07-25 - 2025-08-01</w:t>
      </w:r>
      <w:r>
        <w:br/>
        <w:t xml:space="preserve">
The stock price dropped by 11%. The stock price drop appears to be driven by disclosures in the press release highlighting several adverse factors: increased regulatory risks and potential retaliatory actions by foreign governments (page 37), the threat of irrational pricing environments and intensified competition (page 51), and the possibility of unfavorable changes in government regulation and enforcement that could escalate costs or require business model changes (page 57). Additionally, concerns about supply chain disruptions, pilot shortages, and stockholder activism causing uncertainty (page 61) may have further contributed to negative investor sentiment. The benchmark index Vanguard World Fund - Vanguard Industrials ETF (VIS) didn't drop in this period. This stock price drop was not tied to the benchmark index.
</w:t>
      </w:r>
      <w:r>
        <w:t xml:space="preserve">
Sources:
 - 10-K, Page(s): 37, 51, 57, 61, 128, 138, 140, 147, 155, Date: Jul 21, 2025
</w:t>
      </w:r>
    </w:p>
    <w:p>
      <w:pPr>
        <w:sectPr>
          <w:pgSz w:w="11906" w:h="16838" w:orient="portrait"/>
          <w:pgMar w:top="1440" w:right="1440" w:bottom="1440" w:left="1440" w:header="708" w:footer="708" w:gutter="0"/>
          <w:pgNumType/>
          <w:docGrid w:linePitch="360"/>
        </w:sectPr>
      </w:pPr>
    </w:p>
    <w:p>
      <w:r>
        <w:rPr>
          <w:b/>
          <w:bCs/>
          <w:sz w:val="32"/>
          <w:szCs w:val="32"/>
        </w:rPr>
        <w:t xml:space="preserve">Stock Ownership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Pr>
          <w:p>
            <w:r>
              <w:rPr>
                <w:b/>
                <w:bCs/>
              </w:rPr>
              <w:t xml:space="preserve">Top 10 Investors</w:t>
            </w:r>
          </w:p>
        </w:tc>
        <w:tc>
          <w:tcPr>
            <w:tcW w:type="pct" w:w="15%"/>
          </w:tcPr>
          <w:p>
            <w:pPr>
              <w:jc w:val="right"/>
            </w:pPr>
            <w:r>
              <w:rPr>
                <w:b/>
                <w:bCs/>
              </w:rPr>
              <w:t xml:space="preserve">% Owned</w:t>
            </w:r>
          </w:p>
        </w:tc>
        <w:tc>
          <w:tcPr>
            <w:tcW w:type="pct" w:w="15%"/>
          </w:tcPr>
          <w:p>
            <w:r>
              <w:rPr>
                <w:b/>
                <w:bCs/>
              </w:rPr>
              <w:t xml:space="preserve">Country</w:t>
            </w:r>
          </w:p>
        </w:tc>
        <w:tc>
          <w:tcPr>
            <w:tcW w:type="pct" w:w="30%"/>
          </w:tcPr>
          <w:p>
            <w:r>
              <w:rPr>
                <w:b/>
                <w:bCs/>
              </w:rPr>
              <w:t xml:space="preserve">Investor Type</w:t>
            </w:r>
          </w:p>
        </w:tc>
      </w:tr>
      <w:tr>
        <w:tc>
          <w:tcPr>
            <w:tcW w:type="pct" w:w="40%"/>
          </w:tcPr>
          <w:p>
            <w:r>
              <w:t xml:space="preserve">The Vanguard Group, Inc.</w:t>
            </w:r>
          </w:p>
        </w:tc>
        <w:tc>
          <w:tcPr>
            <w:tcW w:type="pct" w:w="15%"/>
          </w:tcPr>
          <w:p>
            <w:pPr>
              <w:jc w:val="right"/>
            </w:pPr>
            <w:r>
              <w:t xml:space="preserve">8.77</w:t>
            </w:r>
          </w:p>
        </w:tc>
        <w:tc>
          <w:tcPr>
            <w:tcW w:type="pct" w:w="15%"/>
          </w:tcPr>
          <w:p>
            <w:r>
              <w:t xml:space="preserve">United States</w:t>
            </w:r>
          </w:p>
        </w:tc>
        <w:tc>
          <w:tcPr>
            <w:tcW w:type="pct" w:w="30%"/>
          </w:tcPr>
          <w:p>
            <w:r>
              <w:t xml:space="preserve">Traditional Investment Manager</w:t>
            </w:r>
          </w:p>
        </w:tc>
      </w:tr>
      <w:tr>
        <w:tc>
          <w:tcPr>
            <w:tcW w:type="pct" w:w="40%"/>
          </w:tcPr>
          <w:p>
            <w:r>
              <w:t xml:space="preserve">BlackRock, Inc.</w:t>
            </w:r>
          </w:p>
        </w:tc>
        <w:tc>
          <w:tcPr>
            <w:tcW w:type="pct" w:w="15%"/>
          </w:tcPr>
          <w:p>
            <w:pPr>
              <w:jc w:val="right"/>
            </w:pPr>
            <w:r>
              <w:t xml:space="preserve">7.41</w:t>
            </w:r>
          </w:p>
        </w:tc>
        <w:tc>
          <w:tcPr>
            <w:tcW w:type="pct" w:w="15%"/>
          </w:tcPr>
          <w:p>
            <w:r>
              <w:t xml:space="preserve">United States</w:t>
            </w:r>
          </w:p>
        </w:tc>
        <w:tc>
          <w:tcPr>
            <w:tcW w:type="pct" w:w="30%"/>
          </w:tcPr>
          <w:p>
            <w:r>
              <w:t xml:space="preserve">Traditional Investment Manager</w:t>
            </w:r>
          </w:p>
        </w:tc>
      </w:tr>
      <w:tr>
        <w:tc>
          <w:tcPr>
            <w:tcW w:type="pct" w:w="40%"/>
          </w:tcPr>
          <w:p>
            <w:r>
              <w:t xml:space="preserve">Estate Of Frederick W. Smith</w:t>
            </w:r>
          </w:p>
        </w:tc>
        <w:tc>
          <w:tcPr>
            <w:tcW w:type="pct" w:w="15%"/>
          </w:tcPr>
          <w:p>
            <w:pPr>
              <w:jc w:val="right"/>
            </w:pPr>
            <w:r>
              <w:t xml:space="preserve">6.44</w:t>
            </w:r>
          </w:p>
        </w:tc>
        <w:tc>
          <w:tcPr>
            <w:tcW w:type="pct" w:w="15%"/>
          </w:tcPr>
          <w:p>
            <w:r>
              <w:t xml:space="preserve">United States</w:t>
            </w:r>
          </w:p>
        </w:tc>
        <w:tc>
          <w:tcPr>
            <w:tcW w:type="pct" w:w="30%"/>
          </w:tcPr>
          <w:p>
            <w:r>
              <w:t xml:space="preserve">Corporations (Private)</w:t>
            </w:r>
          </w:p>
        </w:tc>
      </w:tr>
      <w:tr>
        <w:tc>
          <w:tcPr>
            <w:tcW w:type="pct" w:w="40%"/>
          </w:tcPr>
          <w:p>
            <w:r>
              <w:t xml:space="preserve">Dodge &amp; Cox</w:t>
            </w:r>
          </w:p>
        </w:tc>
        <w:tc>
          <w:tcPr>
            <w:tcW w:type="pct" w:w="15%"/>
          </w:tcPr>
          <w:p>
            <w:pPr>
              <w:jc w:val="right"/>
            </w:pPr>
            <w:r>
              <w:t xml:space="preserve">6.14</w:t>
            </w:r>
          </w:p>
        </w:tc>
        <w:tc>
          <w:tcPr>
            <w:tcW w:type="pct" w:w="15%"/>
          </w:tcPr>
          <w:p>
            <w:r>
              <w:t xml:space="preserve">United States</w:t>
            </w:r>
          </w:p>
        </w:tc>
        <w:tc>
          <w:tcPr>
            <w:tcW w:type="pct" w:w="30%"/>
          </w:tcPr>
          <w:p>
            <w:r>
              <w:t xml:space="preserve">Traditional Investment Manager</w:t>
            </w:r>
          </w:p>
        </w:tc>
      </w:tr>
      <w:tr>
        <w:tc>
          <w:tcPr>
            <w:tcW w:type="pct" w:w="40%"/>
          </w:tcPr>
          <w:p>
            <w:r>
              <w:t xml:space="preserve">PRIMECAP Management Company</w:t>
            </w:r>
          </w:p>
        </w:tc>
        <w:tc>
          <w:tcPr>
            <w:tcW w:type="pct" w:w="15%"/>
          </w:tcPr>
          <w:p>
            <w:pPr>
              <w:jc w:val="right"/>
            </w:pPr>
            <w:r>
              <w:t xml:space="preserve">4.28</w:t>
            </w:r>
          </w:p>
        </w:tc>
        <w:tc>
          <w:tcPr>
            <w:tcW w:type="pct" w:w="15%"/>
          </w:tcPr>
          <w:p>
            <w:r>
              <w:t xml:space="preserve">United States</w:t>
            </w:r>
          </w:p>
        </w:tc>
        <w:tc>
          <w:tcPr>
            <w:tcW w:type="pct" w:w="30%"/>
          </w:tcPr>
          <w:p>
            <w:r>
              <w:t xml:space="preserve">Traditional Investment Manager</w:t>
            </w:r>
          </w:p>
        </w:tc>
      </w:tr>
      <w:tr>
        <w:tc>
          <w:tcPr>
            <w:tcW w:type="pct" w:w="40%"/>
          </w:tcPr>
          <w:p>
            <w:r>
              <w:t xml:space="preserve">State Street Global Advisors, Inc.</w:t>
            </w:r>
          </w:p>
        </w:tc>
        <w:tc>
          <w:tcPr>
            <w:tcW w:type="pct" w:w="15%"/>
          </w:tcPr>
          <w:p>
            <w:pPr>
              <w:jc w:val="right"/>
            </w:pPr>
            <w:r>
              <w:t xml:space="preserve">3.95</w:t>
            </w:r>
          </w:p>
        </w:tc>
        <w:tc>
          <w:tcPr>
            <w:tcW w:type="pct" w:w="15%"/>
          </w:tcPr>
          <w:p>
            <w:r>
              <w:t xml:space="preserve">United States</w:t>
            </w:r>
          </w:p>
        </w:tc>
        <w:tc>
          <w:tcPr>
            <w:tcW w:type="pct" w:w="30%"/>
          </w:tcPr>
          <w:p>
            <w:r>
              <w:t xml:space="preserve">Traditional Investment Manager</w:t>
            </w:r>
          </w:p>
        </w:tc>
      </w:tr>
      <w:tr>
        <w:tc>
          <w:tcPr>
            <w:tcW w:type="pct" w:w="40%"/>
          </w:tcPr>
          <w:p>
            <w:r>
              <w:t xml:space="preserve">Capital Research and Management Company</w:t>
            </w:r>
          </w:p>
        </w:tc>
        <w:tc>
          <w:tcPr>
            <w:tcW w:type="pct" w:w="15%"/>
          </w:tcPr>
          <w:p>
            <w:pPr>
              <w:jc w:val="right"/>
            </w:pPr>
            <w:r>
              <w:t xml:space="preserve">3.41</w:t>
            </w:r>
          </w:p>
        </w:tc>
        <w:tc>
          <w:tcPr>
            <w:tcW w:type="pct" w:w="15%"/>
          </w:tcPr>
          <w:p>
            <w:r>
              <w:t xml:space="preserve">United States</w:t>
            </w:r>
          </w:p>
        </w:tc>
        <w:tc>
          <w:tcPr>
            <w:tcW w:type="pct" w:w="30%"/>
          </w:tcPr>
          <w:p>
            <w:r>
              <w:t xml:space="preserve">Traditional Investment Manager</w:t>
            </w:r>
          </w:p>
        </w:tc>
      </w:tr>
      <w:tr>
        <w:tc>
          <w:tcPr>
            <w:tcW w:type="pct" w:w="40%"/>
          </w:tcPr>
          <w:p>
            <w:r>
              <w:t xml:space="preserve">Geode Capital Management, LLC</w:t>
            </w:r>
          </w:p>
        </w:tc>
        <w:tc>
          <w:tcPr>
            <w:tcW w:type="pct" w:w="15%"/>
          </w:tcPr>
          <w:p>
            <w:pPr>
              <w:jc w:val="right"/>
            </w:pPr>
            <w:r>
              <w:t xml:space="preserve">2.10</w:t>
            </w:r>
          </w:p>
        </w:tc>
        <w:tc>
          <w:tcPr>
            <w:tcW w:type="pct" w:w="15%"/>
          </w:tcPr>
          <w:p>
            <w:r>
              <w:t xml:space="preserve">United States</w:t>
            </w:r>
          </w:p>
        </w:tc>
        <w:tc>
          <w:tcPr>
            <w:tcW w:type="pct" w:w="30%"/>
          </w:tcPr>
          <w:p>
            <w:r>
              <w:t xml:space="preserve">Traditional Investment Manager</w:t>
            </w:r>
          </w:p>
        </w:tc>
      </w:tr>
      <w:tr>
        <w:tc>
          <w:tcPr>
            <w:tcW w:type="pct" w:w="40%"/>
          </w:tcPr>
          <w:p>
            <w:r>
              <w:t xml:space="preserve">Putnam LLC</w:t>
            </w:r>
          </w:p>
        </w:tc>
        <w:tc>
          <w:tcPr>
            <w:tcW w:type="pct" w:w="15%"/>
          </w:tcPr>
          <w:p>
            <w:pPr>
              <w:jc w:val="right"/>
            </w:pPr>
            <w:r>
              <w:t xml:space="preserve">1.88</w:t>
            </w:r>
          </w:p>
        </w:tc>
        <w:tc>
          <w:tcPr>
            <w:tcW w:type="pct" w:w="15%"/>
          </w:tcPr>
          <w:p>
            <w:r>
              <w:t xml:space="preserve">United States</w:t>
            </w:r>
          </w:p>
        </w:tc>
        <w:tc>
          <w:tcPr>
            <w:tcW w:type="pct" w:w="30%"/>
          </w:tcPr>
          <w:p>
            <w:r>
              <w:t xml:space="preserve">Traditional Investment Manager</w:t>
            </w:r>
          </w:p>
        </w:tc>
      </w:tr>
      <w:tr>
        <w:tc>
          <w:tcPr>
            <w:tcW w:type="pct" w:w="40%"/>
          </w:tcPr>
          <w:p>
            <w:r>
              <w:t xml:space="preserve">UBS Asset Management AG</w:t>
            </w:r>
          </w:p>
        </w:tc>
        <w:tc>
          <w:tcPr>
            <w:tcW w:type="pct" w:w="15%"/>
          </w:tcPr>
          <w:p>
            <w:pPr>
              <w:jc w:val="right"/>
            </w:pPr>
            <w:r>
              <w:t xml:space="preserve">1.46</w:t>
            </w:r>
          </w:p>
        </w:tc>
        <w:tc>
          <w:tcPr>
            <w:tcW w:type="pct" w:w="15%"/>
          </w:tcPr>
          <w:p>
            <w:r>
              <w:t xml:space="preserve">Switzerland</w:t>
            </w:r>
          </w:p>
        </w:tc>
        <w:tc>
          <w:tcPr>
            <w:tcW w:type="pct" w:w="30%"/>
          </w:tcPr>
          <w:p>
            <w:r>
              <w:t xml:space="preserve">Traditional Investment Manager</w:t>
            </w:r>
          </w:p>
        </w:tc>
      </w:tr>
    </w:tbl>
    <w:p>
      <w:pPr>
        <w:sectPr>
          <w:pgSz w:w="11906" w:h="16838" w:orient="portrait"/>
          <w:pgMar w:top="1440" w:right="1440" w:bottom="1440" w:left="1440" w:header="708" w:footer="708" w:gutter="0"/>
          <w:pgNumType/>
          <w:docGrid w:linePitch="360"/>
        </w:sectPr>
      </w:pPr>
    </w:p>
    <w:p>
      <w:r>
        <w:rPr>
          <w:b/>
          <w:bCs/>
          <w:sz w:val="32"/>
          <w:szCs w:val="32"/>
        </w:rPr>
        <w:t xml:space="preserve">Frequently Asked Questions</w:t>
      </w:r>
    </w:p>
    <w:p>
      <w:r>
        <w:rPr>
          <w:b/>
          <w:bCs/>
          <w:u w:val="single"/>
        </w:rPr>
        <w:br/>
        <w:t xml:space="preserve">Who serves on the company’s board of directors, and what are their backgrounds and representation statistics (e.g., diversity, tenure, expertise)?</w:t>
      </w:r>
      <w:r>
        <w:br/>
        <w:t xml:space="preserve">To answer your question, I searched FedEx Corporation’s most recent Definitive Proxy Statement (filed August 18, 2025), which is the authoritative source for board composition, director backgrounds, and representation statistics.</w:t>
      </w:r>
      <w:r>
        <w:br/>
        <w:t xml:space="preserve"/>
      </w:r>
      <w:r>
        <w:br/>
        <w:t xml:space="preserve">FedEx’s Board of Directors as of the 2025 Proxy Statement consists of 13 nominees. The board’s composition and expertise are summarized as follows:</w:t>
      </w:r>
      <w:r>
        <w:br/>
        <w:t xml:space="preserve"/>
      </w:r>
      <w:r>
        <w:br/>
        <w:t xml:space="preserve">1. Board Composition and Independence:</w:t>
      </w:r>
      <w:r>
        <w:br/>
        <w:t xml:space="preserve">- All directors except R. Brad Martin (who will become Executive Chairman and Chairman of the Board after the annual meeting) are independent under NYSE and FedEx’s own standards.</w:t>
      </w:r>
      <w:r>
        <w:br/>
        <w:t xml:space="preserve">- The board includes individuals with significant experience in transportation, logistics, supply chain, international business, finance, marketing, e-commerce, technology/digital/cybersecurity, energy, human resources, government, and risk management.</w:t>
      </w:r>
      <w:r>
        <w:br/>
        <w:t xml:space="preserve"/>
      </w:r>
      <w:r>
        <w:br/>
        <w:t xml:space="preserve">2. Representation Statistics (as of August 18, 2025):</w:t>
      </w:r>
      <w:r>
        <w:br/>
        <w:t xml:space="preserve">- Tenure: The board includes both long-serving and newer members, though specific average tenure is not disclosed in the summary. The board emphasizes a blend of institutional knowledge and fresh perspectives.</w:t>
      </w:r>
      <w:r>
        <w:br/>
        <w:t xml:space="preserve">- Gender Diversity: The board includes both male and female directors, but the exact gender breakdown is not specified in the summary table. However, the board highlights diversity in backgrounds and perspectives.</w:t>
      </w:r>
      <w:r>
        <w:br/>
        <w:t xml:space="preserve">- Expertise: The board’s collective expertise includes:</w:t>
      </w:r>
      <w:r>
        <w:br/>
        <w:t xml:space="preserve">  - Transportation/Retail/Logistics/Supply Chain: 5 nominees</w:t>
      </w:r>
      <w:r>
        <w:br/>
        <w:t xml:space="preserve">  - International: 8 nominees</w:t>
      </w:r>
      <w:r>
        <w:br/>
        <w:t xml:space="preserve">  - Financial: 6 nominees</w:t>
      </w:r>
      <w:r>
        <w:br/>
        <w:t xml:space="preserve">  - Marketing: 7 nominees</w:t>
      </w:r>
      <w:r>
        <w:br/>
        <w:t xml:space="preserve">  - E-commerce: 7 nominees</w:t>
      </w:r>
      <w:r>
        <w:br/>
        <w:t xml:space="preserve">  - Technological/Digital/Cybersecurity: 4 nominees</w:t>
      </w:r>
      <w:r>
        <w:br/>
        <w:t xml:space="preserve">  - Human Resource: 4 nominees</w:t>
      </w:r>
      <w:r>
        <w:br/>
        <w:t xml:space="preserve">  - Energy: 2 nominees</w:t>
      </w:r>
      <w:r>
        <w:br/>
        <w:t xml:space="preserve">  - Management: 5 nominees</w:t>
      </w:r>
      <w:r>
        <w:br/>
        <w:t xml:space="preserve">  - Government: 7 nominees</w:t>
      </w:r>
      <w:r>
        <w:br/>
        <w:t xml:space="preserve">  - Risk Management: 7 nominees</w:t>
      </w:r>
      <w:r>
        <w:br/>
        <w:t xml:space="preserve">  - Leadership: 13 nominees (all nominees)</w:t>
      </w:r>
      <w:r>
        <w:br/>
        <w:t xml:space="preserve"/>
      </w:r>
      <w:r>
        <w:br/>
        <w:t xml:space="preserve">3. Selection and Diversity Approach:</w:t>
      </w:r>
      <w:r>
        <w:br/>
        <w:t xml:space="preserve">- While FedEx does not maintain a formal diversity policy, the board seeks a blend of personal and professional experiences, perspectives, and backgrounds, aiming for a high-performing board with sound and prudent guidance for all operations and interests.</w:t>
      </w:r>
      <w:r>
        <w:br/>
        <w:t xml:space="preserve"/>
      </w:r>
      <w:r>
        <w:br/>
        <w:t xml:space="preserve">4. Committee Structure:</w:t>
      </w:r>
      <w:r>
        <w:br/>
        <w:t xml:space="preserve">- The board has four standing committees: Audit and Finance, Compensation &amp; HR, Cyber and Technology Oversight, and GSPP. Memberships are disclosed in the proxy statement.</w:t>
      </w:r>
      <w:r>
        <w:br/>
        <w:t xml:space="preserve"/>
      </w:r>
      <w:r>
        <w:br/>
        <w:t xml:space="preserve">5. Individual Director Biographies:</w:t>
      </w:r>
      <w:r>
        <w:br/>
        <w:t xml:space="preserve">- Detailed biographies for each nominee, including their professional backgrounds and qualifications, are provided in the proxy statement (see pages 15 and following).</w:t>
      </w:r>
      <w:r>
        <w:br/>
        <w:t xml:space="preserve"/>
      </w:r>
      <w:r>
        <w:br/>
        <w:t xml:space="preserve">In summary, FedEx’s board is characterized by a mix of industry expertise, leadership experience, and diverse backgrounds, with a majority of independent directors and a commitment to broad representation in skills and perspectives, though specific demographic statistics (e.g., gender, ethnicity) are not explicitly quantified in the summary sections.</w:t>
      </w:r>
      <w:r>
        <w:br/>
        <w:t xml:space="preserve"/>
      </w:r>
      <w:r>
        <w:br/>
        <w:t xml:space="preserve">Sources:</w:t>
      </w:r>
      <w:r>
        <w:br/>
        <w:t xml:space="preserve">- Definitive Proxy Statement, August 18, 2025, pages 7, 13, 15, 25, 34.</w:t>
      </w:r>
      <w:r>
        <w:rPr>
          <w:sz w:val="16"/>
          <w:szCs w:val="16"/>
        </w:rPr>
        <w:br/>
        <w:t xml:space="preserve">- Definitive Proxy Statement, Page(s): 5, 7, 8, 13, 15, 25, 34, 131, 144, Date: Aug 18, 2025</w:t>
      </w:r>
      <w:r>
        <w:rPr>
          <w:sz w:val="16"/>
          <w:szCs w:val="16"/>
        </w:rPr>
        <w:br/>
        <w:t xml:space="preserve">- Definitive Proxy Statement, Page(s): 5, 7, 8, 13, 15, 25, 34, 131, 144, Date: Aug 18, 2025</w:t>
      </w:r>
      <w:r>
        <w:rPr>
          <w:sz w:val="16"/>
          <w:szCs w:val="16"/>
        </w:rPr>
        <w:br/>
        <w:t xml:space="preserve">- Definitive Proxy Statement, Page(s): 5, 7, 8, 13, 15, 25, 34, 131, 144, Date: Aug 18, 2025</w:t>
      </w:r>
      <w:r>
        <w:rPr>
          <w:sz w:val="16"/>
          <w:szCs w:val="16"/>
        </w:rPr>
        <w:br/>
        <w:t xml:space="preserve">- Definitive Proxy Statement, Page(s): 5, 7, 8, 13, 15, 25, 34, 131, 144, Date: Aug 18, 2025</w:t>
      </w:r>
      <w:r>
        <w:rPr>
          <w:sz w:val="16"/>
          <w:szCs w:val="16"/>
        </w:rPr>
        <w:br/>
        <w:t xml:space="preserve">- Definitive Proxy Statement, Page(s): 5, 7, 8, 13, 15, 25, 34, 131, 144, Date: Aug 18, 2025</w:t>
      </w:r>
    </w:p>
    <w:p>
      <w:r>
        <w:rPr>
          <w:b/>
          <w:bCs/>
          <w:u w:val="single"/>
        </w:rPr>
        <w:br/>
        <w:t xml:space="preserve">Is the chairman of the board an independent director?</w:t>
      </w:r>
      <w:r>
        <w:br/>
        <w:t xml:space="preserve">I searched the most recent FedEx Corporation Definitive Proxy Statement dated August 18, 2025, for information regarding the independence of the chairman of the board.</w:t>
      </w:r>
      <w:r>
        <w:br/>
        <w:t xml:space="preserve"/>
      </w:r>
      <w:r>
        <w:br/>
        <w:t xml:space="preserve">According to the proxy statement, the current chairman, Mr. Martin, is not considered an independent director. Specifically, the document states: "As executive Chairman, Mr. Martin will not be independent, and he will not serve on any committees of the Board." The proxy further clarifies that FedEx's Corporate Governance Guidelines specify that if the chairman is not independent, a Lead Independent Director is appointed to ensure independent oversight. At the time of the 2025 annual meeting, if Mr. Martin and Susan Patricia Griffith are each reelected, Ms. Griffith will become the Lead Independent Director immediately following the meeting.</w:t>
      </w:r>
      <w:r>
        <w:br/>
        <w:t xml:space="preserve"/>
      </w:r>
      <w:r>
        <w:br/>
        <w:t xml:space="preserve">Additionally, the proxy statement includes a stockholder proposal advocating for an independent board chairman, but the board recommends voting against this proposal, arguing that the current structure provides sufficient independent oversight even when the chairman is not independent.</w:t>
      </w:r>
      <w:r>
        <w:br/>
        <w:t xml:space="preserve"/>
      </w:r>
      <w:r>
        <w:br/>
        <w:t xml:space="preserve">In summary, as of the most recent proxy statement, the chairman of the board at FedEx Corporation is not an independent director.</w:t>
      </w:r>
      <w:r>
        <w:br/>
        <w:t xml:space="preserve"/>
      </w:r>
      <w:r>
        <w:br/>
        <w:t xml:space="preserve">Sources:</w:t>
      </w:r>
      <w:r>
        <w:br/>
        <w:t xml:space="preserve">- Definitive Proxy Statement, August 18, 2025, page 32</w:t>
      </w:r>
      <w:r>
        <w:br/>
        <w:t xml:space="preserve">- Definitive Proxy Statement, August 18, 2025, page 111</w:t>
      </w:r>
      <w:r>
        <w:rPr>
          <w:sz w:val="16"/>
          <w:szCs w:val="16"/>
        </w:rPr>
        <w:br/>
        <w:t xml:space="preserve">- Definitive Proxy Statement, Page(s): 32, 33, 109, 110, 111, Date: Aug 18, 2025</w:t>
      </w:r>
      <w:r>
        <w:rPr>
          <w:sz w:val="16"/>
          <w:szCs w:val="16"/>
        </w:rPr>
        <w:br/>
        <w:t xml:space="preserve">- Definitive Proxy Statement, Page(s): 32, 33, 109, 110, 111, Date: Aug 18, 2025</w:t>
      </w:r>
    </w:p>
    <w:p>
      <w:r>
        <w:rPr>
          <w:b/>
          <w:bCs/>
          <w:u w:val="single"/>
        </w:rPr>
        <w:br/>
        <w:t xml:space="preserve">Who are the company’s executive officers, and what are the backgrounds of the top executives such as the CEO, CFO, COO, and General Counsel?</w:t>
      </w:r>
      <w:r>
        <w:br/>
        <w:t xml:space="preserve">To answer your question, I searched FedEx Corporation’s most recent Annual Report (dated July 21, 2025) and the Definitive Proxy Statement (dated August 18, 2025). These filings provide detailed, up-to-date information on the company’s executive officers and their backgrounds. Below is a summary of the top executives as of July/August 2025:</w:t>
      </w:r>
      <w:r>
        <w:br/>
        <w:t xml:space="preserve"/>
      </w:r>
      <w:r>
        <w:br/>
        <w:t xml:space="preserve">1. CEO: Rajesh Subramaniam (Age 59)</w:t>
      </w:r>
      <w:r>
        <w:br/>
        <w:t xml:space="preserve">- President of FedEx since March 2019 and CEO since June 2022.</w:t>
      </w:r>
      <w:r>
        <w:br/>
        <w:t xml:space="preserve">- Previously served as COO (March 2019–March 2022), Chief Marketing and Communications Officer (2017–2018), and held various senior roles in marketing and operations since joining FedEx in 1991.</w:t>
      </w:r>
      <w:r>
        <w:br/>
        <w:t xml:space="preserve">- Director of FedEx since January 2020.</w:t>
      </w:r>
      <w:r>
        <w:br/>
        <w:t xml:space="preserve"/>
      </w:r>
      <w:r>
        <w:br/>
        <w:t xml:space="preserve">2. CFO: John W. Dietrich (Age 60)</w:t>
      </w:r>
      <w:r>
        <w:br/>
        <w:t xml:space="preserve">- Executive Vice President and CFO since August 1, 2023.</w:t>
      </w:r>
      <w:r>
        <w:br/>
        <w:t xml:space="preserve">- Previously President &amp; CEO (2020–2023) and COO (2019–2020) of Atlas Air Worldwide Holdings, Inc.</w:t>
      </w:r>
      <w:r>
        <w:br/>
        <w:t xml:space="preserve">- Held senior executive roles at Atlas from 2003–2019, including General Counsel, Chief Human Resources Officer, and Corporate Secretary.</w:t>
      </w:r>
      <w:r>
        <w:br/>
        <w:t xml:space="preserve">- Serves as a director of AAR Corp. and First Horizon Corporation.</w:t>
      </w:r>
      <w:r>
        <w:br/>
        <w:t xml:space="preserve"/>
      </w:r>
      <w:r>
        <w:br/>
        <w:t xml:space="preserve">3. COO (United States and Canada): John A. Smith (Age 63)</w:t>
      </w:r>
      <w:r>
        <w:br/>
        <w:t xml:space="preserve">- COO of Federal Express (U.S. and Canada) since June 1, 2024.</w:t>
      </w:r>
      <w:r>
        <w:br/>
        <w:t xml:space="preserve">- Previously President &amp; CEO of FedEx Ground (2021–2023), President &amp; CEO of FedEx Freight (2018–2021), and held various senior operations roles since 2000.</w:t>
      </w:r>
      <w:r>
        <w:br/>
        <w:t xml:space="preserve">- Selected to serve as President &amp; CEO of the new publicly traded company to be created upon the separation of FedEx Freight.</w:t>
      </w:r>
      <w:r>
        <w:br/>
        <w:t xml:space="preserve"/>
      </w:r>
      <w:r>
        <w:br/>
        <w:t xml:space="preserve">4. COO (International and Airline): Richard W. Smith (Age 47)</w:t>
      </w:r>
      <w:r>
        <w:br/>
        <w:t xml:space="preserve">- COO (International) and CEO (Airline) of Federal Express since June 1, 2024.</w:t>
      </w:r>
      <w:r>
        <w:br/>
        <w:t xml:space="preserve">- Previously President &amp; CEO (International) of Federal Express (2023–2024), President &amp; CEO of FedEx Logistics (2017–2019), and held various senior roles in global trade and specialty services since 2005.</w:t>
      </w:r>
      <w:r>
        <w:br/>
        <w:t xml:space="preserve"/>
      </w:r>
      <w:r>
        <w:br/>
        <w:t xml:space="preserve">5. General Counsel: Tracy B. Brightman (Age 62)</w:t>
      </w:r>
      <w:r>
        <w:br/>
        <w:t xml:space="preserve">- Executive Vice President and Chief People Officer since June 2023.</w:t>
      </w:r>
      <w:r>
        <w:br/>
        <w:t xml:space="preserve">- Previously SVP Legal and Human Resources at FedEx Office (2020–2022), Assistant General Counsel and Assistant Secretary (2004–2005), and Director, Litigation and Employment Counsel (2002–2004).</w:t>
      </w:r>
      <w:r>
        <w:br/>
        <w:t xml:space="preserve"/>
      </w:r>
      <w:r>
        <w:br/>
        <w:t xml:space="preserve">Additional notes:</w:t>
      </w:r>
      <w:r>
        <w:br/>
        <w:t xml:space="preserve">- Executive officers are elected by and serve at the discretion of the Board of Directors.</w:t>
      </w:r>
      <w:r>
        <w:br/>
        <w:t xml:space="preserve">- There are no family relationships among executive officers or directors.</w:t>
      </w:r>
      <w:r>
        <w:br/>
        <w:t xml:space="preserve"/>
      </w:r>
      <w:r>
        <w:br/>
        <w:t xml:space="preserve">This information is sourced directly from the company’s 2025 Annual Report and Proxy Statement, which are the authoritative sources for executive backgrounds and roles.</w:t>
      </w:r>
      <w:r>
        <w:br/>
        <w:t xml:space="preserve"/>
      </w:r>
      <w:r>
        <w:br/>
        <w:t xml:space="preserve">Sources:</w:t>
      </w:r>
      <w:r>
        <w:br/>
        <w:t xml:space="preserve">1. Annual Report, July 21, 2025, pp. 67, 69, 71</w:t>
      </w:r>
      <w:r>
        <w:br/>
        <w:t xml:space="preserve">2. Definitive Proxy Statement, August 18, 2025, pp. 5, 8</w:t>
      </w:r>
      <w:r>
        <w:rPr>
          <w:sz w:val="16"/>
          <w:szCs w:val="16"/>
        </w:rPr>
        <w:br/>
        <w:t xml:space="preserve">- Annual Report, Page(s): 36, 67, 69, 71, 160, Date: Jul 21, 2025</w:t>
      </w:r>
      <w:r>
        <w:rPr>
          <w:sz w:val="16"/>
          <w:szCs w:val="16"/>
        </w:rPr>
        <w:br/>
        <w:t xml:space="preserve">- Annual Report, Page(s): 36, 67, 69, 71, 160, Date: Jul 21, 2025</w:t>
      </w:r>
      <w:r>
        <w:rPr>
          <w:sz w:val="16"/>
          <w:szCs w:val="16"/>
        </w:rPr>
        <w:br/>
        <w:t xml:space="preserve">- Annual Report, Page(s): 36, 67, 69, 71, 160, Date: Jul 21, 2025</w:t>
      </w:r>
      <w:r>
        <w:rPr>
          <w:sz w:val="16"/>
          <w:szCs w:val="16"/>
        </w:rPr>
        <w:br/>
        <w:t xml:space="preserve">- Definitive Proxy Statement, Page(s): 5, 8, Date: Aug 18, 2025</w:t>
      </w:r>
      <w:r>
        <w:rPr>
          <w:sz w:val="16"/>
          <w:szCs w:val="16"/>
        </w:rPr>
        <w:br/>
        <w:t xml:space="preserve">- Definitive Proxy Statement, Page(s): 5, 8, Date: Aug 18, 2025</w:t>
      </w:r>
    </w:p>
    <w:p>
      <w:r>
        <w:rPr>
          <w:b/>
          <w:bCs/>
          <w:u w:val="single"/>
        </w:rPr>
        <w:br/>
        <w:t xml:space="preserve">Has the company released any ESG or Sustainability reports?</w:t>
      </w:r>
      <w:r>
        <w:br/>
        <w:t xml:space="preserve">I searched FedEx Corporation's most recent Annual Report dated July 21, 2025 for evidence of ESG (Environmental, Social, and Governance) or Sustainability reporting. The Annual Report contains extensive disclosures regarding FedEx's sustainability strategies, goals, and initiatives, as well as its approach to ESG matters.</w:t>
      </w:r>
      <w:r>
        <w:br/>
        <w:t xml:space="preserve"/>
      </w:r>
      <w:r>
        <w:br/>
        <w:t xml:space="preserve">Key findings:</w:t>
      </w:r>
      <w:r>
        <w:br/>
        <w:t xml:space="preserve">- FedEx publishes a Corporate Responsibility Report detailing progress toward its sustainability strategies, goals, and initiatives. This report is referenced in the Annual Report, but is not incorporated by reference into the Annual Report itself. The Corporate Responsibility Report covers topics such as diverse supplier sourcing, community empowerment, and economic opportunity initiatives (Annual Report, 2025-07-21, p. 28).</w:t>
      </w:r>
      <w:r>
        <w:br/>
        <w:t xml:space="preserve">- FedEx aligns its assessment and reporting approach with the Global Reporting Initiative (GRI), Sustainability Accounting Standards Board (SASB), and Task Force on Climate-related Financial Disclosures (TCFD), as well as applicable mandatory disclosure requirements (Annual Report, 2025-07-21, p. 30).</w:t>
      </w:r>
      <w:r>
        <w:br/>
        <w:t xml:space="preserve">- The company has set a goal to achieve carbon neutrality for its global operations by calendar 2040, with interim targets for vehicle electrification, aviation fleet emissions intensity, and sustainable energy procurement. Progress toward these goals is discussed, along with risks and uncertainties (Annual Report, 2025-07-21, p. 55).</w:t>
      </w:r>
      <w:r>
        <w:br/>
        <w:t xml:space="preserve">- FedEx provides customers with the FedEx® Sustainability Insights (FSI) tool, which offers estimated CO2 emissions data for shipments. In calendar 2024, 74% of FedEx packaging materials were sourced from third-party certified sources. Since July 2023, over 13,000 customers have generated emissions reports using the FSI tool (Annual Report, 2025-07-21, p. 34).</w:t>
      </w:r>
      <w:r>
        <w:br/>
        <w:t xml:space="preserve">- The company has set new mid-term renewable energy goals through calendar 2033 and aims for all electricity used at its facilities to come from renewable sources by calendar 2040 (Annual Report, 2025-07-21, p. 34).</w:t>
      </w:r>
      <w:r>
        <w:br/>
        <w:t xml:space="preserve">- Additional information on FedEx's sustainability initiatives is available at fedex.com/en-us/sustainability.html, as referenced in the Annual Report (Annual Report, 2025-07-21, p. 34).</w:t>
      </w:r>
      <w:r>
        <w:br/>
        <w:t xml:space="preserve"/>
      </w:r>
      <w:r>
        <w:br/>
        <w:t xml:space="preserve">In summary, FedEx Corporation does release ESG and Sustainability reports, including a Corporate Responsibility Report and detailed disclosures in its Annual Report. The company provides specific metrics, goals, and tools for both internal and customer-facing sustainability initiatives.</w:t>
      </w:r>
      <w:r>
        <w:br/>
        <w:t xml:space="preserve"/>
      </w:r>
      <w:r>
        <w:br/>
        <w:t xml:space="preserve">Sources:</w:t>
      </w:r>
      <w:r>
        <w:br/>
        <w:t xml:space="preserve">1. Annual Report, 2025-07-21, p. 28</w:t>
      </w:r>
      <w:r>
        <w:br/>
        <w:t xml:space="preserve">2. Annual Report, 2025-07-21, p. 30</w:t>
      </w:r>
      <w:r>
        <w:br/>
        <w:t xml:space="preserve">3. Annual Report, 2025-07-21, p. 34</w:t>
      </w:r>
      <w:r>
        <w:br/>
        <w:t xml:space="preserve">4. Annual Report, 2025-07-21, p. 55</w:t>
      </w:r>
      <w:r>
        <w:rPr>
          <w:sz w:val="16"/>
          <w:szCs w:val="16"/>
        </w:rPr>
        <w:br/>
        <w:t xml:space="preserve">- Annual Report, Page(s): 25, 28, 30, 34, 36, 55, 57, 160, Date: Jul 21, 2025</w:t>
      </w:r>
      <w:r>
        <w:rPr>
          <w:sz w:val="16"/>
          <w:szCs w:val="16"/>
        </w:rPr>
        <w:br/>
        <w:t xml:space="preserve">- Annual Report, Page(s): 25, 28, 30, 34, 36, 55, 57, 160, Date: Jul 21, 2025</w:t>
      </w:r>
      <w:r>
        <w:rPr>
          <w:sz w:val="16"/>
          <w:szCs w:val="16"/>
        </w:rPr>
        <w:br/>
        <w:t xml:space="preserve">- Annual Report, Page(s): 25, 28, 30, 34, 36, 55, 57, 160, Date: Jul 21, 2025</w:t>
      </w:r>
      <w:r>
        <w:rPr>
          <w:sz w:val="16"/>
          <w:szCs w:val="16"/>
        </w:rPr>
        <w:br/>
        <w:t xml:space="preserve">- Annual Report, Page(s): 25, 28, 30, 34, 36, 55, 57, 160, Date: Jul 21, 2025</w:t>
      </w:r>
    </w:p>
    <w:p>
      <w:r>
        <w:rPr>
          <w:b/>
          <w:bCs/>
          <w:u w:val="single"/>
        </w:rPr>
        <w:br/>
        <w:t xml:space="preserve">How does executive compensation compare to their peers?</w:t>
      </w:r>
      <w:r>
        <w:br/>
        <w:t xml:space="preserve">To answer your question, I searched FedEx Corporation's most recent Definitive Proxy Statement (dated August 18, 2025), which contains detailed disclosures on executive compensation, peer group comparisons, and pay-for-performance analysis.</w:t>
      </w:r>
      <w:r>
        <w:br/>
        <w:t xml:space="preserve"/>
      </w:r>
      <w:r>
        <w:br/>
        <w:t xml:space="preserve">FedEx benchmarks its executive compensation against a broad group of 126 U.S. and multinational companies, rather than just industry peers, to ensure comparability in size and executive roles. This approach is intended to mitigate outlier effects and selection bias, and to reflect the competitive market for executive talent (see page 46).</w:t>
      </w:r>
      <w:r>
        <w:br/>
        <w:t xml:space="preserve"/>
      </w:r>
      <w:r>
        <w:br/>
        <w:t xml:space="preserve">For fiscal year 2025, the total compensation for FedEx's CEO, Rajesh Subramaniam, was $12,873,691. This figure includes base salary, stock awards, option awards, non-equity incentive plan compensation, pension value changes, and other compensation (see page 66). For context, the average total compensation for non-CEO named executive officers (NEOs) was $5,637,869 in 2025 (see page 87).</w:t>
      </w:r>
      <w:r>
        <w:br/>
        <w:t xml:space="preserve"/>
      </w:r>
      <w:r>
        <w:br/>
        <w:t xml:space="preserve">FedEx also discloses a "pay versus performance" analysis, comparing compensation actually paid (CAP) to both FedEx's total shareholder return (TSR) and that of its peer group. The proxy includes graphs and tables showing that FedEx's executive compensation is closely aligned with company performance and competitive benchmarks (see pages 85-89). The compensation committee considers multiple performance metrics, including stock price performance relative to the S&amp;P 500, Dow Jones indices, and competitors, as well as revenue growth, operating income, ROIC, and market share (see page 54).</w:t>
      </w:r>
      <w:r>
        <w:br/>
        <w:t xml:space="preserve"/>
      </w:r>
      <w:r>
        <w:br/>
        <w:t xml:space="preserve">In summary, FedEx's executive compensation is competitive with its peer group, both in terms of total compensation and pay-for-performance alignment. The company uses a robust, broad-based peer group for benchmarking, and its CEO and NEO pay levels are consistent with large-cap U.S. and multinational companies.</w:t>
      </w:r>
      <w:r>
        <w:br/>
        <w:t xml:space="preserve"/>
      </w:r>
      <w:r>
        <w:br/>
        <w:t xml:space="preserve">Sources:</w:t>
      </w:r>
      <w:r>
        <w:br/>
        <w:t xml:space="preserve">- Definitive Proxy Statement, August 18, 2025, pages 46, 54, 66, 85, 87, 89.</w:t>
      </w:r>
      <w:r>
        <w:rPr>
          <w:sz w:val="16"/>
          <w:szCs w:val="16"/>
        </w:rPr>
        <w:br/>
        <w:t xml:space="preserve">- Definitive Proxy Statement, Page(s): 5, 46, 52, 54, 66, 85, 86, 87, 89, 90, Date: Aug 18, 2025</w:t>
      </w:r>
      <w:r>
        <w:rPr>
          <w:sz w:val="16"/>
          <w:szCs w:val="16"/>
        </w:rPr>
        <w:br/>
        <w:t xml:space="preserve">- Definitive Proxy Statement, Page(s): 5, 46, 52, 54, 66, 85, 86, 87, 89, 90, Date: Aug 18, 2025</w:t>
      </w:r>
      <w:r>
        <w:rPr>
          <w:sz w:val="16"/>
          <w:szCs w:val="16"/>
        </w:rPr>
        <w:br/>
        <w:t xml:space="preserve">- Definitive Proxy Statement, Page(s): 5, 46, 52, 54, 66, 85, 86, 87, 89, 90, Date: Aug 18, 2025</w:t>
      </w:r>
      <w:r>
        <w:rPr>
          <w:sz w:val="16"/>
          <w:szCs w:val="16"/>
        </w:rPr>
        <w:br/>
        <w:t xml:space="preserve">- Definitive Proxy Statement, Page(s): 5, 46, 52, 54, 66, 85, 86, 87, 89, 90, Date: Aug 18, 2025</w:t>
      </w:r>
      <w:r>
        <w:rPr>
          <w:sz w:val="16"/>
          <w:szCs w:val="16"/>
        </w:rPr>
        <w:br/>
        <w:t xml:space="preserve">- Definitive Proxy Statement, Page(s): 5, 46, 52, 54, 66, 85, 86, 87, 89, 90, Date: Aug 18, 2025</w:t>
      </w:r>
      <w:r>
        <w:rPr>
          <w:sz w:val="16"/>
          <w:szCs w:val="16"/>
        </w:rPr>
        <w:br/>
        <w:t xml:space="preserve">- Definitive Proxy Statement, Page(s): 5, 46, 52, 54, 66, 85, 86, 87, 89, 90, Date: Aug 18, 2025</w:t>
      </w:r>
    </w:p>
    <w:p>
      <w:r>
        <w:rPr>
          <w:b/>
          <w:bCs/>
          <w:u w:val="single"/>
        </w:rPr>
        <w:br/>
        <w:t xml:space="preserve">Do the directors and executive team have experience in this industry?</w:t>
      </w:r>
      <w:r>
        <w:br/>
        <w:t xml:space="preserve">To address your question regarding the industry experience of FedEx Corporation's directors and executive team, I searched the most recent "Definitive Proxy Statement" dated August 18, 2025. This document provides detailed disclosures about the backgrounds, qualifications, and relevant experience of both director nominees and executive officers.</w:t>
      </w:r>
      <w:r>
        <w:br/>
        <w:t xml:space="preserve"/>
      </w:r>
      <w:r>
        <w:br/>
        <w:t xml:space="preserve">The Proxy Statement explicitly states that the Board considers transportation, logistics, and supply chain management experience to be a critical attribute for its members due to its direct relevance to FedEx's business operations. The Board also values international experience, financial expertise, risk management, technological/digital/cybersecurity expertise, and leadership experience, among others, given the company's global footprint and operational complexity (see page 13 and 24).</w:t>
      </w:r>
      <w:r>
        <w:br/>
        <w:t xml:space="preserve"/>
      </w:r>
      <w:r>
        <w:br/>
        <w:t xml:space="preserve">A summary matrix on page 24 highlights that FedEx's director nominees collectively possess significant experience in transportation/logistics/supply chain management, which is directly relevant to the company's core business. The matrix also notes that several directors have international experience, financial expertise, and risk management backgrounds, all of which are essential for overseeing a global logistics company like FedEx. For example, Marvin R. Ellison and R. Brad Martin are specifically identified as audit committee financial experts under SEC rules (page 24).</w:t>
      </w:r>
      <w:r>
        <w:br/>
        <w:t xml:space="preserve"/>
      </w:r>
      <w:r>
        <w:br/>
        <w:t xml:space="preserve">Additionally, individual biographies (pages 17, 19, and 24) detail extensive executive and managerial experience in industries where oversight of safety, compliance, and risk management are mission-critical functions. Several directors have held senior leadership roles at major corporations, including those in transportation, logistics, retail, and energy sectors, further supporting their industry expertise.</w:t>
      </w:r>
      <w:r>
        <w:br/>
        <w:t xml:space="preserve"/>
      </w:r>
      <w:r>
        <w:br/>
        <w:t xml:space="preserve">In summary, the current Board and executive team at FedEx Corporation have substantial and relevant experience in transportation, logistics, supply chain management, and related fields, as well as complementary expertise in finance, risk management, and technology. This breadth of experience is well-documented in the 2025 Proxy Statement and aligns with the company's strategic needs.</w:t>
      </w:r>
      <w:r>
        <w:rPr>
          <w:sz w:val="16"/>
          <w:szCs w:val="16"/>
        </w:rPr>
        <w:br/>
        <w:t xml:space="preserve">- Definitive Proxy Statement, Page(s): 5, 13, 17, 19, 24, 25, Date: Aug 18, 2025</w:t>
      </w:r>
      <w:r>
        <w:rPr>
          <w:sz w:val="16"/>
          <w:szCs w:val="16"/>
        </w:rPr>
        <w:br/>
        <w:t xml:space="preserve">- Definitive Proxy Statement, Page(s): 5, 13, 17, 19, 24, 25, Date: Aug 18, 2025</w:t>
      </w:r>
      <w:r>
        <w:rPr>
          <w:sz w:val="16"/>
          <w:szCs w:val="16"/>
        </w:rPr>
        <w:br/>
        <w:t xml:space="preserve">- Definitive Proxy Statement, Page(s): 5, 13, 17, 19, 24, 25, Date: Aug 18, 2025</w:t>
      </w:r>
      <w:r>
        <w:rPr>
          <w:sz w:val="16"/>
          <w:szCs w:val="16"/>
        </w:rPr>
        <w:br/>
        <w:t xml:space="preserve">- Definitive Proxy Statement, Page(s): 5, 13, 17, 19, 24, 25, Date: Aug 18, 2025</w:t>
      </w:r>
    </w:p>
    <w:p>
      <w:r>
        <w:rPr>
          <w:b/>
          <w:bCs/>
          <w:u w:val="single"/>
        </w:rPr>
        <w:br/>
        <w:t xml:space="preserve">Does the company operate in any high risk jurisdictions?</w:t>
      </w:r>
      <w:r>
        <w:br/>
        <w:t xml:space="preserve">I searched the FedEx Corporation's most recent Annual Report dated July 21, 2025, for information regarding operations in high-risk jurisdictions. The Annual Report provides several relevant disclosures:</w:t>
      </w:r>
      <w:r>
        <w:br/>
        <w:t xml:space="preserve"/>
      </w:r>
      <w:r>
        <w:br/>
        <w:t xml:space="preserve">FedEx operates in more than 220 countries and territories worldwide, which inherently exposes the company to a variety of legal, regulatory, and compliance risks. The report specifically notes that some of FedEx's operations are in "high-risk legal compliance environments," referencing exposure to laws such as the Foreign Corrupt Practices Act (FCPA) and similar anti-bribery regulations in non-U.S. jurisdictions. This means FedEx is subject to heightened risks of litigation, investigations, and penalties in certain countries where regulatory environments are challenging and unpredictable.</w:t>
      </w:r>
      <w:r>
        <w:br/>
        <w:t xml:space="preserve"/>
      </w:r>
      <w:r>
        <w:br/>
        <w:t xml:space="preserve">The Annual Report also highlights that the regulatory environment in many jurisdictions is "increasingly challenging, based on discretionary factors, and difficult to predict." Compliance with all applicable regulations in these jurisdictions presents material obligations and risks, including expanded compliance burdens, costs, and enforcement risks. The company specifically mentions the risk of "significantly expanded compliance burdens, costs, and enforcement risks" in these high-risk jurisdictions, which could adversely affect the cost or attractiveness of the services FedEx offers.</w:t>
      </w:r>
      <w:r>
        <w:br/>
        <w:t xml:space="preserve"/>
      </w:r>
      <w:r>
        <w:br/>
        <w:t xml:space="preserve">Additionally, FedEx is exposed to risks from changes in foreign currency exchange rates in countries such as China, Mexico, Hong Kong, and others, which can affect sales levels and financial results. The company also notes that its right to serve foreign points is subject to approval by U.S. and foreign governments, and regulatory changes can impact its global air network operations.</w:t>
      </w:r>
      <w:r>
        <w:br/>
        <w:t xml:space="preserve"/>
      </w:r>
      <w:r>
        <w:br/>
        <w:t xml:space="preserve">In summary, FedEx does operate in high-risk jurisdictions, particularly those with complex and evolving legal and regulatory environments, and this is a material risk disclosed in their latest Annual Report. However, the report does not provide a detailed breakdown of specific countries considered high-risk, but it does confirm exposure to such environments as part of its global operations.</w:t>
      </w:r>
      <w:r>
        <w:br/>
        <w:t xml:space="preserve"/>
      </w:r>
      <w:r>
        <w:br/>
        <w:t xml:space="preserve">Sources:</w:t>
      </w:r>
      <w:r>
        <w:br/>
        <w:t xml:space="preserve">1. Annual Report, July 21, 2025, page 59</w:t>
      </w:r>
      <w:r>
        <w:br/>
        <w:t xml:space="preserve">2. Annual Report, July 21, 2025, page 59</w:t>
      </w:r>
      <w:r>
        <w:br/>
        <w:t xml:space="preserve">3. Annual Report, July 21, 2025, page 51</w:t>
      </w:r>
      <w:r>
        <w:br/>
        <w:t xml:space="preserve">4. Annual Report, July 21, 2025, page 61</w:t>
      </w:r>
      <w:r>
        <w:rPr>
          <w:sz w:val="16"/>
          <w:szCs w:val="16"/>
        </w:rPr>
        <w:br/>
        <w:t xml:space="preserve">- Annual Report, Page(s): 27, 36, 41, 49, 51, 59, 61, 62, 76, Date: Jul 21, 2025</w:t>
      </w:r>
      <w:r>
        <w:rPr>
          <w:sz w:val="16"/>
          <w:szCs w:val="16"/>
        </w:rPr>
        <w:br/>
        <w:t xml:space="preserve">- Annual Report, Page(s): 27, 36, 41, 49, 51, 59, 61, 62, 76, Date: Jul 21, 2025</w:t>
      </w:r>
      <w:r>
        <w:rPr>
          <w:sz w:val="16"/>
          <w:szCs w:val="16"/>
        </w:rPr>
        <w:br/>
        <w:t xml:space="preserve">- Annual Report, Page(s): 27, 36, 41, 49, 51, 59, 61, 62, 76, Date: Jul 21, 2025</w:t>
      </w:r>
      <w:r>
        <w:rPr>
          <w:sz w:val="16"/>
          <w:szCs w:val="16"/>
        </w:rPr>
        <w:br/>
        <w:t xml:space="preserve">- Annual Report, Page(s): 27, 36, 41, 49, 51, 59, 61, 62, 76, Date: Jul 21, 2025</w:t>
      </w:r>
    </w:p>
    <w:p>
      <w:r>
        <w:rPr>
          <w:b/>
          <w:bCs/>
          <w:u w:val="single"/>
        </w:rPr>
        <w:br/>
        <w:t xml:space="preserve">Do any insiders own stock in the company?</w:t>
      </w:r>
      <w:r>
        <w:br/>
        <w:t xml:space="preserve">To answer your question regarding insider ownership of FedEx Corporation stock, I searched the most recent "Definitive Proxy Statement" dated August 18, 2025. This document provides detailed disclosures about stock ownership by directors, executive officers, and significant shareholders as of August 4, 2025.</w:t>
      </w:r>
      <w:r>
        <w:br/>
        <w:t xml:space="preserve"/>
      </w:r>
      <w:r>
        <w:br/>
        <w:t xml:space="preserve">Insider ownership is clearly disclosed:</w:t>
      </w:r>
      <w:r>
        <w:br/>
        <w:t xml:space="preserve">- The proxy statement includes a table setting forth the amount of FedEx common stock beneficially owned by each director, director nominee, and named executive officer, as well as all directors and executive officers as a group. This includes direct ownership, shares held in trusts, restricted stock, and RSUs, but excludes unexercised stock options.</w:t>
      </w:r>
      <w:r>
        <w:br/>
        <w:t xml:space="preserve">- For example, it is noted that certain shares are held by family trusts (e.g., 42,032 shares by a family trust and 3,363 shares by The Smith Living Trust), indicating insider and related party holdings.</w:t>
      </w:r>
      <w:r>
        <w:br/>
        <w:t xml:space="preserve">- The Estate of Frederick W. Smith, a founder and former executive, is listed as a significant beneficial owner with 18,032,385 shares, representing 7.47% of outstanding shares.</w:t>
      </w:r>
      <w:r>
        <w:br/>
        <w:t xml:space="preserve">- The Board of Directors has established stock ownership goals for directors and senior officers, requiring substantial holdings relative to their compensation (e.g., 6x annual base salary for the CEO and Executive Chairman, 3x for other executive officers).</w:t>
      </w:r>
      <w:r>
        <w:br/>
        <w:t xml:space="preserve">- The company also maintains equity incentive plans that grant stock and stock-based awards to employees and directors, further aligning insider interests with shareholders.</w:t>
      </w:r>
      <w:r>
        <w:br/>
        <w:t xml:space="preserve"/>
      </w:r>
      <w:r>
        <w:br/>
        <w:t xml:space="preserve">In summary, FedEx insiders—including current directors, executive officers, and related trusts—do own significant amounts of company stock, both directly and through equity incentive plans. The proxy statement provides a detailed breakdown of these holdings as of August 2025.</w:t>
      </w:r>
      <w:r>
        <w:br/>
        <w:t xml:space="preserve"/>
      </w:r>
      <w:r>
        <w:br/>
        <w:t xml:space="preserve">Sources:</w:t>
      </w:r>
      <w:r>
        <w:br/>
        <w:t xml:space="preserve">- Definitive Proxy Statement, August 18, 2025, pp. 38, 48, 96, 97</w:t>
      </w:r>
      <w:r>
        <w:rPr>
          <w:sz w:val="16"/>
          <w:szCs w:val="16"/>
        </w:rPr>
        <w:br/>
        <w:t xml:space="preserve">- Definitive Proxy Statement, Page(s): 5, 33, 38, 48, 96, 97, 109, 131, 136, 144, Date: Aug 18, 2025</w:t>
      </w:r>
      <w:r>
        <w:rPr>
          <w:sz w:val="16"/>
          <w:szCs w:val="16"/>
        </w:rPr>
        <w:br/>
        <w:t xml:space="preserve">- Definitive Proxy Statement, Page(s): 5, 33, 38, 48, 96, 97, 109, 131, 136, 144, Date: Aug 18, 2025</w:t>
      </w:r>
      <w:r>
        <w:rPr>
          <w:sz w:val="16"/>
          <w:szCs w:val="16"/>
        </w:rPr>
        <w:br/>
        <w:t xml:space="preserve">- Definitive Proxy Statement, Page(s): 5, 33, 38, 48, 96, 97, 109, 131, 136, 144, Date: Aug 18, 2025</w:t>
      </w:r>
      <w:r>
        <w:rPr>
          <w:sz w:val="16"/>
          <w:szCs w:val="16"/>
        </w:rPr>
        <w:br/>
        <w:t xml:space="preserve">- Definitive Proxy Statement, Page(s): 5, 33, 38, 48, 96, 97, 109, 131, 136, 144, Date: Aug 18, 2025</w:t>
      </w:r>
    </w:p>
    <w:p>
      <w:r>
        <w:rPr>
          <w:b/>
          <w:bCs/>
          <w:u w:val="single"/>
        </w:rPr>
        <w:br/>
        <w:t xml:space="preserve">Do any financial institutions own stock in the company?</w:t>
      </w:r>
      <w:r>
        <w:br/>
        <w:t xml:space="preserve">To answer your question, I searched the most recent FedEx Corporation Definitive Proxy Statement dated August 18, 2025. This document contains detailed disclosures regarding stock ownership, including significant stockholders and institutional ownership.</w:t>
      </w:r>
      <w:r>
        <w:br/>
        <w:t xml:space="preserve"/>
      </w:r>
      <w:r>
        <w:br/>
        <w:t xml:space="preserve">Based on the disclosures in the Proxy Statement, several financial institutions own significant amounts of FedEx Corporation common stock as of August 4, 2025. Specifically, the following financial institutions are listed as beneficial owners of more than 5% of FedEx’s outstanding shares:</w:t>
      </w:r>
      <w:r>
        <w:br/>
        <w:t xml:space="preserve"/>
      </w:r>
      <w:r>
        <w:br/>
        <w:t xml:space="preserve">- The Vanguard Group, Inc. owns 20,483,012 shares, representing 8.68% of the outstanding common stock.</w:t>
      </w:r>
      <w:r>
        <w:br/>
        <w:t xml:space="preserve">- BlackRock, Inc. owns 15,498,779 shares, representing 6.57% of the outstanding common stock.</w:t>
      </w:r>
      <w:r>
        <w:br/>
        <w:t xml:space="preserve">- Dodge &amp; Cox owns 13,572,703 shares, representing 5.75% of the outstanding common stock.</w:t>
      </w:r>
      <w:r>
        <w:br/>
        <w:t xml:space="preserve">- PRIMECAP Management Company owns 11,931,800 shares, representing 5.06% of the outstanding common stock.</w:t>
      </w:r>
      <w:r>
        <w:br/>
        <w:t xml:space="preserve"/>
      </w:r>
      <w:r>
        <w:br/>
        <w:t xml:space="preserve">These entities are all classified as financial institutions under your definition (including mutual funds and investment management firms). The ownership percentages are based on the assumption that each significant stockholder continued to own the number of shares reflected in the table as of August 4, 2025.</w:t>
      </w:r>
      <w:r>
        <w:br/>
        <w:t xml:space="preserve"/>
      </w:r>
      <w:r>
        <w:br/>
        <w:t xml:space="preserve">Additionally, the company engaged with a diverse group of institutional investors, including actively managed funds, index funds, union and public pension funds, and socially responsible investment funds, representing approximately 40% of institutional ownership and 31% of outstanding shares. This further confirms substantial financial institution ownership in FedEx Corporation.</w:t>
      </w:r>
      <w:r>
        <w:br/>
        <w:t xml:space="preserve"/>
      </w:r>
      <w:r>
        <w:br/>
        <w:t xml:space="preserve">Sources:</w:t>
      </w:r>
      <w:r>
        <w:br/>
        <w:t xml:space="preserve">1. Definitive Proxy Statement, August 18, 2025, page 97 (Significant Stockholders table)</w:t>
      </w:r>
      <w:r>
        <w:br/>
        <w:t xml:space="preserve">2. Definitive Proxy Statement, August 18, 2025, page 31 (Stockholder Engagement highlights)</w:t>
      </w:r>
      <w:r>
        <w:rPr>
          <w:sz w:val="16"/>
          <w:szCs w:val="16"/>
        </w:rPr>
        <w:br/>
        <w:t xml:space="preserve">- Definitive Proxy Statement, Page(s): 5, 31, 96, 97, 109, 122, 131, 144, Date: Aug 18, 2025</w:t>
      </w:r>
      <w:r>
        <w:rPr>
          <w:sz w:val="16"/>
          <w:szCs w:val="16"/>
        </w:rPr>
        <w:br/>
        <w:t xml:space="preserve">- Definitive Proxy Statement, Page(s): 5, 31, 96, 97, 109, 122, 131, 144, Date: Aug 18, 2025</w:t>
      </w:r>
    </w:p>
    <w:p>
      <w:r>
        <w:rPr>
          <w:b/>
          <w:bCs/>
          <w:u w:val="single"/>
        </w:rPr>
        <w:br/>
        <w:t xml:space="preserve">Has the company been involved in any lawsuits, litigation or class actions in the last 5 years?</w:t>
      </w:r>
      <w:r>
        <w:br/>
        <w:t xml:space="preserve">To answer your question, I searched FedEx Corporation’s Annual Reports (2023, 2024, 2025), Quarterly Reports (2022–2025), and relevant Current Reports from the last five years. These filings provide detailed disclosures on legal proceedings, lawsuits, and class actions involving the company.</w:t>
      </w:r>
      <w:r>
        <w:br/>
        <w:t xml:space="preserve"/>
      </w:r>
      <w:r>
        <w:br/>
        <w:t xml:space="preserve">FedEx has been involved in multiple lawsuits, litigation, and class actions over the past five years. Notably:</w:t>
      </w:r>
      <w:r>
        <w:br/>
        <w:t xml:space="preserve"/>
      </w:r>
      <w:r>
        <w:br/>
        <w:t xml:space="preserve">1. FedEx Ground Negligence Lawsuit: In December 2022, FedEx Ground was named as a defendant in a Texas state court lawsuit related to the alleged kidnapping and first-degree murder of a minor by a driver employed by a service provider engaged by FedEx Ground. The complaint alleged compensatory and punitive damages for negligent and gross negligent hiring and retention, as well as negligent entrustment. The service provider and driver were also named as defendants. An immaterial loss accrual was recorded, and in February 2025, FedEx reached a settlement for an amount below the accrual. The court approved the settlement and dismissed the case in March 2025. (See sources below)</w:t>
      </w:r>
      <w:r>
        <w:br/>
        <w:t xml:space="preserve"/>
      </w:r>
      <w:r>
        <w:br/>
        <w:t xml:space="preserve">2. Class Action and Wage-and-Hour Litigation: FedEx and its subsidiaries have faced various lawsuits containing class-action allegations of wage-and-hour violations. Plaintiffs in these cases have claimed they were forced to work “off the clock,” were not paid overtime, or were not provided work breaks or other benefits. These lawsuits also include claims that FedEx should be treated as the employer or joint employer of drivers employed by service providers. Management has consistently stated that the aggregate liability from these actions is not expected to have a material adverse effect on the company’s financial position, results of operations, or cash flows. (See sources below)</w:t>
      </w:r>
      <w:r>
        <w:br/>
        <w:t xml:space="preserve"/>
      </w:r>
      <w:r>
        <w:br/>
        <w:t xml:space="preserve">3. Vehicle Accident and Third-Party Loss Litigation: FedEx has been subject to lawsuits alleging responsibility for third-party losses related to vehicle accidents, some of which could exceed the company’s insurance coverage. (See sources below)</w:t>
      </w:r>
      <w:r>
        <w:br/>
        <w:t xml:space="preserve"/>
      </w:r>
      <w:r>
        <w:br/>
        <w:t xml:space="preserve">4. Data Protection and Privacy Litigation: FedEx has disclosed exposure to litigation, including class actions, related to alleged failures to comply with data protection laws and regulations. (See sources below)</w:t>
      </w:r>
      <w:r>
        <w:br/>
        <w:t xml:space="preserve"/>
      </w:r>
      <w:r>
        <w:br/>
        <w:t xml:space="preserve">FedEx’s filings indicate that the company regularly evaluates new and ongoing legal proceedings, including class actions, and accrues or discloses loss contingencies as appropriate. The company’s management does not expect these matters, individually or in the aggregate, to have a material adverse impact on its financial condition, but does acknowledge the possibility of additional material losses in specific cases.</w:t>
      </w:r>
      <w:r>
        <w:br/>
        <w:t xml:space="preserve"/>
      </w:r>
      <w:r>
        <w:br/>
        <w:t xml:space="preserve">Sources:</w:t>
      </w:r>
      <w:r>
        <w:br/>
        <w:t xml:space="preserve">- Quarterly Report, 2025-09-18, p. 24</w:t>
      </w:r>
      <w:r>
        <w:br/>
        <w:t xml:space="preserve">- Annual Report, 2025-07-21, p. 159</w:t>
      </w:r>
      <w:r>
        <w:br/>
        <w:t xml:space="preserve">- Quarterly Report, 2025-03-20, p. 24</w:t>
      </w:r>
      <w:r>
        <w:br/>
        <w:t xml:space="preserve">- Quarterly Report, 2023-12-19, p. 21</w:t>
      </w:r>
      <w:r>
        <w:br/>
        <w:t xml:space="preserve">- Annual Report, 2023-07-17, p. 122</w:t>
      </w:r>
      <w:r>
        <w:rPr>
          <w:sz w:val="16"/>
          <w:szCs w:val="16"/>
        </w:rPr>
        <w:br/>
        <w:t xml:space="preserve">- Quarterly Report, Page(s): 24, 48, Date: Sep 18, 2025</w:t>
      </w:r>
      <w:r>
        <w:rPr>
          <w:sz w:val="16"/>
          <w:szCs w:val="16"/>
        </w:rPr>
        <w:br/>
        <w:t xml:space="preserve">- Annual Report, Page(s): 103, 159, Date: Jul 21, 2025</w:t>
      </w:r>
      <w:r>
        <w:rPr>
          <w:sz w:val="16"/>
          <w:szCs w:val="16"/>
        </w:rPr>
        <w:br/>
        <w:t xml:space="preserve">- Quarterly Report, Page(s): 24, Date: Mar 20, 2025</w:t>
      </w:r>
      <w:r>
        <w:rPr>
          <w:sz w:val="16"/>
          <w:szCs w:val="16"/>
        </w:rPr>
        <w:br/>
        <w:t xml:space="preserve">- Quarterly Report, Page(s): 21, 49, Date: Dec 19, 2023</w:t>
      </w:r>
      <w:r>
        <w:rPr>
          <w:sz w:val="16"/>
          <w:szCs w:val="16"/>
        </w:rPr>
        <w:br/>
        <w:t xml:space="preserve">- Annual Report, Page(s): 41, 76, 122, Date: Jul 17, 2023</w:t>
      </w:r>
    </w:p>
    <w:p>
      <w:r>
        <w:rPr>
          <w:b/>
          <w:bCs/>
          <w:u w:val="single"/>
        </w:rPr>
        <w:br/>
        <w:t xml:space="preserve">Who are the majority shareholders?</w:t>
      </w:r>
      <w:r>
        <w:br/>
        <w:t xml:space="preserve">To answer your question regarding the majority shareholders of FedEx Corporation, I searched the most recent Definitive Proxy Statement (DEF 14A) dated August 18, 2025. This document provides detailed information on significant stockholders and their respective ownership percentages as of August 4, 2025.</w:t>
      </w:r>
      <w:r>
        <w:br/>
        <w:t xml:space="preserve"/>
      </w:r>
      <w:r>
        <w:br/>
        <w:t xml:space="preserve">According to the proxy statement, FedEx does not have a single majority shareholder (i.e., no entity or individual owns more than 50% of the outstanding shares). However, several institutions and individuals are listed as significant shareholders, each owning more than 5% of the company's outstanding common stock:</w:t>
      </w:r>
      <w:r>
        <w:br/>
        <w:t xml:space="preserve"/>
      </w:r>
      <w:r>
        <w:br/>
        <w:t xml:space="preserve">1. The Vanguard Group, Inc. – 20,483,012 shares, representing 8.68% of outstanding shares. Address: 100 Vanguard Boulevard, Malvern, Pennsylvania 19355.</w:t>
      </w:r>
      <w:r>
        <w:br/>
        <w:t xml:space="preserve">2. The Estate of Frederick W. Smith – 18,032,385 shares, representing 7.47% of outstanding shares. Address: 600 Poplar Avenue, Suite 400, Memphis, Tennessee 38119. (Frederick W. Smith is the founder of FedEx.)</w:t>
      </w:r>
      <w:r>
        <w:br/>
        <w:t xml:space="preserve">3. BlackRock, Inc. – 15,498,779 shares, representing 6.57% of outstanding shares. Address: 50 Hudson Yards, New York, New York 10001.</w:t>
      </w:r>
      <w:r>
        <w:br/>
        <w:t xml:space="preserve">4. Dodge &amp; Cox – 13,572,703 shares, representing 5.75% of outstanding shares. Address: 555 California Street, 40th Floor, San Francisco, California 94104.</w:t>
      </w:r>
      <w:r>
        <w:br/>
        <w:t xml:space="preserve">5. PRIMECAP Management Company – 11,931,800 shares, representing 5.06% of outstanding shares. Address: 177 East Colorado Boulevard, 11th Floor, Pasadena, California 91105.</w:t>
      </w:r>
      <w:r>
        <w:br/>
        <w:t xml:space="preserve"/>
      </w:r>
      <w:r>
        <w:br/>
        <w:t xml:space="preserve">No single shareholder or institution controls a majority of the voting power. The ownership is widely distributed among large institutional investors and the estate of the company founder. These figures are based on the assumption that each significant stockholder continued to own the number of shares reflected in the table as of August 4, 2025.</w:t>
      </w:r>
      <w:r>
        <w:br/>
        <w:t xml:space="preserve"/>
      </w:r>
      <w:r>
        <w:br/>
        <w:t xml:space="preserve">Sources:</w:t>
      </w:r>
      <w:r>
        <w:br/>
        <w:t xml:space="preserve">- Definitive Proxy Statement, August 18, 2025, page 97</w:t>
      </w:r>
      <w:r>
        <w:rPr>
          <w:sz w:val="16"/>
          <w:szCs w:val="16"/>
        </w:rPr>
        <w:br/>
        <w:t xml:space="preserve">- Definitive Proxy Statement, Page(s): 8, 12, 96, 97, 113, 121, 144, Date: Aug 18, 2025</w:t>
      </w:r>
    </w:p>
    <w:p>
      <w:r>
        <w:rPr>
          <w:b/>
          <w:bCs/>
          <w:u w:val="single"/>
        </w:rPr>
        <w:br/>
        <w:t xml:space="preserve">What are the company’s stock repurchase plans or recent repurchase activities as disclosed in recent filings?</w:t>
      </w:r>
      <w:r>
        <w:br/>
        <w:t xml:space="preserve">To address your question, I reviewed FedEx Corporation’s most recent Annual Report (July 2025) and Quarterly Reports from December 2024, March 2025, and September 2025. These filings provide detailed disclosures on both recent stock repurchase activities and the company’s current repurchase plans.</w:t>
      </w:r>
      <w:r>
        <w:br/>
        <w:t xml:space="preserve"/>
      </w:r>
      <w:r>
        <w:br/>
        <w:t xml:space="preserve">Recent Repurchase Activities:</w:t>
      </w:r>
      <w:r>
        <w:br/>
        <w:t xml:space="preserve">- In fiscal year 2025 (ended May 31, 2025), FedEx repurchased 10.9 million shares of common stock via accelerated share repurchase (ASR) agreements and open market transactions, at an average price of $274.34 per share, totaling $3.0 billion. (Annual Report, July 2025, p. 78, 95, 126)</w:t>
      </w:r>
      <w:r>
        <w:br/>
        <w:t xml:space="preserve">- In the first half of fiscal 2025, $2.0 billion was spent on repurchases (Quarterly Report, Dec 2024, p. 34, 36), and by the third quarter, cumulative repurchases reached $2.5 billion for 8.9 million shares at an average price of $281.74 per share (Quarterly Report, Mar 2025, p. 47, 49).</w:t>
      </w:r>
      <w:r>
        <w:br/>
        <w:t xml:space="preserve">- In the second quarter of fiscal 2025, $1.0 billion was repurchased (Quarterly Report, Dec 2024, p. 34, 36, 43), including $730 million via ASR and $273 million via open market transactions.</w:t>
      </w:r>
      <w:r>
        <w:br/>
        <w:t xml:space="preserve">- In the third quarter of fiscal 2025, $497 million was repurchased through open market transactions (Quarterly Report, Mar 2025, p. 47, 49).</w:t>
      </w:r>
      <w:r>
        <w:br/>
        <w:t xml:space="preserve">- In the first quarter of fiscal 2026 (ended August 31, 2025), FedEx repurchased $500 million of common stock through open market transactions (Quarterly Report, Sep 2025, p. 44; Annual Report, July 2025, p. 95).</w:t>
      </w:r>
      <w:r>
        <w:br/>
        <w:t xml:space="preserve"/>
      </w:r>
      <w:r>
        <w:br/>
        <w:t xml:space="preserve">Repurchase Plans:</w:t>
      </w:r>
      <w:r>
        <w:br/>
        <w:t xml:space="preserve">- In March 2024, the Board authorized a new $5.0 billion stock repurchase program. As of September 2025, approximately $1.6 billion remained available under this program (Quarterly Report, Sep 2025, p. 50; Annual Report, July 2025, p. 95).</w:t>
      </w:r>
      <w:r>
        <w:br/>
        <w:t xml:space="preserve">- Shares may be repurchased in the open market or via privately negotiated transactions, with no set time limit for completion. The company may suspend or discontinue the program at any time (Quarterly Report, Sep 2025, p. 50; Mar 2025, p. 62).</w:t>
      </w:r>
      <w:r>
        <w:br/>
        <w:t xml:space="preserve">- FedEx expects to continue repurchasing shares during the remainder of fiscal 2026, subject to market conditions, liquidity needs, and other factors (Quarterly Report, Sep 2025, p. 44, 50; Annual Report, July 2025, p. 95).</w:t>
      </w:r>
      <w:r>
        <w:br/>
        <w:t xml:space="preserve"/>
      </w:r>
      <w:r>
        <w:br/>
        <w:t xml:space="preserve">Summary Table of Key Repurchase Figures:</w:t>
      </w:r>
      <w:r>
        <w:br/>
        <w:t xml:space="preserve">| Period                | Shares Repurchased | Total Amount | Avg Price/Share | Method                |</w:t>
      </w:r>
      <w:r>
        <w:br/>
        <w:t xml:space="preserve">|-----------------------|-------------------|--------------|-----------------|-----------------------|</w:t>
      </w:r>
      <w:r>
        <w:br/>
        <w:t xml:space="preserve">| FY2025 (full year)    | 10.9 million      | $3.0 billion | $274.34         | ASR &amp; open market     |</w:t>
      </w:r>
      <w:r>
        <w:br/>
        <w:t xml:space="preserve">| Q2 FY2025             | 3.7 million       | $1.0 billion | $271.39         | ASR &amp; open market     |</w:t>
      </w:r>
      <w:r>
        <w:br/>
        <w:t xml:space="preserve">| Q3 FY2025             | -                 | $497 million | -               | Open market           |</w:t>
      </w:r>
      <w:r>
        <w:br/>
        <w:t xml:space="preserve">| 9M FY2025             | 8.9 million       | $2.5 billion | $281.74         | ASR &amp; open market     |</w:t>
      </w:r>
      <w:r>
        <w:br/>
        <w:t xml:space="preserve">| Q1 FY2026             | -                 | $500 million | -               | Open market           |</w:t>
      </w:r>
      <w:r>
        <w:br/>
        <w:t xml:space="preserve">| Remaining Authorization| -                | $1.6 billion | -               | 2024 program          |</w:t>
      </w:r>
      <w:r>
        <w:br/>
        <w:t xml:space="preserve"/>
      </w:r>
      <w:r>
        <w:br/>
        <w:t xml:space="preserve">FedEx’s filings consistently note that repurchase activity is subject to market conditions and liquidity needs, and that the company retains flexibility to adjust or suspend the program as needed.</w:t>
      </w:r>
      <w:r>
        <w:br/>
        <w:t xml:space="preserve"/>
      </w:r>
      <w:r>
        <w:br/>
        <w:t xml:space="preserve">Sources:</w:t>
      </w:r>
      <w:r>
        <w:br/>
        <w:t xml:space="preserve">- Annual Report, July 21, 2025, pp. 78, 95, 126</w:t>
      </w:r>
      <w:r>
        <w:br/>
        <w:t xml:space="preserve">- Quarterly Report, September 18, 2025, pp. 44, 50</w:t>
      </w:r>
      <w:r>
        <w:br/>
        <w:t xml:space="preserve">- Quarterly Report, March 20, 2025, pp. 47, 49, 62</w:t>
      </w:r>
      <w:r>
        <w:br/>
        <w:t xml:space="preserve">- Quarterly Report, December 19, 2024, pp. 12, 34, 36, 43</w:t>
      </w:r>
      <w:r>
        <w:rPr>
          <w:sz w:val="16"/>
          <w:szCs w:val="16"/>
        </w:rPr>
        <w:br/>
        <w:t xml:space="preserve">- Annual Report, Page(s): 78, 79, 95, 126, Date: Jul 21, 2025</w:t>
      </w:r>
      <w:r>
        <w:rPr>
          <w:sz w:val="16"/>
          <w:szCs w:val="16"/>
        </w:rPr>
        <w:br/>
        <w:t xml:space="preserve">- Annual Report, Page(s): 78, 79, 95, 126, Date: Jul 21, 2025</w:t>
      </w:r>
      <w:r>
        <w:rPr>
          <w:sz w:val="16"/>
          <w:szCs w:val="16"/>
        </w:rPr>
        <w:br/>
        <w:t xml:space="preserve">- Annual Report, Page(s): 78, 79, 95, 126, Date: Jul 21, 2025</w:t>
      </w:r>
      <w:r>
        <w:rPr>
          <w:sz w:val="16"/>
          <w:szCs w:val="16"/>
        </w:rPr>
        <w:br/>
        <w:t xml:space="preserve">- Quarterly Report, Page(s): 44, 50, Date: Sep 18, 2025</w:t>
      </w:r>
      <w:r>
        <w:rPr>
          <w:sz w:val="16"/>
          <w:szCs w:val="16"/>
        </w:rPr>
        <w:br/>
        <w:t xml:space="preserve">- Quarterly Report, Page(s): 44, 50, Date: Sep 18, 2025</w:t>
      </w:r>
      <w:r>
        <w:rPr>
          <w:sz w:val="16"/>
          <w:szCs w:val="16"/>
        </w:rPr>
        <w:br/>
        <w:t xml:space="preserve">- Quarterly Report, Page(s): 15, 47, 49, 62, Date: Mar 20, 2025</w:t>
      </w:r>
      <w:r>
        <w:rPr>
          <w:sz w:val="16"/>
          <w:szCs w:val="16"/>
        </w:rPr>
        <w:br/>
        <w:t xml:space="preserve">- Quarterly Report, Page(s): 15, 47, 49, 62, Date: Mar 20, 2025</w:t>
      </w:r>
      <w:r>
        <w:rPr>
          <w:sz w:val="16"/>
          <w:szCs w:val="16"/>
        </w:rPr>
        <w:br/>
        <w:t xml:space="preserve">- Quarterly Report, Page(s): 15, 47, 49, 62, Date: Mar 20, 2025</w:t>
      </w:r>
      <w:r>
        <w:rPr>
          <w:sz w:val="16"/>
          <w:szCs w:val="16"/>
        </w:rPr>
        <w:br/>
        <w:t xml:space="preserve">- Quarterly Report, Page(s): 12, 34, 36, 43, Date: Dec 19, 2024</w:t>
      </w:r>
      <w:r>
        <w:rPr>
          <w:sz w:val="16"/>
          <w:szCs w:val="16"/>
        </w:rPr>
        <w:br/>
        <w:t xml:space="preserve">- Quarterly Report, Page(s): 12, 34, 36, 43, Date: Dec 19, 2024</w:t>
      </w:r>
      <w:r>
        <w:rPr>
          <w:sz w:val="16"/>
          <w:szCs w:val="16"/>
        </w:rPr>
        <w:br/>
        <w:t xml:space="preserve">- Quarterly Report, Page(s): 12, 34, 36, 43, Date: Dec 19, 2024</w:t>
      </w:r>
      <w:r>
        <w:rPr>
          <w:sz w:val="16"/>
          <w:szCs w:val="16"/>
        </w:rPr>
        <w:br/>
        <w:t xml:space="preserve">- Quarterly Report, Page(s): 12, 34, 36, 43, Date: Dec 19, 2024</w:t>
      </w:r>
    </w:p>
    <w:p>
      <w:pPr>
        <w:sectPr>
          <w:pgSz w:w="11906" w:h="16838" w:orient="portrait"/>
          <w:pgMar w:top="1440" w:right="1440" w:bottom="1440" w:left="1440" w:header="708" w:footer="708" w:gutter="0"/>
          <w:pgNumType/>
          <w:docGrid w:linePitch="360"/>
        </w:sectPr>
      </w:pPr>
    </w:p>
    <w:p>
      <w:r>
        <w:rPr>
          <w:b/>
          <w:bCs/>
          <w:sz w:val="32"/>
          <w:szCs w:val="32"/>
        </w:rPr>
        <w:t xml:space="preserve">Chat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tcPr>
          <w:p>
            <w:r>
              <w:rPr>
                <w:b/>
                <w:bCs/>
              </w:rPr>
              <w:t xml:space="preserve">Role</w:t>
            </w:r>
          </w:p>
        </w:tc>
        <w:tc>
          <w:tcPr>
            <w:tcW w:type="pct" w:w="90%"/>
          </w:tcPr>
          <w:p>
            <w:r>
              <w:rPr>
                <w:b/>
                <w:bCs/>
              </w:rPr>
              <w:t xml:space="preserve">Content</w:t>
            </w:r>
          </w:p>
        </w:tc>
      </w:tr>
      <w:tr>
        <w:tc>
          <w:tcPr>
            <w:gridSpan w:val="2"/>
          </w:tcPr>
          <w:p>
            <w:r>
              <w:t xml:space="preserve">No chat transcript data found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after="200"/>
      <w:ind w:left="403" w:right="403"/>
      <w:jc w:val="center"/>
    </w:pPr>
    <w:r>
      <w:rPr>
        <w:color w:val="808080"/>
        <w:sz w:val="16"/>
        <w:szCs w:val="16"/>
      </w:rPr>
      <w:t xml:space="preserve">The information made available through Copilot uses generative AI. Please be aware this data may contain inaccuracies or omit material information. While useful in supporting underwriting, this data should never substitute human knowledge, judgement, or underwriter decisions.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du9eeql5mpvpzjikjp8qn" Type="http://schemas.openxmlformats.org/officeDocument/2006/relationships/hyperlink" Target="https://directorsandofficers-copilot.lmig.com/retrieve-report?transactionId=d32af5a0-0127-4e60-8118-e3c224f216ef&amp;legacy=false&amp;reportGenerationDate=2025-10-29T15:21:15.565Z" TargetMode="External"/><Relationship Id="rId7" Type="http://schemas.openxmlformats.org/officeDocument/2006/relationships/image" Target="media/fd892904d1618f9f968eaec339fc5af49b862b2b.png"/><Relationship Id="rId8" Type="http://schemas.openxmlformats.org/officeDocument/2006/relationships/image" Target="media/cb95d9f72e32ec2d4ba6c0a10aad8d179493bec1.png"/><Relationship Id="rId9" Type="http://schemas.openxmlformats.org/officeDocument/2006/relationships/image" Target="media/b6ae9bca4df6182b92d3c67321f8f7c9ff4f9a1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2025-10-29T15:29:55.047Z</dcterms:created>
  <dcterms:modified xsi:type="dcterms:W3CDTF">2025-10-29T15:29:55.047Z</dcterms:modified>
</cp:coreProperties>
</file>

<file path=docProps/custom.xml><?xml version="1.0" encoding="utf-8"?>
<Properties xmlns="http://schemas.openxmlformats.org/officeDocument/2006/custom-properties" xmlns:vt="http://schemas.openxmlformats.org/officeDocument/2006/docPropsVTypes"/>
</file>