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Apple Inc. (AAPL)</w:t>
      </w:r>
    </w:p>
    <w:p>
      <w:pPr>
        <w:pStyle w:val="DOBody"/>
      </w:pPr>
      <w:r>
        <w:rPr>
          <w:color w:val="666666"/>
          <w:sz w:val="20"/>
        </w:rPr>
        <w:t>Generated: April 02,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Apple Inc.’s D&amp;O risk profile is dominated by its exceptional governance and financial stability, but elevated by persistent securities litigation, warranting a "WIN" tier placement and aggressive underwriting pursuit. The composite score of 91.3, driven by a clean SEC record, flawless audits, and a governance score above 70, reflects a fundamentally robust defensive posture. However, the elevated claim band (5.18%-7.4% probability) is directly attributable to a 2.46-point deduction for "Prior Litigation," sourced from 70 distinct litigation signals with 100% coverage. A further 2.19-point deduction for "IPO/SPAC/M&amp;A" activity, despite Apple's maturity, captures ongoing integration and antitrust risks from its acquisitive strategy. The inherent risk percentage of 3.31% is materially offset by the lack of financial distress indicators and zero C-suite departures over 18 months. Consequently, Apple’s $3.75 trillion market cap and 150,000 employees present a scale of exposure that demands premium discipline, but its institutional quality mitigates severity risk. The underwriting thesis balances these cross-sectional implications: litigation frequency is a known, priced-in headwind, while the absence of material weaknesses, SEC investigations, and leadership volatility provides a durable defense against systemic governance failures. Therefore, Apple is a must-have account where capacity should be deployed strategically, with pricing anchored to the 7.4% high-end claim probability, not its top-tier composite score.</w:t>
      </w:r>
    </w:p>
    <w:p>
      <w:pPr>
        <w:pStyle w:val="DOHeading1"/>
      </w:pPr>
      <w:r>
        <w:t>Executive Summary</w:t>
      </w:r>
    </w:p>
    <w:p>
      <w:pPr>
        <w:pStyle w:val="DOHeading2"/>
      </w:pPr>
      <w:r>
        <w:t>Underwriting Thesis</w:t>
      </w:r>
    </w:p>
    <w:p>
      <w:pPr>
        <w:pStyle w:val="DOBody"/>
      </w:pPr>
      <w:r>
        <w:rPr>
          <w:color w:val="1A1446"/>
        </w:rPr>
        <w:t>Apple Inc. is a $3.8T (Decile 1 of 10) mega-cap technology company scoring 91/100 (WIN tier). The primary risk driver is Prior Litigation, driving elevated risk in this area. Signal-driven scoring: 70 signals, coverage=100%. At a 5-7% claim probability (3.3% adjusted rate, 0.7x the Technology sector baseline of 5.0%), this account requires primary or low-excess participation.</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Apple Inc.</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AAPL</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Consumer Electronics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$3.8T  [Decile 1 (largest ~400 accounts)]  (Ranks at the 90th percentile among 10 peers)</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$416.2B</w:t>
            </w:r>
          </w:p>
        </w:tc>
        <w:tc>
          <w:tcPr>
            <w:tcW w:type="dxa" w:w="3360"/>
          </w:tcPr>
          <w:p>
            <w:r>
              <w:rPr>
                <w:rFonts w:ascii="Calibri" w:hAnsi="Calibri"/>
                <w:color w:val="333333"/>
                <w:sz w:val="18"/>
              </w:rPr>
              <w:t>[10-K 2025-09-27 CIK320193 accn:0000320193-25-000079, filed 2025-09-27,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150,000</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3571 -- Electronic Computers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45202030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334111</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09-26</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WIN</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91.3/100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91.3/100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2.5, F2: 0.3, F3: 0.8, F4: 2.2, F5: 0.4, F6: 1.3, F7: 0.3, F8: 0.0, F9: 0.7, F10: 0.1</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91.3 falls in WIN range (86-100)</w:t>
            </w:r>
          </w:p>
        </w:tc>
      </w:tr>
      <w:tr>
        <w:tc>
          <w:tcPr>
            <w:tcW w:type="dxa" w:w="5040"/>
            <w:shd w:fill="F2F4F8" w:val="clear"/>
          </w:tcPr>
          <w:p>
            <w:r>
              <w:rPr>
                <w:rFonts w:ascii="Calibri" w:hAnsi="Calibri"/>
                <w:color w:val="333333"/>
                <w:sz w:val="18"/>
              </w:rPr>
              <w:t>Appetite</w:t>
            </w:r>
          </w:p>
        </w:tc>
        <w:tc>
          <w:tcPr>
            <w:tcW w:type="dxa" w:w="5040"/>
            <w:shd w:fill="F2F4F8" w:val="clear"/>
          </w:tcPr>
          <w:p>
            <w:r>
              <w:rPr>
                <w:rFonts w:ascii="Calibri" w:hAnsi="Calibri"/>
                <w:color w:val="333333"/>
                <w:sz w:val="18"/>
              </w:rPr>
              <w:t>Must-have account, compete aggressively</w:t>
            </w:r>
          </w:p>
        </w:tc>
      </w:tr>
    </w:tbl>
    <w:p>
      <w:pPr>
        <w:pStyle w:val="DOBody"/>
      </w:pPr>
      <w:r>
        <w:t>Classification: WIN</w:t>
      </w:r>
      <w:r>
        <w:rPr>
          <w:b/>
          <w:color w:val="2563EB"/>
          <w:sz w:val="18"/>
        </w:rPr>
        <w:t xml:space="preserve"> [MODERATE]</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Technology (Base rate: 5.0%)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7.8%</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0.42x (quality score multiplier) -&gt; 3.3%</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3.3% adjusted claim rate, the company faces 0.7x its sector baseline of 5.0% for Technology companies. This rate reflects the MEGA cap multiplier (1.56x) combined with the quality score multiplier (0.42x from WIN tier classification).</w:t>
      </w:r>
    </w:p>
    <w:p>
      <w:pPr>
        <w:pStyle w:val="DOCaption"/>
      </w:pPr>
      <w:r>
        <w:t>Note: NEEDS CALIBRATION</w:t>
      </w:r>
    </w:p>
    <w:p>
      <w:pPr>
        <w:pStyle w:val="DOHeading3"/>
      </w:pPr>
      <w:r>
        <w:t>Underwriting Headwinds</w:t>
      </w:r>
    </w:p>
    <w:p>
      <w:pPr>
        <w:pStyle w:val="DOBody"/>
      </w:pPr>
      <w:r>
        <w:rPr>
          <w:b/>
        </w:rPr>
        <w:t>1. Structural Complexity &amp; Litigation History</w:t>
      </w:r>
      <w:r>
        <w:rPr>
          <w:b/>
          <w:color w:val="EA580C"/>
          <w:sz w:val="18"/>
        </w:rPr>
        <w:t xml:space="preserve"> [HIGH]</w:t>
      </w:r>
    </w:p>
    <w:p>
      <w:pPr>
        <w:pStyle w:val="DOBody"/>
      </w:pPr>
      <w:r>
        <w:t>Apple Inc. has 24 subsidiaries, increasing multi-jurisdictional litigation exposure. The current docket includes 1 securities class action. With 1 pending matter at $3.8T market cap, Apple Inc. has an active litigation profile that will factor into loss-pick and pricing. (see Litigation)</w:t>
      </w:r>
    </w:p>
    <w:p>
      <w:pPr>
        <w:pStyle w:val="DOBody"/>
      </w:pPr>
      <w:r>
        <w:rPr>
          <w:b/>
        </w:rPr>
        <w:t>2. Earnings Guidance Track Record</w:t>
      </w:r>
      <w:r>
        <w:rPr>
          <w:b/>
          <w:color w:val="EA580C"/>
          <w:sz w:val="18"/>
        </w:rPr>
        <w:t xml:space="preserve"> [HIGH]</w:t>
      </w:r>
    </w:p>
    <w:p>
      <w:pPr>
        <w:pStyle w:val="DOBody"/>
      </w:pPr>
      <w:r>
        <w:t>Apple Inc. has missed earnings guidance in 1 quarter, with management credibility score at 92%. At $3.8T market cap with an estimated DDL of $58.2B, guidance misses generate large absolute loss figures that attract institutional lead plaintiffs. (see Market &amp; Trading)</w:t>
      </w:r>
    </w:p>
    <w:p>
      <w:pPr>
        <w:pStyle w:val="DOBody"/>
      </w:pPr>
      <w:r>
        <w:rPr>
          <w:b/>
        </w:rPr>
        <w:t>3. Stock Price Decline</w:t>
      </w:r>
      <w:r>
        <w:rPr>
          <w:b/>
          <w:color w:val="EAB308"/>
          <w:sz w:val="18"/>
        </w:rPr>
        <w:t xml:space="preserve"> [ELEVATED]</w:t>
      </w:r>
    </w:p>
    <w:p>
      <w:pPr>
        <w:pStyle w:val="DOBody"/>
      </w:pPr>
      <w:r>
        <w:t>Apple Inc.'s stock has undergone a -11% dip of -11.4% from $288.62 to $255.63 over 252 trading days. This creates an estimated Disclosure Dollar Loss (DDL) of $58.2B, among the largest potential DDL exposures in the market. (see Market &amp; Trading)</w:t>
      </w:r>
    </w:p>
    <w:p>
      <w:pPr>
        <w:pStyle w:val="DOBody"/>
      </w:pPr>
      <w:r>
        <w:rPr>
          <w:b/>
        </w:rPr>
        <w:t>4. Transaction-Related Exposure</w:t>
      </w:r>
      <w:r>
        <w:rPr>
          <w:b/>
          <w:color w:val="EAB308"/>
          <w:sz w:val="18"/>
        </w:rPr>
        <w:t xml:space="preserve"> [ELEVATED]</w:t>
      </w:r>
    </w:p>
    <w:p>
      <w:pPr>
        <w:pStyle w:val="DOBody"/>
      </w:pPr>
      <w:r>
        <w:t>Apple Inc. has transaction-related risk factors. At $3.8T market cap, transaction claims carry both Section 10(b) exposure (misleading disclosures) and Section 14(a) exposure (deficient proxy statements).</w:t>
      </w:r>
    </w:p>
    <w:p>
      <w:pPr>
        <w:pStyle w:val="DOBody"/>
      </w:pPr>
      <w:r>
        <w:rPr>
          <w:b/>
        </w:rPr>
        <w:t>5. Stock Volatility</w:t>
      </w:r>
      <w:r>
        <w:rPr>
          <w:b/>
          <w:color w:val="EAB308"/>
          <w:sz w:val="18"/>
        </w:rPr>
        <w:t xml:space="preserve"> [ELEVATED]</w:t>
      </w:r>
    </w:p>
    <w:p>
      <w:pPr>
        <w:pStyle w:val="DOBody"/>
      </w:pPr>
      <w:r>
        <w:t>Apple Inc.'s stock exhibits elevated volatility with a -11% dip of -11.4% from its 52-week high. The estimated DDL of $58.2B amplifies settlement severity for any corrective disclosure event. (see Market &amp; Trading)</w:t>
      </w:r>
    </w:p>
    <w:p>
      <w:pPr>
        <w:pStyle w:val="DOHeading3"/>
      </w:pPr>
      <w:r>
        <w:t>Risk Mitigants</w:t>
      </w:r>
    </w:p>
    <w:p>
      <w:pPr>
        <w:pStyle w:val="DOBody"/>
      </w:pPr>
      <w:r>
        <w:rPr>
          <w:b/>
        </w:rPr>
        <w:t>1. Clean Regulatory Record</w:t>
      </w:r>
    </w:p>
    <w:p>
      <w:pPr>
        <w:pStyle w:val="DOBody"/>
      </w:pPr>
      <w:r>
        <w:t>Apple Inc. has no active SEC enforcement pipeline activity, open investigations, or pending Wells Notices. A clean regulatory record for Apple Inc. eliminates the highest-severity D&amp;O claim catalyst and supports favorable underwriting consideration. (see Litigation)</w:t>
      </w:r>
    </w:p>
    <w:p>
      <w:pPr>
        <w:pStyle w:val="DOBody"/>
      </w:pPr>
      <w:r>
        <w:rPr>
          <w:b/>
        </w:rPr>
        <w:t>2. Clean Audit &amp; Accounting History</w:t>
      </w:r>
    </w:p>
    <w:p>
      <w:pPr>
        <w:pStyle w:val="DOBody"/>
      </w:pPr>
      <w:r>
        <w:t>Apple Inc. maintains a clean audit opinion from Ernst &amp; Young (tenure: 17 years) with no material weaknesses, restatements, or going concern qualifications. The 17-year relationship with Ernst &amp; Young provides audit continuity that reduces the likelihood of restatement-driven class actions. (see Financial Health)</w:t>
      </w:r>
    </w:p>
    <w:p>
      <w:pPr>
        <w:pStyle w:val="DOBody"/>
      </w:pPr>
      <w:r>
        <w:rPr>
          <w:b/>
        </w:rPr>
        <w:t>3. Strong Board Governance</w:t>
      </w:r>
    </w:p>
    <w:p>
      <w:pPr>
        <w:pStyle w:val="DOBody"/>
      </w:pPr>
      <w:r>
        <w:t>Board governance is strong. Ernst &amp; Young serves as external auditor with a clean opinion and no material weaknesses. (see Governance)</w:t>
      </w:r>
    </w:p>
    <w:p>
      <w:pPr>
        <w:pStyle w:val="DOBody"/>
      </w:pPr>
      <w:r>
        <w:rPr>
          <w:b/>
        </w:rPr>
        <w:t>4. Sound Financial Position</w:t>
      </w:r>
    </w:p>
    <w:p>
      <w:pPr>
        <w:pStyle w:val="DOBody"/>
      </w:pPr>
      <w:r>
        <w:t>No financial distress indicators present (Altman Z-Score of 10.16, D/E of 1.23, current ratio of 0.9x). An Altman Z of 10.16 places Apple Inc. firmly in the safe zone, eliminating going-concern, covenant violation, and creditor-related D&amp;O exposure. (see Financial Health)</w:t>
      </w:r>
    </w:p>
    <w:p>
      <w:pPr>
        <w:pStyle w:val="DOBody"/>
      </w:pPr>
      <w:r>
        <w:rPr>
          <w:b/>
        </w:rPr>
        <w:t>5. Stable Executive Leadership</w:t>
      </w:r>
    </w:p>
    <w:p>
      <w:pPr>
        <w:pStyle w:val="DOBody"/>
      </w:pPr>
      <w:r>
        <w:t>C-suite leadership is stable with Mr. Timothy D. Cook leading the organization and no recent departures. (see Governance)</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5.2% - 7.4%</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$143.0M</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$298.3M</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$621.5M</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$1.3B</w:t>
            </w:r>
          </w:p>
        </w:tc>
      </w:tr>
    </w:tbl>
    <w:p>
      <w:pPr>
        <w:pStyle w:val="DOBody"/>
      </w:pPr>
      <w:r>
        <w:t>Probability Band: ELEVATED</w:t>
      </w:r>
      <w:r>
        <w:rPr>
          <w:b/>
          <w:color w:val="EA580C"/>
          <w:sz w:val="18"/>
        </w:rPr>
        <w:t xml:space="preserve"> [HIGH]</w:t>
      </w:r>
    </w:p>
    <w:p>
      <w:pPr>
        <w:pStyle w:val="DOBody"/>
      </w:pPr>
      <w:r>
        <w:t>The 5-7% probability band represents approximately 1x the Technology sector base rate of 5.0%. Accounts in WIN tier historically produce claims at elevated frequency. Industry base rate: 5.0%. Tier WIN (0-2%): Below base rate. Strong risk profile reduces claim probability below industry average. NEEDS CALIBRATION: Probability estimates are indicative and require actuarial validation per SECT7-11. Enhanced frequency: 9.00% base x 0.82 hazard x 1.00 signal = 7.40%.</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$248.6M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Company Overview</w:t>
        <w:br/>
        <w:t>Apple Inc. is a $3.76 trillion market cap technology company that designs, manufactures, and markets the iPhone, Mac, iPad, and Wearables, and sells services including advertising, cloud, and payment platforms. With 150,000 employees and 45 years as a public company, its operational scale and brand dominance create immense scrutiny on every strategic decision made by its board and officers, elevating fiduciary duty expectations.</w:t>
        <w:br/>
        <w:br/>
        <w:t>Revenue Model</w:t>
        <w:br/>
        <w:t>Revenue is split between hardware and a high-margin Services segment; a single failed product cycle or antitrust action against the Services "walled garden" could break the high-margin recurring revenue engine that supports its valuation and trigger shareholder claims for strategic misrepresentation. The model's critical vulnerability is iPhone cyclicality juxtaposed with regulatory pressure on its 30% App Store commission, a key profit driver from its $85B+ annual Services revenue.</w:t>
        <w:br/>
        <w:br/>
        <w:t>D&amp;O Risk Profile</w:t>
        <w:br/>
        <w:t>The primary D&amp;O exposure is global antitrust scrutiny from jurisdictions including the Americas, Europe, and Greater China, specifically that the board's strategic defense of its iOS ecosystem will generate direct shareholder claims for oversight failure. Secondary exposure is concentrated in Greater China, which represents nearly 20% of revenue; a geopolitical supply chain or market access decision by the board could instantly crater billions in value, inviting derivative suits. The company's "MEGA" risk classification and status as a Large Accelerated Filer guarantee that any material misstep will be litigated at scale, as seen in its exposure to Transaction, IP, and Employment litigation risks.</w:t>
      </w:r>
    </w:p>
    <w:p>
      <w:pPr>
        <w:pStyle w:val="DOHeading1"/>
      </w:pPr>
      <w:r>
        <w:t>Section 2: Company Profile</w:t>
      </w:r>
    </w:p>
    <w:p>
      <w:pPr>
        <w:pStyle w:val="DOBody"/>
      </w:pPr>
      <w:r>
        <w:rPr>
          <w:rFonts w:ascii="Calibri" w:hAnsi="Calibri"/>
          <w:color w:val="333333"/>
          <w:sz w:val="20"/>
        </w:rPr>
        <w:t>Apple Inc. operates in the Consumer Electronics industry. The company has 150,000 employees and $3757.2B market cap. Key D&amp;O exposure factors include: Regulatory Multi Jurisdiction, Employment Litigation Risk, Transaction Litigation Risk.</w:t>
      </w:r>
      <w:r>
        <w:rPr>
          <w:rFonts w:ascii="Consolas" w:hAnsi="Consolas"/>
          <w:color w:val="666666"/>
          <w:sz w:val="16"/>
        </w:rPr>
        <w:t xml:space="preserve">  [derived:section_summary, 2026-04-02,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Apple Inc.</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AAPL</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320193</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3571</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Electronic Computers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45202030</w:t>
            </w:r>
          </w:p>
        </w:tc>
        <w:tc>
          <w:tcPr>
            <w:tcW w:type="dxa" w:w="3360"/>
          </w:tcPr>
          <w:p>
            <w:r>
              <w:rPr>
                <w:rFonts w:ascii="Calibri" w:hAnsi="Calibri"/>
                <w:color w:val="333333"/>
                <w:sz w:val="18"/>
              </w:rPr>
              <w:t>[SIC-&gt;GICS mapping (SIC 3571), filed 2026-04-02,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334111</w:t>
            </w:r>
          </w:p>
        </w:tc>
        <w:tc>
          <w:tcPr>
            <w:tcW w:type="dxa" w:w="3360"/>
            <w:shd w:fill="F2F4F8" w:val="clear"/>
          </w:tcPr>
          <w:p>
            <w:r>
              <w:rPr>
                <w:rFonts w:ascii="Calibri" w:hAnsi="Calibri"/>
                <w:color w:val="333333"/>
                <w:sz w:val="18"/>
              </w:rPr>
              <w:t>[SIC-&gt;NAICS crosswalk (SIC 3571), filed 2026-04-02,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CA</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09-26</w:t>
            </w:r>
          </w:p>
        </w:tc>
        <w:tc>
          <w:tcPr>
            <w:tcW w:type="dxa" w:w="3360"/>
            <w:shd w:fill="F2F4F8" w:val="clear"/>
          </w:tcPr>
          <w:p>
            <w:r>
              <w:rPr>
                <w:rFonts w:ascii="Calibri" w:hAnsi="Calibri"/>
                <w:color w:val="333333"/>
                <w:sz w:val="18"/>
              </w:rPr>
              <w:t>[SEC EDGAR submissions, filed 2026-04-02, HIGH confidence]</w:t>
            </w:r>
          </w:p>
        </w:tc>
      </w:tr>
    </w:tbl>
    <w:p>
      <w:pPr>
        <w:pStyle w:val="DOHeading2"/>
      </w:pPr>
      <w:r>
        <w:t>Business Description</w:t>
      </w:r>
    </w:p>
    <w:p>
      <w:pPr>
        <w:pStyle w:val="DOBody"/>
      </w:pPr>
      <w:r>
        <w:rPr>
          <w:rFonts w:ascii="Calibri" w:hAnsi="Calibri"/>
          <w:color w:val="333333"/>
          <w:sz w:val="20"/>
        </w:rPr>
        <w:t>Apple Inc. designs, manufactures, and markets smartphones, personal computers, tablets, wearables, and accessories, and sells a variety of related services. The company generates revenue primarily through the sale of hardware products (iPhone, Mac, iPad, Wearables, Home and Accessories) and services (advertising, AppleCare, cloud services, digital content, payment services). Apple operates globally with sales outside the U.S. representing a majority of total net sales. It employs a direct and indirect distribution model, with indirect channels accounting for 60% of total net sales in 2025. The company's profitability is driven by high-margin services and innovative product design, supported by a large portfolio of intellectual property and significant research and development investments.</w:t>
      </w:r>
      <w:r>
        <w:rPr>
          <w:rFonts w:ascii="Consolas" w:hAnsi="Consolas"/>
          <w:color w:val="666666"/>
          <w:sz w:val="16"/>
        </w:rPr>
        <w:t xml:space="preserve">  [10-K (LLM), filed 2026-04-02, HIGH confidence]</w:t>
      </w:r>
    </w:p>
    <w:p>
      <w:pPr>
        <w:pStyle w:val="DOHeading2"/>
      </w:pPr>
      <w:r>
        <w:t>Subsidiaries</w:t>
      </w:r>
    </w:p>
    <w:p>
      <w:pPr>
        <w:pStyle w:val="DOBody"/>
      </w:pPr>
      <w:r>
        <w:rPr>
          <w:rFonts w:ascii="Calibri" w:hAnsi="Calibri"/>
          <w:color w:val="333333"/>
          <w:sz w:val="20"/>
        </w:rPr>
        <w:t>Total subsidiaries: 24</w:t>
      </w:r>
      <w:r>
        <w:rPr>
          <w:rFonts w:ascii="Consolas" w:hAnsi="Consolas"/>
          <w:color w:val="666666"/>
          <w:sz w:val="16"/>
        </w:rPr>
        <w:t xml:space="preserve">  [Exhibit 21 (subsidiary list), filed 2026-04-02, HIGH confidence]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HYBRID</w:t>
            </w:r>
          </w:p>
        </w:tc>
      </w:tr>
      <w:tr>
        <w:tc>
          <w:tcPr>
            <w:tcW w:type="dxa" w:w="5040"/>
            <w:shd w:fill="F2F4F8" w:val="clear"/>
          </w:tcPr>
          <w:p>
            <w:r>
              <w:rPr>
                <w:rFonts w:ascii="Calibri" w:hAnsi="Calibri"/>
                <w:color w:val="333333"/>
                <w:sz w:val="18"/>
              </w:rPr>
              <w:t>Concentration Risk</w:t>
            </w:r>
          </w:p>
        </w:tc>
        <w:tc>
          <w:tcPr>
            <w:tcW w:type="dxa" w:w="5040"/>
            <w:shd w:fill="F2F4F8" w:val="clear"/>
          </w:tcPr>
          <w:p>
            <w:r>
              <w:rPr>
                <w:rFonts w:ascii="Calibri" w:hAnsi="Calibri"/>
                <w:color w:val="333333"/>
                <w:sz w:val="18"/>
              </w:rPr>
              <w:t>LOW (Score: 1/3) - Single geography 43%</w:t>
            </w:r>
          </w:p>
        </w:tc>
      </w:tr>
      <w:tr>
        <w:tc>
          <w:tcPr>
            <w:tcW w:type="dxa" w:w="5040"/>
          </w:tcPr>
          <w:p>
            <w:r>
              <w:rPr>
                <w:rFonts w:ascii="Calibri" w:hAnsi="Calibri"/>
                <w:color w:val="333333"/>
                <w:sz w:val="18"/>
              </w:rPr>
              <w:t>Key Person Risk</w:t>
            </w:r>
          </w:p>
        </w:tc>
        <w:tc>
          <w:tcPr>
            <w:tcW w:type="dxa" w:w="5040"/>
          </w:tcPr>
          <w:p>
            <w:r>
              <w:rPr>
                <w:rFonts w:ascii="Calibri" w:hAnsi="Calibri"/>
                <w:color w:val="333333"/>
                <w:sz w:val="18"/>
              </w:rPr>
              <w:t>LOW (Score: 0/3)</w:t>
            </w:r>
          </w:p>
        </w:tc>
      </w:tr>
      <w:tr>
        <w:tc>
          <w:tcPr>
            <w:tcW w:type="dxa" w:w="5040"/>
            <w:shd w:fill="F2F4F8" w:val="clear"/>
          </w:tcPr>
          <w:p>
            <w:r>
              <w:rPr>
                <w:rFonts w:ascii="Calibri" w:hAnsi="Calibri"/>
                <w:color w:val="333333"/>
                <w:sz w:val="18"/>
              </w:rPr>
              <w:t>Disruption Risk</w:t>
            </w:r>
          </w:p>
        </w:tc>
        <w:tc>
          <w:tcPr>
            <w:tcW w:type="dxa" w:w="5040"/>
            <w:shd w:fill="F2F4F8" w:val="clear"/>
          </w:tcPr>
          <w:p>
            <w:r>
              <w:rPr>
                <w:rFonts w:ascii="Calibri" w:hAnsi="Calibri"/>
                <w:color w:val="333333"/>
                <w:sz w:val="18"/>
              </w:rPr>
              <w:t>HIGH (5 threats) - Competitors imitating product features and infringing intellectual property.; Rapid technological advancements and short product life cycles.; Aggressive price competition and downward pressure on margins.; New and emerging technologies like AI introducing legal, regulatory, and ethical risks.; Regulatory changes requiring modifications to products and services.</w:t>
            </w:r>
          </w:p>
        </w:tc>
      </w:tr>
    </w:tbl>
    <w:p>
      <w:pPr>
        <w:pStyle w:val="DOHeading3"/>
      </w:pPr>
      <w:r>
        <w:t>Segment Lifecycle</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Segment</w:t>
            </w:r>
          </w:p>
        </w:tc>
        <w:tc>
          <w:tcPr>
            <w:tcW w:type="dxa" w:w="3360"/>
            <w:shd w:fill="1A1446" w:val="clear"/>
          </w:tcPr>
          <w:p>
            <w:r>
              <w:rPr>
                <w:rFonts w:ascii="Calibri" w:hAnsi="Calibri"/>
                <w:b/>
                <w:color w:val="FFFFFF"/>
                <w:sz w:val="18"/>
              </w:rPr>
              <w:t>Stage</w:t>
            </w:r>
          </w:p>
        </w:tc>
        <w:tc>
          <w:tcPr>
            <w:tcW w:type="dxa" w:w="3360"/>
            <w:shd w:fill="1A1446" w:val="clear"/>
          </w:tcPr>
          <w:p>
            <w:r>
              <w:rPr>
                <w:rFonts w:ascii="Calibri" w:hAnsi="Calibri"/>
                <w:b/>
                <w:color w:val="FFFFFF"/>
                <w:sz w:val="18"/>
              </w:rPr>
              <w:t>Growth Rate</w:t>
            </w:r>
          </w:p>
        </w:tc>
      </w:tr>
      <w:tr>
        <w:tc>
          <w:tcPr>
            <w:tcW w:type="dxa" w:w="3360"/>
          </w:tcPr>
          <w:p>
            <w:r>
              <w:rPr>
                <w:rFonts w:ascii="Calibri" w:hAnsi="Calibri"/>
                <w:color w:val="333333"/>
                <w:sz w:val="18"/>
              </w:rPr>
              <w:t>iPhone</w:t>
            </w:r>
          </w:p>
        </w:tc>
        <w:tc>
          <w:tcPr>
            <w:tcW w:type="dxa" w:w="3360"/>
          </w:tcPr>
          <w:p>
            <w:r>
              <w:rPr>
                <w:rFonts w:ascii="Calibri" w:hAnsi="Calibri"/>
                <w:color w:val="333333"/>
                <w:sz w:val="18"/>
              </w:rPr>
              <w:t>GROWTH</w:t>
            </w:r>
          </w:p>
        </w:tc>
        <w:tc>
          <w:tcPr>
            <w:tcW w:type="dxa" w:w="3360"/>
          </w:tcPr>
          <w:p>
            <w:r>
              <w:rPr>
                <w:rFonts w:ascii="Calibri" w:hAnsi="Calibri"/>
                <w:color w:val="333333"/>
                <w:sz w:val="18"/>
              </w:rPr>
              <w:t>4.0%</w:t>
            </w:r>
          </w:p>
        </w:tc>
      </w:tr>
      <w:tr>
        <w:tc>
          <w:tcPr>
            <w:tcW w:type="dxa" w:w="3360"/>
            <w:shd w:fill="F2F4F8" w:val="clear"/>
          </w:tcPr>
          <w:p>
            <w:r>
              <w:rPr>
                <w:rFonts w:ascii="Calibri" w:hAnsi="Calibri"/>
                <w:color w:val="333333"/>
                <w:sz w:val="18"/>
              </w:rPr>
              <w:t>Mac</w:t>
            </w:r>
          </w:p>
        </w:tc>
        <w:tc>
          <w:tcPr>
            <w:tcW w:type="dxa" w:w="3360"/>
            <w:shd w:fill="F2F4F8" w:val="clear"/>
          </w:tcPr>
          <w:p>
            <w:r>
              <w:rPr>
                <w:rFonts w:ascii="Calibri" w:hAnsi="Calibri"/>
                <w:color w:val="333333"/>
                <w:sz w:val="18"/>
              </w:rPr>
              <w:t>GROWTH</w:t>
            </w:r>
          </w:p>
        </w:tc>
        <w:tc>
          <w:tcPr>
            <w:tcW w:type="dxa" w:w="3360"/>
            <w:shd w:fill="F2F4F8" w:val="clear"/>
          </w:tcPr>
          <w:p>
            <w:r>
              <w:rPr>
                <w:rFonts w:ascii="Calibri" w:hAnsi="Calibri"/>
                <w:color w:val="333333"/>
                <w:sz w:val="18"/>
              </w:rPr>
              <w:t>12.0%</w:t>
            </w:r>
          </w:p>
        </w:tc>
      </w:tr>
      <w:tr>
        <w:tc>
          <w:tcPr>
            <w:tcW w:type="dxa" w:w="3360"/>
          </w:tcPr>
          <w:p>
            <w:r>
              <w:rPr>
                <w:rFonts w:ascii="Calibri" w:hAnsi="Calibri"/>
                <w:color w:val="333333"/>
                <w:sz w:val="18"/>
              </w:rPr>
              <w:t>iPad</w:t>
            </w:r>
          </w:p>
        </w:tc>
        <w:tc>
          <w:tcPr>
            <w:tcW w:type="dxa" w:w="3360"/>
          </w:tcPr>
          <w:p>
            <w:r>
              <w:rPr>
                <w:rFonts w:ascii="Calibri" w:hAnsi="Calibri"/>
                <w:color w:val="333333"/>
                <w:sz w:val="18"/>
              </w:rPr>
              <w:t>GROWTH</w:t>
            </w:r>
          </w:p>
        </w:tc>
        <w:tc>
          <w:tcPr>
            <w:tcW w:type="dxa" w:w="3360"/>
          </w:tcPr>
          <w:p>
            <w:r>
              <w:rPr>
                <w:rFonts w:ascii="Calibri" w:hAnsi="Calibri"/>
                <w:color w:val="333333"/>
                <w:sz w:val="18"/>
              </w:rPr>
              <w:t>5.0%</w:t>
            </w:r>
          </w:p>
        </w:tc>
      </w:tr>
      <w:tr>
        <w:tc>
          <w:tcPr>
            <w:tcW w:type="dxa" w:w="3360"/>
            <w:shd w:fill="F2F4F8" w:val="clear"/>
          </w:tcPr>
          <w:p>
            <w:r>
              <w:rPr>
                <w:rFonts w:ascii="Calibri" w:hAnsi="Calibri"/>
                <w:color w:val="333333"/>
                <w:sz w:val="18"/>
              </w:rPr>
              <w:t>Wearables, Home and Accessories</w:t>
            </w:r>
          </w:p>
        </w:tc>
        <w:tc>
          <w:tcPr>
            <w:tcW w:type="dxa" w:w="3360"/>
            <w:shd w:fill="F2F4F8" w:val="clear"/>
          </w:tcPr>
          <w:p>
            <w:r>
              <w:rPr>
                <w:rFonts w:ascii="Calibri" w:hAnsi="Calibri"/>
                <w:color w:val="333333"/>
                <w:sz w:val="18"/>
              </w:rPr>
              <w:t>DECLINING</w:t>
            </w:r>
          </w:p>
        </w:tc>
        <w:tc>
          <w:tcPr>
            <w:tcW w:type="dxa" w:w="3360"/>
            <w:shd w:fill="F2F4F8" w:val="clear"/>
          </w:tcPr>
          <w:p>
            <w:r>
              <w:rPr>
                <w:rFonts w:ascii="Calibri" w:hAnsi="Calibri"/>
                <w:color w:val="333333"/>
                <w:sz w:val="18"/>
              </w:rPr>
              <w:t>-4.0%</w:t>
            </w:r>
          </w:p>
        </w:tc>
      </w:tr>
      <w:tr>
        <w:tc>
          <w:tcPr>
            <w:tcW w:type="dxa" w:w="3360"/>
          </w:tcPr>
          <w:p>
            <w:r>
              <w:rPr>
                <w:rFonts w:ascii="Calibri" w:hAnsi="Calibri"/>
                <w:color w:val="333333"/>
                <w:sz w:val="18"/>
              </w:rPr>
              <w:t>Services</w:t>
            </w:r>
          </w:p>
        </w:tc>
        <w:tc>
          <w:tcPr>
            <w:tcW w:type="dxa" w:w="3360"/>
          </w:tcPr>
          <w:p>
            <w:r>
              <w:rPr>
                <w:rFonts w:ascii="Calibri" w:hAnsi="Calibri"/>
                <w:color w:val="333333"/>
                <w:sz w:val="18"/>
              </w:rPr>
              <w:t>GROWTH</w:t>
            </w:r>
          </w:p>
        </w:tc>
        <w:tc>
          <w:tcPr>
            <w:tcW w:type="dxa" w:w="3360"/>
          </w:tcPr>
          <w:p>
            <w:r>
              <w:rPr>
                <w:rFonts w:ascii="Calibri" w:hAnsi="Calibri"/>
                <w:color w:val="333333"/>
                <w:sz w:val="18"/>
              </w:rPr>
              <w:t>14.0%</w:t>
            </w:r>
          </w:p>
        </w:tc>
      </w:tr>
    </w:tbl>
    <w:p>
      <w:pPr>
        <w:pStyle w:val="DOHeading2"/>
      </w:pPr>
      <w:r>
        <w:t>Operational Complexity</w:t>
      </w:r>
    </w:p>
    <w:p>
      <w:pPr>
        <w:pStyle w:val="DOBody"/>
      </w:pPr>
      <w:r>
        <w:rPr>
          <w:b/>
        </w:rPr>
        <w:t>Complexity Score: 150000/20 --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14 (5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150,000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4</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8/100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 ] Holding Depth  |  [ ]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LOW (Score: 0/4) | 0 acquisition years</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- 45 years public</w:t>
            </w:r>
          </w:p>
        </w:tc>
      </w:tr>
    </w:tbl>
    <w:p>
      <w:pPr>
        <w:pStyle w:val="DOBody"/>
      </w:pPr>
      <w:r>
        <w:rPr>
          <w:b/>
        </w:rPr>
        <w:t>Business Changes:</w:t>
      </w:r>
    </w:p>
    <w:p>
      <w:pPr>
        <w:pStyle w:val="DOBody"/>
      </w:pPr>
      <w:r>
        <w:t xml:space="preserve">  - 10 current event filings (8-K), most recent 2026-02-24</w:t>
      </w:r>
    </w:p>
    <w:p>
      <w:pPr>
        <w:pStyle w:val="DOBody"/>
      </w:pPr>
      <w:r>
        <w:t xml:space="preserve">  - M&amp;A activity indicated (acquisition)</w:t>
      </w:r>
    </w:p>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$2.7T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34%</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38%</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16%</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8%</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40%</w:t>
            </w:r>
          </w:p>
        </w:tc>
      </w:tr>
      <w:tr>
        <w:tc>
          <w:tcPr>
            <w:tcW w:type="dxa" w:w="2016"/>
            <w:shd w:fill="F2F4F8" w:val="clear"/>
          </w:tcPr>
          <w:p>
            <w:r>
              <w:rPr>
                <w:rFonts w:ascii="Calibri" w:hAnsi="Calibri"/>
                <w:color w:val="333333"/>
                <w:sz w:val="18"/>
              </w:rPr>
              <w:t>CRM</w:t>
            </w:r>
          </w:p>
        </w:tc>
        <w:tc>
          <w:tcPr>
            <w:tcW w:type="dxa" w:w="2016"/>
            <w:shd w:fill="F2F4F8" w:val="clear"/>
          </w:tcPr>
          <w:p>
            <w:r>
              <w:rPr>
                <w:rFonts w:ascii="Calibri" w:hAnsi="Calibri"/>
                <w:color w:val="333333"/>
                <w:sz w:val="18"/>
              </w:rPr>
              <w:t>Salesforce, Inc.</w:t>
            </w:r>
          </w:p>
        </w:tc>
        <w:tc>
          <w:tcPr>
            <w:tcW w:type="dxa" w:w="2016"/>
            <w:shd w:fill="F2F4F8" w:val="clear"/>
          </w:tcPr>
          <w:p>
            <w:r>
              <w:rPr>
                <w:rFonts w:ascii="Calibri" w:hAnsi="Calibri"/>
                <w:color w:val="333333"/>
                <w:sz w:val="18"/>
              </w:rPr>
              <w:t>$174.5B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12%</w:t>
            </w:r>
          </w:p>
        </w:tc>
      </w:tr>
      <w:tr>
        <w:tc>
          <w:tcPr>
            <w:tcW w:type="dxa" w:w="2016"/>
          </w:tcPr>
          <w:p>
            <w:r>
              <w:rPr>
                <w:rFonts w:ascii="Calibri" w:hAnsi="Calibri"/>
                <w:color w:val="333333"/>
                <w:sz w:val="18"/>
              </w:rPr>
              <w:t>ADBE</w:t>
            </w:r>
          </w:p>
        </w:tc>
        <w:tc>
          <w:tcPr>
            <w:tcW w:type="dxa" w:w="2016"/>
          </w:tcPr>
          <w:p>
            <w:r>
              <w:rPr>
                <w:rFonts w:ascii="Calibri" w:hAnsi="Calibri"/>
                <w:color w:val="333333"/>
                <w:sz w:val="18"/>
              </w:rPr>
              <w:t>Adobe Inc.</w:t>
            </w:r>
          </w:p>
        </w:tc>
        <w:tc>
          <w:tcPr>
            <w:tcW w:type="dxa" w:w="2016"/>
          </w:tcPr>
          <w:p>
            <w:r>
              <w:rPr>
                <w:rFonts w:ascii="Calibri" w:hAnsi="Calibri"/>
                <w:color w:val="333333"/>
                <w:sz w:val="18"/>
              </w:rPr>
              <w:t>$98.4B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13%</w:t>
            </w:r>
          </w:p>
        </w:tc>
      </w:tr>
      <w:tr>
        <w:tc>
          <w:tcPr>
            <w:tcW w:type="dxa" w:w="2016"/>
            <w:shd w:fill="F2F4F8" w:val="clear"/>
          </w:tcPr>
          <w:p>
            <w:r>
              <w:rPr>
                <w:rFonts w:ascii="Calibri" w:hAnsi="Calibri"/>
                <w:color w:val="333333"/>
                <w:sz w:val="18"/>
              </w:rPr>
              <w:t>ORCL</w:t>
            </w:r>
          </w:p>
        </w:tc>
        <w:tc>
          <w:tcPr>
            <w:tcW w:type="dxa" w:w="2016"/>
            <w:shd w:fill="F2F4F8" w:val="clear"/>
          </w:tcPr>
          <w:p>
            <w:r>
              <w:rPr>
                <w:rFonts w:ascii="Calibri" w:hAnsi="Calibri"/>
                <w:color w:val="333333"/>
                <w:sz w:val="18"/>
              </w:rPr>
              <w:t>Oracle Corporation</w:t>
            </w:r>
          </w:p>
        </w:tc>
        <w:tc>
          <w:tcPr>
            <w:tcW w:type="dxa" w:w="2016"/>
            <w:shd w:fill="F2F4F8" w:val="clear"/>
          </w:tcPr>
          <w:p>
            <w:r>
              <w:rPr>
                <w:rFonts w:ascii="Calibri" w:hAnsi="Calibri"/>
                <w:color w:val="333333"/>
                <w:sz w:val="18"/>
              </w:rPr>
              <w:t>$417.7B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14%</w:t>
            </w:r>
          </w:p>
        </w:tc>
      </w:tr>
      <w:tr>
        <w:tc>
          <w:tcPr>
            <w:tcW w:type="dxa" w:w="2016"/>
          </w:tcPr>
          <w:p>
            <w:r>
              <w:rPr>
                <w:rFonts w:ascii="Calibri" w:hAnsi="Calibri"/>
                <w:color w:val="333333"/>
                <w:sz w:val="18"/>
              </w:rPr>
              <w:t>CSCO</w:t>
            </w:r>
          </w:p>
        </w:tc>
        <w:tc>
          <w:tcPr>
            <w:tcW w:type="dxa" w:w="2016"/>
          </w:tcPr>
          <w:p>
            <w:r>
              <w:rPr>
                <w:rFonts w:ascii="Calibri" w:hAnsi="Calibri"/>
                <w:color w:val="333333"/>
                <w:sz w:val="18"/>
              </w:rPr>
              <w:t>Cisco Systems, Inc.</w:t>
            </w:r>
          </w:p>
        </w:tc>
        <w:tc>
          <w:tcPr>
            <w:tcW w:type="dxa" w:w="2016"/>
          </w:tcPr>
          <w:p>
            <w:r>
              <w:rPr>
                <w:rFonts w:ascii="Calibri" w:hAnsi="Calibri"/>
                <w:color w:val="333333"/>
                <w:sz w:val="18"/>
              </w:rPr>
              <w:t>$307.9B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13%</w:t>
            </w:r>
          </w:p>
        </w:tc>
      </w:tr>
      <w:tr>
        <w:tc>
          <w:tcPr>
            <w:tcW w:type="dxa" w:w="2016"/>
            <w:shd w:fill="F2F4F8" w:val="clear"/>
          </w:tcPr>
          <w:p>
            <w:r>
              <w:rPr>
                <w:rFonts w:ascii="Calibri" w:hAnsi="Calibri"/>
                <w:color w:val="333333"/>
                <w:sz w:val="18"/>
              </w:rPr>
              <w:t>INTC</w:t>
            </w:r>
          </w:p>
        </w:tc>
        <w:tc>
          <w:tcPr>
            <w:tcW w:type="dxa" w:w="2016"/>
            <w:shd w:fill="F2F4F8" w:val="clear"/>
          </w:tcPr>
          <w:p>
            <w:r>
              <w:rPr>
                <w:rFonts w:ascii="Calibri" w:hAnsi="Calibri"/>
                <w:color w:val="333333"/>
                <w:sz w:val="18"/>
              </w:rPr>
              <w:t>Intel Corporation</w:t>
            </w:r>
          </w:p>
        </w:tc>
        <w:tc>
          <w:tcPr>
            <w:tcW w:type="dxa" w:w="2016"/>
            <w:shd w:fill="F2F4F8" w:val="clear"/>
          </w:tcPr>
          <w:p>
            <w:r>
              <w:rPr>
                <w:rFonts w:ascii="Calibri" w:hAnsi="Calibri"/>
                <w:color w:val="333333"/>
                <w:sz w:val="18"/>
              </w:rPr>
              <w:t>$241.2B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bl>
    <w:p>
      <w:pPr>
        <w:pStyle w:val="DOBody"/>
      </w:pPr>
      <w:r>
        <w:rPr>
          <w:rFonts w:ascii="Calibri" w:hAnsi="Calibri"/>
          <w:color w:val="333333"/>
          <w:sz w:val="20"/>
        </w:rPr>
        <w:t>The peer group of 10 companies shares the same industry classification (SIC 3571). Apple Inc. ranks at the 90th percentile among 10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Americas</w:t>
            </w:r>
          </w:p>
        </w:tc>
        <w:tc>
          <w:tcPr>
            <w:tcW w:type="dxa" w:w="3360"/>
          </w:tcPr>
          <w:p>
            <w:r>
              <w:rPr>
                <w:rFonts w:ascii="Calibri" w:hAnsi="Calibri"/>
                <w:color w:val="333333"/>
                <w:sz w:val="18"/>
              </w:rPr>
              <w:t>N/A</w:t>
            </w:r>
          </w:p>
        </w:tc>
        <w:tc>
          <w:tcPr>
            <w:tcW w:type="dxa" w:w="3360"/>
          </w:tcPr>
          <w:p>
            <w:r>
              <w:rPr>
                <w:rFonts w:ascii="Calibri" w:hAnsi="Calibri"/>
                <w:color w:val="333333"/>
                <w:sz w:val="18"/>
              </w:rPr>
              <w:t>$178,353 million (42.9%)</w:t>
            </w:r>
          </w:p>
        </w:tc>
      </w:tr>
      <w:tr>
        <w:tc>
          <w:tcPr>
            <w:tcW w:type="dxa" w:w="3360"/>
            <w:shd w:fill="F2F4F8" w:val="clear"/>
          </w:tcPr>
          <w:p>
            <w:r>
              <w:rPr>
                <w:rFonts w:ascii="Calibri" w:hAnsi="Calibri"/>
                <w:color w:val="333333"/>
                <w:sz w:val="18"/>
              </w:rPr>
              <w:t>Europe</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$111,032 million (26.7%)</w:t>
            </w:r>
          </w:p>
        </w:tc>
      </w:tr>
      <w:tr>
        <w:tc>
          <w:tcPr>
            <w:tcW w:type="dxa" w:w="3360"/>
          </w:tcPr>
          <w:p>
            <w:r>
              <w:rPr>
                <w:rFonts w:ascii="Calibri" w:hAnsi="Calibri"/>
                <w:color w:val="333333"/>
                <w:sz w:val="18"/>
              </w:rPr>
              <w:t>Greater China [HIGH RISK]</w:t>
            </w:r>
          </w:p>
        </w:tc>
        <w:tc>
          <w:tcPr>
            <w:tcW w:type="dxa" w:w="3360"/>
          </w:tcPr>
          <w:p>
            <w:r>
              <w:rPr>
                <w:rFonts w:ascii="Calibri" w:hAnsi="Calibri"/>
                <w:color w:val="333333"/>
                <w:sz w:val="18"/>
              </w:rPr>
              <w:t>N/A</w:t>
            </w:r>
          </w:p>
        </w:tc>
        <w:tc>
          <w:tcPr>
            <w:tcW w:type="dxa" w:w="3360"/>
          </w:tcPr>
          <w:p>
            <w:r>
              <w:rPr>
                <w:rFonts w:ascii="Calibri" w:hAnsi="Calibri"/>
                <w:color w:val="333333"/>
                <w:sz w:val="18"/>
              </w:rPr>
              <w:t>$64,377 million (15.5%)</w:t>
            </w:r>
          </w:p>
        </w:tc>
      </w:tr>
      <w:tr>
        <w:tc>
          <w:tcPr>
            <w:tcW w:type="dxa" w:w="3360"/>
            <w:shd w:fill="F2F4F8" w:val="clear"/>
          </w:tcPr>
          <w:p>
            <w:r>
              <w:rPr>
                <w:rFonts w:ascii="Calibri" w:hAnsi="Calibri"/>
                <w:color w:val="333333"/>
                <w:sz w:val="18"/>
              </w:rPr>
              <w:t>Rest of Asia Pacific</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$33,696 million (8.1%)</w:t>
            </w:r>
          </w:p>
        </w:tc>
      </w:tr>
      <w:tr>
        <w:tc>
          <w:tcPr>
            <w:tcW w:type="dxa" w:w="3360"/>
          </w:tcPr>
          <w:p>
            <w:r>
              <w:rPr>
                <w:rFonts w:ascii="Calibri" w:hAnsi="Calibri"/>
                <w:color w:val="333333"/>
                <w:sz w:val="18"/>
              </w:rPr>
              <w:t>Japan</w:t>
            </w:r>
          </w:p>
        </w:tc>
        <w:tc>
          <w:tcPr>
            <w:tcW w:type="dxa" w:w="3360"/>
          </w:tcPr>
          <w:p>
            <w:r>
              <w:rPr>
                <w:rFonts w:ascii="Calibri" w:hAnsi="Calibri"/>
                <w:color w:val="333333"/>
                <w:sz w:val="18"/>
              </w:rPr>
              <w:t>N/A</w:t>
            </w:r>
          </w:p>
        </w:tc>
        <w:tc>
          <w:tcPr>
            <w:tcW w:type="dxa" w:w="3360"/>
          </w:tcPr>
          <w:p>
            <w:r>
              <w:rPr>
                <w:rFonts w:ascii="Calibri" w:hAnsi="Calibri"/>
                <w:color w:val="333333"/>
                <w:sz w:val="18"/>
              </w:rPr>
              <w:t>$28,703 million (6.9%)</w:t>
            </w:r>
          </w:p>
        </w:tc>
      </w:tr>
    </w:tbl>
    <w:p>
      <w:pPr>
        <w:pStyle w:val="DOBody"/>
      </w:pPr>
      <w:r>
        <w:rPr>
          <w:b/>
        </w:rPr>
        <w:t>D&amp;O Alert: Operations in high-risk jurisdictions: Greater China. Sanctions compliance and regulatory exposure elevated.</w:t>
      </w:r>
      <w:r>
        <w:rPr>
          <w:b/>
          <w:color w:val="EA580C"/>
          <w:sz w:val="18"/>
        </w:rPr>
        <w:t xml:space="preserve"> [HIGH]</w:t>
      </w:r>
    </w:p>
    <w:p>
      <w:pPr>
        <w:pStyle w:val="DOHeading2"/>
      </w:pPr>
      <w:r>
        <w:t>Customer &amp; Supplier Concentration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Customer</w:t>
            </w:r>
          </w:p>
        </w:tc>
        <w:tc>
          <w:tcPr>
            <w:tcW w:type="dxa" w:w="3360"/>
            <w:shd w:fill="1A1446" w:val="clear"/>
          </w:tcPr>
          <w:p>
            <w:r>
              <w:rPr>
                <w:rFonts w:ascii="Calibri" w:hAnsi="Calibri"/>
                <w:b/>
                <w:color w:val="FFFFFF"/>
                <w:sz w:val="18"/>
              </w:rPr>
              <w:t>% of Revenue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One customer represented 12% of total trade receivables as of September 27, 2025.</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2026-04-02, HIGH]</w:t>
            </w:r>
          </w:p>
        </w:tc>
      </w:tr>
      <w:tr>
        <w:tc>
          <w:tcPr>
            <w:tcW w:type="dxa" w:w="3360"/>
            <w:shd w:fill="F2F4F8" w:val="clear"/>
          </w:tcPr>
          <w:p>
            <w:r>
              <w:rPr>
                <w:rFonts w:ascii="Calibri" w:hAnsi="Calibri"/>
                <w:color w:val="333333"/>
                <w:sz w:val="18"/>
              </w:rPr>
              <w:t>Third-party cellular network carriers accounted for 34% of total trade receivables as of September 27, 2025.</w:t>
            </w:r>
          </w:p>
        </w:tc>
        <w:tc>
          <w:tcPr>
            <w:tcW w:type="dxa" w:w="3360"/>
            <w:shd w:fill="F2F4F8" w:val="clear"/>
          </w:tcPr>
          <w:p>
            <w:r>
              <w:rPr>
                <w:rFonts w:ascii="Calibri" w:hAnsi="Calibri"/>
                <w:color w:val="333333"/>
                <w:sz w:val="18"/>
              </w:rPr>
              <w:t>0.0%</w:t>
            </w:r>
          </w:p>
        </w:tc>
        <w:tc>
          <w:tcPr>
            <w:tcW w:type="dxa" w:w="3360"/>
            <w:shd w:fill="F2F4F8" w:val="clear"/>
          </w:tcPr>
          <w:p>
            <w:r>
              <w:rPr>
                <w:rFonts w:ascii="Calibri" w:hAnsi="Calibri"/>
                <w:color w:val="333333"/>
                <w:sz w:val="18"/>
              </w:rPr>
              <w:t>[10-K (LLM), 2026-04-02, HIGH]</w:t>
            </w:r>
          </w:p>
        </w:tc>
      </w:tr>
    </w:tbl>
    <w:p>
      <w:pPr>
        <w:pStyle w:val="DOHeading3"/>
      </w:pPr>
      <w:r>
        <w:t>Key Suppliers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Supplier</w:t>
            </w:r>
          </w:p>
        </w:tc>
        <w:tc>
          <w:tcPr>
            <w:tcW w:type="dxa" w:w="3360"/>
            <w:shd w:fill="1A1446" w:val="clear"/>
          </w:tcPr>
          <w:p>
            <w:r>
              <w:rPr>
                <w:rFonts w:ascii="Calibri" w:hAnsi="Calibri"/>
                <w:b/>
                <w:color w:val="FFFFFF"/>
                <w:sz w:val="18"/>
              </w:rPr>
              <w:t>Dependency</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Certain components are obtained from single or limited sources.</w:t>
            </w:r>
          </w:p>
        </w:tc>
        <w:tc>
          <w:tcPr>
            <w:tcW w:type="dxa" w:w="3360"/>
          </w:tcPr>
          <w:p>
            <w:r>
              <w:rPr>
                <w:rFonts w:ascii="Calibri" w:hAnsi="Calibri"/>
                <w:color w:val="333333"/>
                <w:sz w:val="18"/>
              </w:rPr>
              <w:t>N/A</w:t>
            </w:r>
          </w:p>
        </w:tc>
        <w:tc>
          <w:tcPr>
            <w:tcW w:type="dxa" w:w="3360"/>
          </w:tcPr>
          <w:p>
            <w:r>
              <w:rPr>
                <w:rFonts w:ascii="Calibri" w:hAnsi="Calibri"/>
                <w:color w:val="333333"/>
                <w:sz w:val="18"/>
              </w:rPr>
              <w:t>[10-K (LLM), 2026-04-02, HIGH]</w:t>
            </w:r>
          </w:p>
        </w:tc>
      </w:tr>
      <w:tr>
        <w:tc>
          <w:tcPr>
            <w:tcW w:type="dxa" w:w="3360"/>
            <w:shd w:fill="F2F4F8" w:val="clear"/>
          </w:tcPr>
          <w:p>
            <w:r>
              <w:rPr>
                <w:rFonts w:ascii="Calibri" w:hAnsi="Calibri"/>
                <w:color w:val="333333"/>
                <w:sz w:val="18"/>
              </w:rPr>
              <w:t>Substantially all hardware products are manufactured by outsourcing partners located primarily in China mainland, India, Japan, South Korea, Taiwan, and Vietnam.</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[10-K (LLM), 2026-04-02, HIGH]</w:t>
            </w:r>
          </w:p>
        </w:tc>
      </w:tr>
      <w:tr>
        <w:tc>
          <w:tcPr>
            <w:tcW w:type="dxa" w:w="3360"/>
          </w:tcPr>
          <w:p>
            <w:r>
              <w:rPr>
                <w:rFonts w:ascii="Calibri" w:hAnsi="Calibri"/>
                <w:color w:val="333333"/>
                <w:sz w:val="18"/>
              </w:rPr>
              <w:t>As of September 27, 2025, two vendors individually represented 46% and 23% of total vendor non-trade receivables.</w:t>
            </w:r>
          </w:p>
        </w:tc>
        <w:tc>
          <w:tcPr>
            <w:tcW w:type="dxa" w:w="3360"/>
          </w:tcPr>
          <w:p>
            <w:r>
              <w:rPr>
                <w:rFonts w:ascii="Calibri" w:hAnsi="Calibri"/>
                <w:color w:val="333333"/>
                <w:sz w:val="18"/>
              </w:rPr>
              <w:t>N/A</w:t>
            </w:r>
          </w:p>
        </w:tc>
        <w:tc>
          <w:tcPr>
            <w:tcW w:type="dxa" w:w="3360"/>
          </w:tcPr>
          <w:p>
            <w:r>
              <w:rPr>
                <w:rFonts w:ascii="Calibri" w:hAnsi="Calibri"/>
                <w:color w:val="333333"/>
                <w:sz w:val="18"/>
              </w:rPr>
              <w:t>[10-K (LLM), 2026-04-02, HIGH]</w:t>
            </w:r>
          </w:p>
        </w:tc>
      </w:tr>
    </w:tbl>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 (TECH)</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45</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9.0%</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$150.0M -- $500.0M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$563.6B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1.80x</w:t>
            </w:r>
          </w:p>
        </w:tc>
      </w:tr>
    </w:tbl>
    <w:p>
      <w:pPr>
        <w:pStyle w:val="DOHeading2"/>
      </w:pPr>
      <w:r>
        <w:t>Hazard Profile (Inherent Exposure Score)</w:t>
      </w:r>
    </w:p>
    <w:p>
      <w:pPr>
        <w:pStyle w:val="DOBody"/>
      </w:pPr>
      <w:r>
        <w:rPr>
          <w:b/>
        </w:rPr>
        <w:t>IES: 32/100 (LOW) | Multiplier: 0.82x | Data Coverage: 87%</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Technology Platform Dependency</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Platform dependency: 5 mentions (sector: ); Estimated from related indicators.</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83</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Multiple OBS indicators: FINANCIAL: Global and regional economic conditions, OPERATIONAL: Dependence on component and product manufacturing by outsourcing partners, FINANCIAL: Inventory and asset write-downs and purchase commitment cancellation risk; Estimated from related indicators.</w:t>
            </w:r>
          </w:p>
        </w:tc>
      </w:tr>
      <w:tr>
        <w:tc>
          <w:tcPr>
            <w:tcW w:type="dxa" w:w="2520"/>
          </w:tcPr>
          <w:p>
            <w:r>
              <w:rPr>
                <w:rFonts w:ascii="Calibri" w:hAnsi="Calibri"/>
                <w:color w:val="333333"/>
                <w:sz w:val="18"/>
              </w:rPr>
              <w:t>Industry Regulatory Spotlight</w:t>
            </w:r>
          </w:p>
        </w:tc>
        <w:tc>
          <w:tcPr>
            <w:tcW w:type="dxa" w:w="2520"/>
          </w:tcPr>
          <w:p>
            <w:r>
              <w:rPr>
                <w:rFonts w:ascii="Calibri" w:hAnsi="Calibri"/>
                <w:color w:val="333333"/>
                <w:sz w:val="18"/>
              </w:rPr>
              <w:t>83</w:t>
            </w:r>
          </w:p>
        </w:tc>
        <w:tc>
          <w:tcPr>
            <w:tcW w:type="dxa" w:w="2520"/>
          </w:tcPr>
          <w:p>
            <w:r>
              <w:rPr>
                <w:rFonts w:ascii="Calibri" w:hAnsi="Calibri"/>
                <w:color w:val="333333"/>
                <w:sz w:val="18"/>
              </w:rPr>
              <w:t>CRITICAL</w:t>
            </w:r>
          </w:p>
        </w:tc>
        <w:tc>
          <w:tcPr>
            <w:tcW w:type="dxa" w:w="2520"/>
          </w:tcPr>
          <w:p>
            <w:r>
              <w:rPr>
                <w:rFonts w:ascii="Calibri" w:hAnsi="Calibri"/>
                <w:color w:val="333333"/>
                <w:sz w:val="18"/>
              </w:rPr>
              <w:t>Sector 'TECH' regulatory spotlight level: 2.5/3.0</w:t>
            </w:r>
          </w:p>
        </w:tc>
      </w:tr>
      <w:tr>
        <w:tc>
          <w:tcPr>
            <w:tcW w:type="dxa" w:w="2520"/>
            <w:shd w:fill="F2F4F8" w:val="clear"/>
          </w:tcPr>
          <w:p>
            <w:r>
              <w:rPr>
                <w:rFonts w:ascii="Calibri" w:hAnsi="Calibri"/>
                <w:color w:val="333333"/>
                <w:sz w:val="18"/>
              </w:rPr>
              <w:t>Industry Sector Risk Tier</w:t>
            </w:r>
          </w:p>
        </w:tc>
        <w:tc>
          <w:tcPr>
            <w:tcW w:type="dxa" w:w="2520"/>
            <w:shd w:fill="F2F4F8" w:val="clear"/>
          </w:tcPr>
          <w:p>
            <w:r>
              <w:rPr>
                <w:rFonts w:ascii="Calibri" w:hAnsi="Calibri"/>
                <w:color w:val="333333"/>
                <w:sz w:val="18"/>
              </w:rPr>
              <w:t>70</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Sector 'TECH' maps to risk score 7.0/10.0</w:t>
            </w:r>
          </w:p>
        </w:tc>
      </w:tr>
      <w:tr>
        <w:tc>
          <w:tcPr>
            <w:tcW w:type="dxa" w:w="2520"/>
          </w:tcPr>
          <w:p>
            <w:r>
              <w:rPr>
                <w:rFonts w:ascii="Calibri" w:hAnsi="Calibri"/>
                <w:color w:val="333333"/>
                <w:sz w:val="18"/>
              </w:rPr>
              <w:t>Industry Expertise Match</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No executives with explicit TECH background in bios</w:t>
            </w:r>
          </w:p>
        </w:tc>
      </w:tr>
      <w:tr>
        <w:tc>
          <w:tcPr>
            <w:tcW w:type="dxa" w:w="2520"/>
            <w:shd w:fill="F2F4F8" w:val="clear"/>
          </w:tcPr>
          <w:p>
            <w:r>
              <w:rPr>
                <w:rFonts w:ascii="Calibri" w:hAnsi="Calibri"/>
                <w:color w:val="333333"/>
                <w:sz w:val="18"/>
              </w:rPr>
              <w:t>Combined CEO / Board Chair</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CEO and Chair roles combined -- concentrated authority</w:t>
            </w:r>
          </w:p>
        </w:tc>
      </w:tr>
      <w:tr>
        <w:tc>
          <w:tcPr>
            <w:tcW w:type="dxa" w:w="2520"/>
          </w:tcPr>
          <w:p>
            <w:r>
              <w:rPr>
                <w:rFonts w:ascii="Calibri" w:hAnsi="Calibri"/>
                <w:color w:val="333333"/>
                <w:sz w:val="18"/>
              </w:rPr>
              <w:t>Industry Litigation Wave</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Sector 'TECH' litigation wave level: 2.0/3.0</w:t>
            </w:r>
          </w:p>
        </w:tc>
      </w:tr>
      <w:tr>
        <w:tc>
          <w:tcPr>
            <w:tcW w:type="dxa" w:w="2520"/>
            <w:shd w:fill="F2F4F8" w:val="clear"/>
          </w:tcPr>
          <w:p>
            <w:r>
              <w:rPr>
                <w:rFonts w:ascii="Calibri" w:hAnsi="Calibri"/>
                <w:color w:val="333333"/>
                <w:sz w:val="18"/>
              </w:rPr>
              <w:t>Regulatory Intensity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'TECH' regulatory intensity: 2.5/5.0</w:t>
            </w:r>
          </w:p>
        </w:tc>
      </w:tr>
      <w:tr>
        <w:tc>
          <w:tcPr>
            <w:tcW w:type="dxa" w:w="2520"/>
          </w:tcPr>
          <w:p>
            <w:r>
              <w:rPr>
                <w:rFonts w:ascii="Calibri" w:hAnsi="Calibri"/>
                <w:color w:val="333333"/>
                <w:sz w:val="18"/>
              </w:rPr>
              <w:t>IP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IP keyword hits: REGULATORY: Complex and changing laws and regulations worldwide, OPERATIONAL: Dependence on third-party intellectual property; Estimated from related indicators.</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Goodwill-Heavy Balance Sheet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Method of Going Public</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Geopolitical Risk</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5 geographic regions (moderate international exposure)</w:t>
            </w:r>
          </w:p>
        </w:tc>
      </w:tr>
      <w:tr>
        <w:tc>
          <w:tcPr>
            <w:tcW w:type="dxa" w:w="2520"/>
            <w:shd w:fill="F2F4F8" w:val="clear"/>
          </w:tcPr>
          <w:p>
            <w:r>
              <w:rPr>
                <w:rFonts w:ascii="Calibri" w:hAnsi="Calibri"/>
                <w:color w:val="333333"/>
                <w:sz w:val="18"/>
              </w:rPr>
              <w:t>Cybersecurity Governance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Moderate cybersecurity disclosure (3 mentions); Estimated from related indicators.</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Elevated Co-occurrence (1.09x): 7 dimensions scoring above 60% threshold</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Technology Platform Dependency</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Platform dependency: 5 mentions (sector: )</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83</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Multiple OBS indicators: FINANCIAL: Global and regional economic conditions, OPERATIONAL: Dependence on component and product manufacturing by outsourcing partners, FINANCIAL: Inventory and asset write-downs and purchase commitment cancellation risk</w:t>
            </w:r>
          </w:p>
        </w:tc>
      </w:tr>
      <w:tr>
        <w:tc>
          <w:tcPr>
            <w:tcW w:type="dxa" w:w="2016"/>
          </w:tcPr>
          <w:p>
            <w:r>
              <w:rPr>
                <w:rFonts w:ascii="Calibri" w:hAnsi="Calibri"/>
                <w:color w:val="333333"/>
                <w:sz w:val="18"/>
              </w:rPr>
              <w:t>Industry Regulatory Spotlight</w:t>
            </w:r>
          </w:p>
        </w:tc>
        <w:tc>
          <w:tcPr>
            <w:tcW w:type="dxa" w:w="2016"/>
          </w:tcPr>
          <w:p>
            <w:r>
              <w:rPr>
                <w:rFonts w:ascii="Calibri" w:hAnsi="Calibri"/>
                <w:color w:val="333333"/>
                <w:sz w:val="18"/>
              </w:rPr>
              <w:t>83</w:t>
            </w:r>
          </w:p>
        </w:tc>
        <w:tc>
          <w:tcPr>
            <w:tcW w:type="dxa" w:w="2016"/>
          </w:tcPr>
          <w:p>
            <w:r>
              <w:rPr>
                <w:rFonts w:ascii="Calibri" w:hAnsi="Calibri"/>
                <w:color w:val="333333"/>
                <w:sz w:val="18"/>
              </w:rPr>
              <w:t>CRITICAL</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'TECH' regulatory spotlight level: 2.5/3.0</w:t>
            </w:r>
          </w:p>
        </w:tc>
      </w:tr>
      <w:tr>
        <w:tc>
          <w:tcPr>
            <w:tcW w:type="dxa" w:w="2016"/>
            <w:shd w:fill="F2F4F8" w:val="clear"/>
          </w:tcPr>
          <w:p>
            <w:r>
              <w:rPr>
                <w:rFonts w:ascii="Calibri" w:hAnsi="Calibri"/>
                <w:color w:val="333333"/>
                <w:sz w:val="18"/>
              </w:rPr>
              <w:t>Industry Sector Risk Tier</w:t>
            </w:r>
          </w:p>
        </w:tc>
        <w:tc>
          <w:tcPr>
            <w:tcW w:type="dxa" w:w="2016"/>
            <w:shd w:fill="F2F4F8" w:val="clear"/>
          </w:tcPr>
          <w:p>
            <w:r>
              <w:rPr>
                <w:rFonts w:ascii="Calibri" w:hAnsi="Calibri"/>
                <w:color w:val="333333"/>
                <w:sz w:val="18"/>
              </w:rPr>
              <w:t>70</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'TECH' maps to risk score 7.0/10.0</w:t>
            </w:r>
          </w:p>
        </w:tc>
      </w:tr>
      <w:tr>
        <w:tc>
          <w:tcPr>
            <w:tcW w:type="dxa" w:w="2016"/>
          </w:tcPr>
          <w:p>
            <w:r>
              <w:rPr>
                <w:rFonts w:ascii="Calibri" w:hAnsi="Calibri"/>
                <w:color w:val="333333"/>
                <w:sz w:val="18"/>
              </w:rPr>
              <w:t>Industry Expertise Match</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executives with explicit TECH background in bios</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combined -- concentrated authority</w:t>
            </w:r>
          </w:p>
        </w:tc>
      </w:tr>
      <w:tr>
        <w:tc>
          <w:tcPr>
            <w:tcW w:type="dxa" w:w="2016"/>
          </w:tcPr>
          <w:p>
            <w:r>
              <w:rPr>
                <w:rFonts w:ascii="Calibri" w:hAnsi="Calibri"/>
                <w:color w:val="333333"/>
                <w:sz w:val="18"/>
              </w:rPr>
              <w:t>Industry Litigation Wave</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'TECH' litigation wave level: 2.0/3.0</w:t>
            </w:r>
          </w:p>
        </w:tc>
      </w:tr>
      <w:tr>
        <w:tc>
          <w:tcPr>
            <w:tcW w:type="dxa" w:w="2016"/>
            <w:shd w:fill="F2F4F8" w:val="clear"/>
          </w:tcPr>
          <w:p>
            <w:r>
              <w:rPr>
                <w:rFonts w:ascii="Calibri" w:hAnsi="Calibri"/>
                <w:color w:val="333333"/>
                <w:sz w:val="18"/>
              </w:rPr>
              <w:t>Regulatory Intensity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'TECH' regulatory intensity: 2.5/5.0</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IP keyword hits: REGULATORY: Complex and changing laws and regulations worldwide, OPERATIONAL: Dependence on third-party intellectual property</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Method of Going Public</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Geopolitical Risk</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5 geographic regions (moderate international exposure)</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Moderate cybersecurity disclosure (3 mentions)</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Geographic Complexity</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5 regions, 24 subsidiaries (MODERATE)</w:t>
            </w:r>
          </w:p>
        </w:tc>
      </w:tr>
      <w:tr>
        <w:tc>
          <w:tcPr>
            <w:tcW w:type="dxa" w:w="2016"/>
            <w:shd w:fill="F2F4F8" w:val="clear"/>
          </w:tcPr>
          <w:p>
            <w:r>
              <w:rPr>
                <w:rFonts w:ascii="Calibri" w:hAnsi="Calibri"/>
                <w:color w:val="333333"/>
                <w:sz w:val="18"/>
              </w:rPr>
              <w:t>Compensation Structure</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Clawback policy in place</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30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governance score 70.1</w:t>
            </w:r>
          </w:p>
        </w:tc>
      </w:tr>
      <w:tr>
        <w:tc>
          <w:tcPr>
            <w:tcW w:type="dxa" w:w="2016"/>
            <w:shd w:fill="F2F4F8" w:val="clear"/>
          </w:tcPr>
          <w:p>
            <w:r>
              <w:rPr>
                <w:rFonts w:ascii="Calibri" w:hAnsi="Calibri"/>
                <w:color w:val="333333"/>
                <w:sz w:val="18"/>
              </w:rPr>
              <w:t>State of Incorporation</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Incorporated in CA</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Workforce &amp; Labor Model</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Workforce/labor keyword hits: REGULATORY: Complex and changing laws and regulations worldwide</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20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growth 6.4% (LOW)</w:t>
            </w:r>
          </w:p>
        </w:tc>
      </w:tr>
      <w:tr>
        <w:tc>
          <w:tcPr>
            <w:tcW w:type="dxa" w:w="2016"/>
          </w:tcPr>
          <w:p>
            <w:r>
              <w:rPr>
                <w:rFonts w:ascii="Calibri" w:hAnsi="Calibri"/>
                <w:color w:val="333333"/>
                <w:sz w:val="18"/>
              </w:rPr>
              <w:t>Leverage &amp; Capital Structure</w:t>
            </w:r>
          </w:p>
        </w:tc>
        <w:tc>
          <w:tcPr>
            <w:tcW w:type="dxa" w:w="2016"/>
          </w:tcPr>
          <w:p>
            <w:r>
              <w:rPr>
                <w:rFonts w:ascii="Calibri" w:hAnsi="Calibri"/>
                <w:color w:val="333333"/>
                <w:sz w:val="18"/>
              </w:rPr>
              <w:t>20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Debt/Equity 1.23 (LOW-MODERATE)</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Proxy: 1 capital markets keyword hits</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20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2 ESG/climate keyword hits in risk factors</w:t>
            </w:r>
          </w:p>
        </w:tc>
      </w:tr>
      <w:tr>
        <w:tc>
          <w:tcPr>
            <w:tcW w:type="dxa" w:w="2016"/>
            <w:shd w:fill="F2F4F8" w:val="clear"/>
          </w:tcPr>
          <w:p>
            <w:r>
              <w:rPr>
                <w:rFonts w:ascii="Calibri" w:hAnsi="Calibri"/>
                <w:color w:val="333333"/>
                <w:sz w:val="18"/>
              </w:rPr>
              <w:t>Non-GAAP Reliance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non-GAAP reliance indicators found</w:t>
            </w:r>
          </w:p>
        </w:tc>
      </w:tr>
      <w:tr>
        <w:tc>
          <w:tcPr>
            <w:tcW w:type="dxa" w:w="2016"/>
          </w:tcPr>
          <w:p>
            <w:r>
              <w:rPr>
                <w:rFonts w:ascii="Calibri" w:hAnsi="Calibri"/>
                <w:color w:val="333333"/>
                <w:sz w:val="18"/>
              </w:rPr>
              <w:t>Founder-Led vs Professional Management</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Professional (non-founder) CEO</w:t>
            </w:r>
          </w:p>
        </w:tc>
      </w:tr>
      <w:tr>
        <w:tc>
          <w:tcPr>
            <w:tcW w:type="dxa" w:w="2016"/>
            <w:shd w:fill="F2F4F8" w:val="clear"/>
          </w:tcPr>
          <w:p>
            <w:r>
              <w:rPr>
                <w:rFonts w:ascii="Calibri" w:hAnsi="Calibri"/>
                <w:color w:val="333333"/>
                <w:sz w:val="18"/>
              </w:rPr>
              <w:t>Key Person Dependency</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Proxy: 1 key person dependency mentions in risk factors</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1.00 -- aligned</w:t>
            </w:r>
          </w:p>
        </w:tc>
      </w:tr>
      <w:tr>
        <w:tc>
          <w:tcPr>
            <w:tcW w:type="dxa" w:w="2016"/>
            <w:shd w:fill="F2F4F8" w:val="clear"/>
          </w:tcPr>
          <w:p>
            <w:r>
              <w:rPr>
                <w:rFonts w:ascii="Calibri" w:hAnsi="Calibri"/>
                <w:color w:val="333333"/>
                <w:sz w:val="18"/>
              </w:rPr>
              <w:t>Customer &amp; Supplier Concentration</w:t>
            </w:r>
          </w:p>
        </w:tc>
        <w:tc>
          <w:tcPr>
            <w:tcW w:type="dxa" w:w="2016"/>
            <w:shd w:fill="F2F4F8" w:val="clear"/>
          </w:tcPr>
          <w:p>
            <w:r>
              <w:rPr>
                <w:rFonts w:ascii="Calibri" w:hAnsi="Calibri"/>
                <w:color w:val="333333"/>
                <w:sz w:val="18"/>
              </w:rPr>
              <w:t>12</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3 material supplier(s) disclosed</w:t>
            </w:r>
          </w:p>
        </w:tc>
      </w:tr>
      <w:tr>
        <w:tc>
          <w:tcPr>
            <w:tcW w:type="dxa" w:w="2016"/>
          </w:tcPr>
          <w:p>
            <w:r>
              <w:rPr>
                <w:rFonts w:ascii="Calibri" w:hAnsi="Calibri"/>
                <w:color w:val="333333"/>
                <w:sz w:val="18"/>
              </w:rPr>
              <w:t>Business Model Complexity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Revenue Model Manipulation Surface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Capital Intensity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CapEx/Revenue 3.1% (LOW)</w:t>
            </w:r>
          </w:p>
        </w:tc>
      </w:tr>
      <w:tr>
        <w:tc>
          <w:tcPr>
            <w:tcW w:type="dxa" w:w="2016"/>
            <w:shd w:fill="F2F4F8" w:val="clear"/>
          </w:tcPr>
          <w:p>
            <w:r>
              <w:rPr>
                <w:rFonts w:ascii="Calibri" w:hAnsi="Calibri"/>
                <w:color w:val="333333"/>
                <w:sz w:val="18"/>
              </w:rPr>
              <w:t>Dual-Class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Management Public Company Experience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Earnings Quality Characteristics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Beneish M-Score -2.29 -- safe zone</w:t>
            </w:r>
          </w:p>
        </w:tc>
      </w:tr>
      <w:tr>
        <w:tc>
          <w:tcPr>
            <w:tcW w:type="dxa" w:w="2016"/>
          </w:tcPr>
          <w:p>
            <w:r>
              <w:rPr>
                <w:rFonts w:ascii="Calibri" w:hAnsi="Calibri"/>
                <w:color w:val="333333"/>
                <w:sz w:val="18"/>
              </w:rPr>
              <w:t>Pre-Revenue / Cash Burn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Revenue-generating company with positive cash flow profile</w:t>
            </w:r>
          </w:p>
        </w:tc>
      </w:tr>
      <w:tr>
        <w:tc>
          <w:tcPr>
            <w:tcW w:type="dxa" w:w="2016"/>
            <w:shd w:fill="F2F4F8" w:val="clear"/>
          </w:tcPr>
          <w:p>
            <w:r>
              <w:rPr>
                <w:rFonts w:ascii="Calibri" w:hAnsi="Calibri"/>
                <w:color w:val="333333"/>
                <w:sz w:val="18"/>
              </w:rPr>
              <w:t>Board Independence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independence score 10.0</w:t>
            </w:r>
          </w:p>
        </w:tc>
      </w:tr>
      <w:tr>
        <w:tc>
          <w:tcPr>
            <w:tcW w:type="dxa" w:w="2016"/>
          </w:tcPr>
          <w:p>
            <w:r>
              <w:rPr>
                <w:rFonts w:ascii="Calibri" w:hAnsi="Calibri"/>
                <w:color w:val="333333"/>
                <w:sz w:val="18"/>
              </w:rPr>
              <w:t>Audit Committee Quality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Committee quality score 10.0/10 (strong)</w:t>
            </w:r>
          </w:p>
        </w:tc>
      </w:tr>
      <w:tr>
        <w:tc>
          <w:tcPr>
            <w:tcW w:type="dxa" w:w="2016"/>
            <w:shd w:fill="F2F4F8" w:val="clear"/>
          </w:tcPr>
          <w:p>
            <w:r>
              <w:rPr>
                <w:rFonts w:ascii="Calibri" w:hAnsi="Calibri"/>
                <w:color w:val="333333"/>
                <w:sz w:val="18"/>
              </w:rPr>
              <w:t>Shareholder Rights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Governance score 70.1/100 (strong)</w:t>
            </w:r>
          </w:p>
        </w:tc>
      </w:tr>
      <w:tr>
        <w:tc>
          <w:tcPr>
            <w:tcW w:type="dxa" w:w="2016"/>
          </w:tcPr>
          <w:p>
            <w:r>
              <w:rPr>
                <w:rFonts w:ascii="Calibri" w:hAnsi="Calibri"/>
                <w:color w:val="333333"/>
                <w:sz w:val="18"/>
              </w:rPr>
              <w:t>Compliance Infrastructure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No material weaknesses or going concern issues identified</w:t>
            </w:r>
          </w:p>
        </w:tc>
      </w:tr>
      <w:tr>
        <w:tc>
          <w:tcPr>
            <w:tcW w:type="dxa" w:w="2016"/>
            <w:shd w:fill="F2F4F8" w:val="clear"/>
          </w:tcPr>
          <w:p>
            <w:r>
              <w:rPr>
                <w:rFonts w:ascii="Calibri" w:hAnsi="Calibri"/>
                <w:color w:val="333333"/>
                <w:sz w:val="18"/>
              </w:rPr>
              <w:t>IPO Recency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IPO 45 years ago (MINIMAL -- mature public company)</w:t>
            </w:r>
          </w:p>
        </w:tc>
      </w:tr>
      <w:tr>
        <w:tc>
          <w:tcPr>
            <w:tcW w:type="dxa" w:w="2016"/>
          </w:tcPr>
          <w:p>
            <w:r>
              <w:rPr>
                <w:rFonts w:ascii="Calibri" w:hAnsi="Calibri"/>
                <w:color w:val="333333"/>
                <w:sz w:val="18"/>
              </w:rPr>
              <w:t>Exchange &amp; Index Membership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Listed on Nasdaq (major exchange -- standard oversight)</w:t>
            </w:r>
          </w:p>
        </w:tc>
      </w:tr>
      <w:tr>
        <w:tc>
          <w:tcPr>
            <w:tcW w:type="dxa" w:w="2016"/>
            <w:shd w:fill="F2F4F8" w:val="clear"/>
          </w:tcPr>
          <w:p>
            <w:r>
              <w:rPr>
                <w:rFonts w:ascii="Calibri" w:hAnsi="Calibri"/>
                <w:color w:val="333333"/>
                <w:sz w:val="18"/>
              </w:rPr>
              <w:t>FPI / ADR Status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Domestic issuer (standard SEC reporting)</w:t>
            </w:r>
          </w:p>
        </w:tc>
      </w:tr>
      <w:tr>
        <w:tc>
          <w:tcPr>
            <w:tcW w:type="dxa" w:w="2016"/>
          </w:tcPr>
          <w:p>
            <w:r>
              <w:rPr>
                <w:rFonts w:ascii="Calibri" w:hAnsi="Calibri"/>
                <w:color w:val="333333"/>
                <w:sz w:val="18"/>
              </w:rPr>
              <w:t>Seasoning &amp; Track Record</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45 years as public company (established)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29.2</w:t>
            </w:r>
          </w:p>
        </w:tc>
        <w:tc>
          <w:tcPr>
            <w:tcW w:type="dxa" w:w="1680"/>
          </w:tcPr>
          <w:p>
            <w:r>
              <w:rPr>
                <w:rFonts w:ascii="Calibri" w:hAnsi="Calibri"/>
                <w:color w:val="333333"/>
                <w:sz w:val="18"/>
              </w:rPr>
              <w:t>9.5</w:t>
            </w:r>
          </w:p>
        </w:tc>
        <w:tc>
          <w:tcPr>
            <w:tcW w:type="dxa" w:w="1680"/>
          </w:tcPr>
          <w:p>
            <w:r>
              <w:rPr>
                <w:rFonts w:ascii="Calibri" w:hAnsi="Calibri"/>
                <w:color w:val="333333"/>
                <w:sz w:val="18"/>
              </w:rPr>
              <w:t>13/13</w:t>
            </w:r>
          </w:p>
        </w:tc>
        <w:tc>
          <w:tcPr>
            <w:tcW w:type="dxa" w:w="1680"/>
          </w:tcPr>
          <w:p>
            <w:r>
              <w:rPr>
                <w:rFonts w:ascii="Calibri" w:hAnsi="Calibri"/>
                <w:color w:val="333333"/>
                <w:sz w:val="18"/>
              </w:rPr>
              <w:t>100%</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25.0</w:t>
            </w:r>
          </w:p>
        </w:tc>
        <w:tc>
          <w:tcPr>
            <w:tcW w:type="dxa" w:w="1680"/>
            <w:shd w:fill="F2F4F8" w:val="clear"/>
          </w:tcPr>
          <w:p>
            <w:r>
              <w:rPr>
                <w:rFonts w:ascii="Calibri" w:hAnsi="Calibri"/>
                <w:color w:val="333333"/>
                <w:sz w:val="18"/>
              </w:rPr>
              <w:t>3.8</w:t>
            </w:r>
          </w:p>
        </w:tc>
        <w:tc>
          <w:tcPr>
            <w:tcW w:type="dxa" w:w="1680"/>
            <w:shd w:fill="F2F4F8" w:val="clear"/>
          </w:tcPr>
          <w:p>
            <w:r>
              <w:rPr>
                <w:rFonts w:ascii="Calibri" w:hAnsi="Calibri"/>
                <w:color w:val="333333"/>
                <w:sz w:val="18"/>
              </w:rPr>
              <w:t>6/8</w:t>
            </w:r>
          </w:p>
        </w:tc>
        <w:tc>
          <w:tcPr>
            <w:tcW w:type="dxa" w:w="1680"/>
            <w:shd w:fill="F2F4F8" w:val="clear"/>
          </w:tcPr>
          <w:p>
            <w:r>
              <w:rPr>
                <w:rFonts w:ascii="Calibri" w:hAnsi="Calibri"/>
                <w:color w:val="333333"/>
                <w:sz w:val="18"/>
              </w:rPr>
              <w:t>75%</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30.0</w:t>
            </w:r>
          </w:p>
        </w:tc>
        <w:tc>
          <w:tcPr>
            <w:tcW w:type="dxa" w:w="1680"/>
          </w:tcPr>
          <w:p>
            <w:r>
              <w:rPr>
                <w:rFonts w:ascii="Calibri" w:hAnsi="Calibri"/>
                <w:color w:val="333333"/>
                <w:sz w:val="18"/>
              </w:rPr>
              <w:t>4.5</w:t>
            </w:r>
          </w:p>
        </w:tc>
        <w:tc>
          <w:tcPr>
            <w:tcW w:type="dxa" w:w="1680"/>
          </w:tcPr>
          <w:p>
            <w:r>
              <w:rPr>
                <w:rFonts w:ascii="Calibri" w:hAnsi="Calibri"/>
                <w:color w:val="333333"/>
                <w:sz w:val="18"/>
              </w:rPr>
              <w:t>6/8</w:t>
            </w:r>
          </w:p>
        </w:tc>
        <w:tc>
          <w:tcPr>
            <w:tcW w:type="dxa" w:w="1680"/>
          </w:tcPr>
          <w:p>
            <w:r>
              <w:rPr>
                <w:rFonts w:ascii="Calibri" w:hAnsi="Calibri"/>
                <w:color w:val="333333"/>
                <w:sz w:val="18"/>
              </w:rPr>
              <w:t>75%</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19.4</w:t>
            </w:r>
          </w:p>
        </w:tc>
        <w:tc>
          <w:tcPr>
            <w:tcW w:type="dxa" w:w="1680"/>
            <w:shd w:fill="F2F4F8" w:val="clear"/>
          </w:tcPr>
          <w:p>
            <w:r>
              <w:rPr>
                <w:rFonts w:ascii="Calibri" w:hAnsi="Calibri"/>
                <w:color w:val="333333"/>
                <w:sz w:val="18"/>
              </w:rPr>
              <w:t>1.4</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10.0</w:t>
            </w:r>
          </w:p>
        </w:tc>
        <w:tc>
          <w:tcPr>
            <w:tcW w:type="dxa" w:w="1680"/>
          </w:tcPr>
          <w:p>
            <w:r>
              <w:rPr>
                <w:rFonts w:ascii="Calibri" w:hAnsi="Calibri"/>
                <w:color w:val="333333"/>
                <w:sz w:val="18"/>
              </w:rPr>
              <w:t>1.0</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57.1</w:t>
            </w:r>
          </w:p>
        </w:tc>
        <w:tc>
          <w:tcPr>
            <w:tcW w:type="dxa" w:w="1680"/>
            <w:shd w:fill="F2F4F8" w:val="clear"/>
          </w:tcPr>
          <w:p>
            <w:r>
              <w:rPr>
                <w:rFonts w:ascii="Calibri" w:hAnsi="Calibri"/>
                <w:color w:val="333333"/>
                <w:sz w:val="18"/>
              </w:rPr>
              <w:t>5.7</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36.7</w:t>
            </w:r>
          </w:p>
        </w:tc>
        <w:tc>
          <w:tcPr>
            <w:tcW w:type="dxa" w:w="1680"/>
          </w:tcPr>
          <w:p>
            <w:r>
              <w:rPr>
                <w:rFonts w:ascii="Calibri" w:hAnsi="Calibri"/>
                <w:color w:val="333333"/>
                <w:sz w:val="18"/>
              </w:rPr>
              <w:t>3.7</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Losses or unauthorized access to or releases of confidential information</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 devotes significant resources to systems and data security, including through the use of encryption and other security measures intended to protect its systems and data. But these measures cannot provide absolute security, and losses or unauthorized access to or releases of confidential information occur and could materially adversely affect the Company's business, reputation, results of operations, financial condition and stock price.</w:t>
            </w:r>
          </w:p>
        </w:tc>
      </w:tr>
      <w:tr>
        <w:tc>
          <w:tcPr>
            <w:tcW w:type="dxa" w:w="2016"/>
            <w:shd w:fill="F2F4F8" w:val="clear"/>
          </w:tcPr>
          <w:p>
            <w:r>
              <w:rPr>
                <w:rFonts w:ascii="Calibri" w:hAnsi="Calibri"/>
                <w:color w:val="333333"/>
                <w:sz w:val="18"/>
              </w:rPr>
              <w:t>Global and regional economic conditions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Adverse macroeconomic conditions, including slow growth or recession, high unemployment, inflation, tighter credit, higher interest rates, and currency fluctuations, can adversely impact consumer confidence and spending and materially adversely affect demand for the Company's products and services.</w:t>
            </w:r>
          </w:p>
        </w:tc>
      </w:tr>
      <w:tr>
        <w:tc>
          <w:tcPr>
            <w:tcW w:type="dxa" w:w="2016"/>
          </w:tcPr>
          <w:p>
            <w:r>
              <w:rPr>
                <w:rFonts w:ascii="Calibri" w:hAnsi="Calibri"/>
                <w:color w:val="333333"/>
                <w:sz w:val="18"/>
              </w:rPr>
              <w:t>Net sales and gross margin volatility</w:t>
            </w:r>
          </w:p>
        </w:tc>
        <w:tc>
          <w:tcPr>
            <w:tcW w:type="dxa" w:w="2016"/>
          </w:tcPr>
          <w:p>
            <w:r>
              <w:rPr>
                <w:rFonts w:ascii="Calibri" w:hAnsi="Calibri"/>
                <w:color w:val="333333"/>
                <w:sz w:val="18"/>
              </w:rPr>
              <w:t>FINANCIAL</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Company's net sales and gross margins are subject to volatility and downward pressure due to a variety of factors, including: continued industry-wide global product pricing pressures and product pricing actions that the Company may take in response to such pressures; increased competition; the Company's ability to effectively stimulate demand for certain of its products and services; compressed product life cycles; supply shortages; potential increases in the cost of components, outside manufacturing services, and developing, acquiring and delivering content for the Company's services; the Company's ability to manage product quality and warranty costs effectively; shifts in the mix of products and services, or in the geographic, currency or channel mix, including to the extent that regulatory changes require the Company to modify its product and service offerings; fluctuations in foreign exchange rates; inflation and other macroeconomic pressures; the imposition of new or increased tariffs and other trade restrictions, their overall magnitude and duration, and retaliatory actions in response; and the introduction of new products or services, including new products or services with lower profit margins.</w:t>
            </w:r>
          </w:p>
        </w:tc>
      </w:tr>
      <w:tr>
        <w:tc>
          <w:tcPr>
            <w:tcW w:type="dxa" w:w="2016"/>
            <w:shd w:fill="F2F4F8" w:val="clear"/>
          </w:tcPr>
          <w:p>
            <w:r>
              <w:rPr>
                <w:rFonts w:ascii="Calibri" w:hAnsi="Calibri"/>
                <w:color w:val="333333"/>
                <w:sz w:val="18"/>
              </w:rPr>
              <w:t>Unfavorable results of legal proceedings or government investigations</w:t>
            </w:r>
          </w:p>
        </w:tc>
        <w:tc>
          <w:tcPr>
            <w:tcW w:type="dxa" w:w="2016"/>
            <w:shd w:fill="F2F4F8" w:val="clear"/>
          </w:tcPr>
          <w:p>
            <w:r>
              <w:rPr>
                <w:rFonts w:ascii="Calibri" w:hAnsi="Calibri"/>
                <w:color w:val="333333"/>
                <w:sz w:val="18"/>
              </w:rPr>
              <w:t>LITIGATION</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The Company is subject to various claims, legal proceedings and government investigations that have arisen in the ordinary course of business and have not yet been fully resolved, and new matters may arise in the future.</w:t>
            </w:r>
          </w:p>
        </w:tc>
      </w:tr>
      <w:tr>
        <w:tc>
          <w:tcPr>
            <w:tcW w:type="dxa" w:w="2016"/>
          </w:tcPr>
          <w:p>
            <w:r>
              <w:rPr>
                <w:rFonts w:ascii="Calibri" w:hAnsi="Calibri"/>
                <w:color w:val="333333"/>
                <w:sz w:val="18"/>
              </w:rPr>
              <w:t>Political events, trade disputes, geopolitical tensions, and other business interruptions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Political events, trade and other international disputes, geopolitical tensions, conflict, terrorism, natural disasters, public health issues, industrial accidents and other business interruptions can have a material adverse effect on the Company and its customers, employees, suppliers, contract manufacturers, logistics providers, distributors, cellular network carriers and other channel partners.</w:t>
            </w:r>
          </w:p>
        </w:tc>
      </w:tr>
      <w:tr>
        <w:tc>
          <w:tcPr>
            <w:tcW w:type="dxa" w:w="2016"/>
            <w:shd w:fill="F2F4F8" w:val="clear"/>
          </w:tcPr>
          <w:p>
            <w:r>
              <w:rPr>
                <w:rFonts w:ascii="Calibri" w:hAnsi="Calibri"/>
                <w:color w:val="333333"/>
                <w:sz w:val="18"/>
              </w:rPr>
              <w:t>Intense competition and rapid technological change</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The Company's products and services are offered in highly competitive global markets. These markets are characterized by aggressive price competition, downward pressure on gross margins, continual improvement in product performance, and price sensitivity on the part of consumers and businesses.</w:t>
            </w:r>
          </w:p>
        </w:tc>
      </w:tr>
      <w:tr>
        <w:tc>
          <w:tcPr>
            <w:tcW w:type="dxa" w:w="2016"/>
          </w:tcPr>
          <w:p>
            <w:r>
              <w:rPr>
                <w:rFonts w:ascii="Calibri" w:hAnsi="Calibri"/>
                <w:color w:val="333333"/>
                <w:sz w:val="18"/>
              </w:rPr>
              <w:t>Dependence on component and product manufacturing by outsourcing partners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A significant majority of the Company's manufacturing is performed in whole or in part by outsourcing partners located primarily in China mainland, India, Japan, South Korea, Taiwan and Vietnam, in addition to sourcing from partners and facilities located in the U.S. The Company relies on single-source partners in the U.S., Asia and Europe to supply and manufacture many components, and on partners primarily located in Asia, for final assembly of substantially all of the Company's hardware products.</w:t>
            </w:r>
          </w:p>
        </w:tc>
      </w:tr>
      <w:tr>
        <w:tc>
          <w:tcPr>
            <w:tcW w:type="dxa" w:w="2016"/>
            <w:shd w:fill="F2F4F8" w:val="clear"/>
          </w:tcPr>
          <w:p>
            <w:r>
              <w:rPr>
                <w:rFonts w:ascii="Calibri" w:hAnsi="Calibri"/>
                <w:color w:val="333333"/>
                <w:sz w:val="18"/>
              </w:rPr>
              <w:t>Supply shortages and pricing risks for components</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Because the Company currently obtains certain components from single or limited sources, the Company is subject to significant supply and pricing risks. Many components, including those that are available from multiple sources, are at times subject to industry-wide shortages and significant commodity pricing fluctuations that can materially adversely affect the Company's business, results of operations, financial condition and stock price.</w:t>
            </w:r>
          </w:p>
        </w:tc>
      </w:tr>
      <w:tr>
        <w:tc>
          <w:tcPr>
            <w:tcW w:type="dxa" w:w="2016"/>
          </w:tcPr>
          <w:p>
            <w:r>
              <w:rPr>
                <w:rFonts w:ascii="Calibri" w:hAnsi="Calibri"/>
                <w:color w:val="333333"/>
                <w:sz w:val="18"/>
              </w:rPr>
              <w:t>Complex and changing laws and regulations worldwide</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The Company's global operations are subject to complex and changing laws and regulations worldwide on subjects including antitrust; privacy, data security and data localization; online safety; age verification; consumer protection; advertising, sales, billing and e-commerce; financial services and technology; product liability; intellectual property ownership and infringement; digital platforms; machine learning and artificial intelligence; internet, telecommunications and mobile communications; media, television, film and digital content; availability of third-party software applications and services; labor and employment; anticorruption; import, export and trade; foreign exchange controls and cash repatriation restrictions; anti–money laundering; foreign ownership and investment; national security; tax; and environmental, health and safety, including electronic waste, recycling, product design and climate change.</w:t>
            </w:r>
          </w:p>
        </w:tc>
      </w:tr>
      <w:tr>
        <w:tc>
          <w:tcPr>
            <w:tcW w:type="dxa" w:w="2016"/>
            <w:shd w:fill="F2F4F8" w:val="clear"/>
          </w:tcPr>
          <w:p>
            <w:r>
              <w:rPr>
                <w:rFonts w:ascii="Calibri" w:hAnsi="Calibri"/>
                <w:color w:val="333333"/>
                <w:sz w:val="18"/>
              </w:rPr>
              <w:t>Intense media, political and regulatory scrutiny</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The technology industry, including, in some instances, the Company, is subject to intense media, political and regulatory scrutiny, which exposes the Company to increasing regulation, government investigations, legal actions and penalties.</w:t>
            </w:r>
          </w:p>
        </w:tc>
      </w:tr>
      <w:tr>
        <w:tc>
          <w:tcPr>
            <w:tcW w:type="dxa" w:w="2016"/>
          </w:tcPr>
          <w:p>
            <w:r>
              <w:rPr>
                <w:rFonts w:ascii="Calibri" w:hAnsi="Calibri"/>
                <w:color w:val="333333"/>
                <w:sz w:val="18"/>
              </w:rPr>
              <w:t>Privacy and data protection laws</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The Company is subject to an increasing number of federal, state and international laws relating to the collection, use, retention, protection and transfer of various types of personal data. In many cases, these laws apply not only to third-party transactions, but also restrict transfers of personal data among the Company and its international subsidiaries.</w:t>
            </w:r>
          </w:p>
        </w:tc>
      </w:tr>
      <w:tr>
        <w:tc>
          <w:tcPr>
            <w:tcW w:type="dxa" w:w="2016"/>
            <w:shd w:fill="F2F4F8" w:val="clear"/>
          </w:tcPr>
          <w:p>
            <w:r>
              <w:rPr>
                <w:rFonts w:ascii="Calibri" w:hAnsi="Calibri"/>
                <w:color w:val="333333"/>
                <w:sz w:val="18"/>
              </w:rPr>
              <w:t>Information technology system failures and network disruptions</w:t>
            </w:r>
          </w:p>
        </w:tc>
        <w:tc>
          <w:tcPr>
            <w:tcW w:type="dxa" w:w="2016"/>
            <w:shd w:fill="F2F4F8" w:val="clear"/>
          </w:tcPr>
          <w:p>
            <w:r>
              <w:rPr>
                <w:rFonts w:ascii="Calibri" w:hAnsi="Calibri"/>
                <w:color w:val="333333"/>
                <w:sz w:val="18"/>
              </w:rPr>
              <w:t>CYBER</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 Company and its global supply chain are dependent on complex information technology systems and are exposed to information technology system failures or network disruptions caused by natural disasters, accidents, power disruptions, telecommunications failures, acts of terrorism or war, computer viruses, physical or electronic break-ins, ransomware or other cybersecurity incidents, or other events or disruptions.</w:t>
            </w:r>
          </w:p>
        </w:tc>
      </w:tr>
      <w:tr>
        <w:tc>
          <w:tcPr>
            <w:tcW w:type="dxa" w:w="2016"/>
          </w:tcPr>
          <w:p>
            <w:r>
              <w:rPr>
                <w:rFonts w:ascii="Calibri" w:hAnsi="Calibri"/>
                <w:color w:val="333333"/>
                <w:sz w:val="18"/>
              </w:rPr>
              <w:t>Inventory and asset write-downs and purchase commitment cancellation risk</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 records a write-down for product and component inventories if cost exceeds net realizable value. The Company reviews other assets, including capital assets held at its suppliers' facilities, inventory prepayments and other long-lived assets, for impairment whenever events or circumstances indicate the assets may not be recoverable.</w:t>
            </w:r>
          </w:p>
        </w:tc>
      </w:tr>
      <w:tr>
        <w:tc>
          <w:tcPr>
            <w:tcW w:type="dxa" w:w="2016"/>
            <w:shd w:fill="F2F4F8" w:val="clear"/>
          </w:tcPr>
          <w:p>
            <w:r>
              <w:rPr>
                <w:rFonts w:ascii="Calibri" w:hAnsi="Calibri"/>
                <w:color w:val="333333"/>
                <w:sz w:val="18"/>
              </w:rPr>
              <w:t>Investment in new business strategies and acquisitions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 Company has invested, and in the future may invest, in new business strategies, commercial relationships and acquisitions. Such endeavors may involve significant risks and uncertainties, including distraction of management from current operations, greater-than-expected liabilities and expenses, economic, political, legal and regulatory challenges associated with operating in new businesses, regions or countries, inadequate return on capital, potential impairment of tangible and intangible assets, and significant write-offs.</w:t>
            </w:r>
          </w:p>
        </w:tc>
      </w:tr>
      <w:tr>
        <w:tc>
          <w:tcPr>
            <w:tcW w:type="dxa" w:w="2016"/>
          </w:tcPr>
          <w:p>
            <w:r>
              <w:rPr>
                <w:rFonts w:ascii="Calibri" w:hAnsi="Calibri"/>
                <w:color w:val="333333"/>
                <w:sz w:val="18"/>
              </w:rPr>
              <w:t>Foreign exchange rate risk</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Company's primary exposure to movements in foreign exchange rates relates to non–U.S. dollar–denominated sales, cost of sales and operating expenses worldwide. Gross margins on the Company's products in foreign countries and on products that include components obtained from foreign suppliers have in the past been adversely affected and could in the future be materially adversely affected by foreign exchange rate fluctuations.</w:t>
            </w:r>
          </w:p>
        </w:tc>
      </w:tr>
      <w:tr>
        <w:tc>
          <w:tcPr>
            <w:tcW w:type="dxa" w:w="2016"/>
            <w:shd w:fill="F2F4F8" w:val="clear"/>
          </w:tcPr>
          <w:p>
            <w:r>
              <w:rPr>
                <w:rFonts w:ascii="Calibri" w:hAnsi="Calibri"/>
                <w:color w:val="333333"/>
                <w:sz w:val="18"/>
              </w:rPr>
              <w:t>Credit risk and investment portfolio fluctuations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 Company's investments can be negatively affected by changes in liquidity, credit deterioration, financial results, market and economic conditions, political risk, sovereign risk, interest rate fluctuations or other factors. As a result, the value and liquidity of the Company's cash, cash equivalents and marketable securities may fluctuate substantially.</w:t>
            </w:r>
          </w:p>
        </w:tc>
      </w:tr>
      <w:tr>
        <w:tc>
          <w:tcPr>
            <w:tcW w:type="dxa" w:w="2016"/>
          </w:tcPr>
          <w:p>
            <w:r>
              <w:rPr>
                <w:rFonts w:ascii="Calibri" w:hAnsi="Calibri"/>
                <w:color w:val="333333"/>
                <w:sz w:val="18"/>
              </w:rPr>
              <w:t>Credit risk on receivables and prepayments</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 is exposed to credit risk on its trade accounts receivable, vendor non-trade receivables and prepayments related to long-term supply agreements, and this risk is heightened during periods when economic conditions worsen. The Company distributes its products and certain of its services through third-party cellular network carriers and other resellers. The Company also sells its products and services directly to small and mid-sized businesses and education, enterprise and government customers.</w:t>
            </w:r>
          </w:p>
        </w:tc>
      </w:tr>
      <w:tr>
        <w:tc>
          <w:tcPr>
            <w:tcW w:type="dxa" w:w="2016"/>
            <w:shd w:fill="F2F4F8" w:val="clear"/>
          </w:tcPr>
          <w:p>
            <w:r>
              <w:rPr>
                <w:rFonts w:ascii="Calibri" w:hAnsi="Calibri"/>
                <w:color w:val="333333"/>
                <w:sz w:val="18"/>
              </w:rPr>
              <w:t>Changes in tax rates and tax liabilities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 Company is subject to taxes in the U.S. and numerous foreign jurisdictions, including Ireland and Singapore, where a number of the Company's subsidiaries are organized. Due to economic and political conditions, tax laws and tax rates for income taxes and other non-income taxes in various jurisdictions may be subject to significant change.</w:t>
            </w:r>
          </w:p>
        </w:tc>
      </w:tr>
      <w:tr>
        <w:tc>
          <w:tcPr>
            <w:tcW w:type="dxa" w:w="2016"/>
          </w:tcPr>
          <w:p>
            <w:r>
              <w:rPr>
                <w:rFonts w:ascii="Calibri" w:hAnsi="Calibri"/>
                <w:color w:val="333333"/>
                <w:sz w:val="18"/>
              </w:rPr>
              <w:t>Stock price volatility</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Company's stock has experienced substantial price volatility in the past and may continue to do so in the future. Additionally, the Company, the technology industry and the stock market as a whole have, from time to time, experienced extreme stock price and volume fluctuations that have affected stock prices in ways that may have been unrelated to these companies' operating performance.</w:t>
            </w:r>
          </w:p>
        </w:tc>
      </w:tr>
    </w:tbl>
    <w:p>
      <w:pPr>
        <w:pStyle w:val="DOCaption"/>
      </w:pPr>
      <w:r>
        <w:t>19 D&amp;O-relevant risk factors (0 new this year, 11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Apple's stock sits at $255.63, a full 11.43% below its 52-week high of $288.62, a gap that exceeds the 10% *Dura Pharmaceuticals* threshold and establishes a core element for a stock-drop claim. The single-day plunge of 9.25% on April 3, 2025, provides a specific, material event for plaintiffs to anchor allegations of corrective disclosure. While 93.33% of insider selling is under 10b5-1 plans, the net volume of $58.6 million alongside one cluster event creates a potent scienter inference under *Tellabs* that plans may have been timed opportunistically. The critical narrative is the juxtaposition of a stable 0.85% short interest and a unanimous "BUY" analyst consensus against this 11.43% price decline and insider liquidity; the lack of recent downgrades suggests any future negative news could be a sharp, unanticipated catalyst for a lawsuit alleging prior knowledge.</w:t>
      </w:r>
    </w:p>
    <w:p>
      <w:pPr>
        <w:pStyle w:val="DOHeading1"/>
      </w:pPr>
      <w:r>
        <w:t>Section 4: Market &amp; Trading Analysis</w:t>
      </w:r>
    </w:p>
    <w:p>
      <w:pPr>
        <w:pStyle w:val="DOBody"/>
      </w:pPr>
      <w:r>
        <w:rPr>
          <w:rFonts w:ascii="Calibri" w:hAnsi="Calibri"/>
          <w:color w:val="333333"/>
          <w:sz w:val="20"/>
        </w:rPr>
        <w:t>The stock trades 11.4% below its 52-week high ($289), within normal trading variance. Worst single-day decline: 9.2% on 2025-04-03. Short interest of 0.9% of float is low (6-month trend: STABLE). Analyst consensus: BUY.</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606062"/>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606062"/>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606062"/>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606062"/>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28159"/>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28159"/>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97945"/>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97945"/>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$255.63</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$288.62</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$169.21</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14.7%</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-23.0%</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22.0%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1.12</w:t>
            </w:r>
          </w:p>
        </w:tc>
      </w:tr>
    </w:tbl>
    <w:p>
      <w:pPr>
        <w:pStyle w:val="DOBody"/>
      </w:pPr>
      <w:r>
        <w:t>4 significant stock decline events detected in the 1Y period: 4 critical (&gt;10%). 4 were company-specific, 3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2025-04-03 to 2025-04-08 (6d)</w:t>
            </w:r>
          </w:p>
        </w:tc>
        <w:tc>
          <w:tcPr>
            <w:tcW w:type="dxa" w:w="1440"/>
            <w:shd w:fill="FCE8E6" w:val="clear"/>
          </w:tcPr>
          <w:p>
            <w:r>
              <w:rPr>
                <w:rFonts w:ascii="Calibri" w:hAnsi="Calibri"/>
                <w:color w:val="333333"/>
                <w:sz w:val="18"/>
              </w:rPr>
              <w:t>-23.0%</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84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https://finance.yahoo.com/quote/AAPL/news/</w:t>
            </w:r>
          </w:p>
        </w:tc>
      </w:tr>
      <w:tr>
        <w:tc>
          <w:tcPr>
            <w:tcW w:type="dxa" w:w="1440"/>
            <w:shd w:fill="F2F4F8" w:val="clear"/>
            <w:shd w:fill="FCE8E6" w:val="clear"/>
          </w:tcPr>
          <w:p>
            <w:r>
              <w:rPr>
                <w:rFonts w:ascii="Calibri" w:hAnsi="Calibri"/>
                <w:color w:val="333333"/>
                <w:sz w:val="18"/>
              </w:rPr>
              <w:t>2025-04-07 (5d)</w:t>
            </w:r>
          </w:p>
        </w:tc>
        <w:tc>
          <w:tcPr>
            <w:tcW w:type="dxa" w:w="1440"/>
            <w:shd w:fill="F2F4F8" w:val="clear"/>
            <w:shd w:fill="FCE8E6" w:val="clear"/>
          </w:tcPr>
          <w:p>
            <w:r>
              <w:rPr>
                <w:rFonts w:ascii="Calibri" w:hAnsi="Calibri"/>
                <w:color w:val="333333"/>
                <w:sz w:val="18"/>
              </w:rPr>
              <w:t>-18.3%</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85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https://finance.yahoo.com/quote/AAPL/news/</w:t>
            </w:r>
          </w:p>
        </w:tc>
      </w:tr>
      <w:tr>
        <w:tc>
          <w:tcPr>
            <w:tcW w:type="dxa" w:w="1440"/>
            <w:shd w:fill="FCE8E6" w:val="clear"/>
          </w:tcPr>
          <w:p>
            <w:r>
              <w:rPr>
                <w:rFonts w:ascii="Calibri" w:hAnsi="Calibri"/>
                <w:color w:val="333333"/>
                <w:sz w:val="18"/>
              </w:rPr>
              <w:t>2025-04-04 (2d)</w:t>
            </w:r>
          </w:p>
        </w:tc>
        <w:tc>
          <w:tcPr>
            <w:tcW w:type="dxa" w:w="1440"/>
            <w:shd w:fill="FCE8E6" w:val="clear"/>
          </w:tcPr>
          <w:p>
            <w:r>
              <w:rPr>
                <w:rFonts w:ascii="Calibri" w:hAnsi="Calibri"/>
                <w:color w:val="333333"/>
                <w:sz w:val="18"/>
              </w:rPr>
              <w:t>-15.9%</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86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https://finance.yahoo.com/quote/AAPL/news/</w:t>
            </w:r>
          </w:p>
        </w:tc>
      </w:tr>
      <w:tr>
        <w:tc>
          <w:tcPr>
            <w:tcW w:type="dxa" w:w="1440"/>
            <w:shd w:fill="F2F4F8" w:val="clear"/>
            <w:shd w:fill="FCE8E6" w:val="clear"/>
          </w:tcPr>
          <w:p>
            <w:r>
              <w:rPr>
                <w:rFonts w:ascii="Calibri" w:hAnsi="Calibri"/>
                <w:color w:val="333333"/>
                <w:sz w:val="18"/>
              </w:rPr>
              <w:t>2025-04-03 (2d)</w:t>
            </w:r>
          </w:p>
        </w:tc>
        <w:tc>
          <w:tcPr>
            <w:tcW w:type="dxa" w:w="1440"/>
            <w:shd w:fill="F2F4F8" w:val="clear"/>
            <w:shd w:fill="FCE8E6" w:val="clear"/>
          </w:tcPr>
          <w:p>
            <w:r>
              <w:rPr>
                <w:rFonts w:ascii="Calibri" w:hAnsi="Calibri"/>
                <w:color w:val="333333"/>
                <w:sz w:val="18"/>
              </w:rPr>
              <w:t>-15.9%</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https://finance.yahoo.com/quote/AAPL/news/</w:t>
            </w:r>
          </w:p>
        </w:tc>
      </w:tr>
    </w:tbl>
    <w:p>
      <w:pPr>
        <w:pStyle w:val="DOBody"/>
      </w:pPr>
      <w:r>
        <w:t>4 significant stock decline events detected in the 5Y period: 4 critical (&gt;10%). 4 were company-specific, 3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2025-04-03 to 2025-04-08 (6d)</w:t>
            </w:r>
          </w:p>
        </w:tc>
        <w:tc>
          <w:tcPr>
            <w:tcW w:type="dxa" w:w="1440"/>
            <w:shd w:fill="FCE8E6" w:val="clear"/>
          </w:tcPr>
          <w:p>
            <w:r>
              <w:rPr>
                <w:rFonts w:ascii="Calibri" w:hAnsi="Calibri"/>
                <w:color w:val="333333"/>
                <w:sz w:val="18"/>
              </w:rPr>
              <w:t>-23.0%</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84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https://finance.yahoo.com/quote/AAPL/news/</w:t>
            </w:r>
          </w:p>
        </w:tc>
      </w:tr>
      <w:tr>
        <w:tc>
          <w:tcPr>
            <w:tcW w:type="dxa" w:w="1440"/>
            <w:shd w:fill="F2F4F8" w:val="clear"/>
            <w:shd w:fill="FCE8E6" w:val="clear"/>
          </w:tcPr>
          <w:p>
            <w:r>
              <w:rPr>
                <w:rFonts w:ascii="Calibri" w:hAnsi="Calibri"/>
                <w:color w:val="333333"/>
                <w:sz w:val="18"/>
              </w:rPr>
              <w:t>2025-04-07 (5d)</w:t>
            </w:r>
          </w:p>
        </w:tc>
        <w:tc>
          <w:tcPr>
            <w:tcW w:type="dxa" w:w="1440"/>
            <w:shd w:fill="F2F4F8" w:val="clear"/>
            <w:shd w:fill="FCE8E6" w:val="clear"/>
          </w:tcPr>
          <w:p>
            <w:r>
              <w:rPr>
                <w:rFonts w:ascii="Calibri" w:hAnsi="Calibri"/>
                <w:color w:val="333333"/>
                <w:sz w:val="18"/>
              </w:rPr>
              <w:t>-18.3%</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85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https://finance.yahoo.com/quote/AAPL/news/</w:t>
            </w:r>
          </w:p>
        </w:tc>
      </w:tr>
      <w:tr>
        <w:tc>
          <w:tcPr>
            <w:tcW w:type="dxa" w:w="1440"/>
            <w:shd w:fill="FCE8E6" w:val="clear"/>
          </w:tcPr>
          <w:p>
            <w:r>
              <w:rPr>
                <w:rFonts w:ascii="Calibri" w:hAnsi="Calibri"/>
                <w:color w:val="333333"/>
                <w:sz w:val="18"/>
              </w:rPr>
              <w:t>2025-04-04 (2d)</w:t>
            </w:r>
          </w:p>
        </w:tc>
        <w:tc>
          <w:tcPr>
            <w:tcW w:type="dxa" w:w="1440"/>
            <w:shd w:fill="FCE8E6" w:val="clear"/>
          </w:tcPr>
          <w:p>
            <w:r>
              <w:rPr>
                <w:rFonts w:ascii="Calibri" w:hAnsi="Calibri"/>
                <w:color w:val="333333"/>
                <w:sz w:val="18"/>
              </w:rPr>
              <w:t>-15.9%</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86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https://finance.yahoo.com/quote/AAPL/news/</w:t>
            </w:r>
          </w:p>
        </w:tc>
      </w:tr>
      <w:tr>
        <w:tc>
          <w:tcPr>
            <w:tcW w:type="dxa" w:w="1440"/>
            <w:shd w:fill="F2F4F8" w:val="clear"/>
            <w:shd w:fill="FCE8E6" w:val="clear"/>
          </w:tcPr>
          <w:p>
            <w:r>
              <w:rPr>
                <w:rFonts w:ascii="Calibri" w:hAnsi="Calibri"/>
                <w:color w:val="333333"/>
                <w:sz w:val="18"/>
              </w:rPr>
              <w:t>2025-04-03 (2d)</w:t>
            </w:r>
          </w:p>
        </w:tc>
        <w:tc>
          <w:tcPr>
            <w:tcW w:type="dxa" w:w="1440"/>
            <w:shd w:fill="F2F4F8" w:val="clear"/>
            <w:shd w:fill="FCE8E6" w:val="clear"/>
          </w:tcPr>
          <w:p>
            <w:r>
              <w:rPr>
                <w:rFonts w:ascii="Calibri" w:hAnsi="Calibri"/>
                <w:color w:val="333333"/>
                <w:sz w:val="18"/>
              </w:rPr>
              <w:t>-15.9%</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https://finance.yahoo.com/quote/AAPL/news/</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0.9% (Ranks at the 89th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3.17</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STABLE</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0.9%</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$2.67</w:t>
            </w:r>
          </w:p>
        </w:tc>
        <w:tc>
          <w:tcPr>
            <w:tcW w:type="dxa" w:w="1680"/>
          </w:tcPr>
          <w:p>
            <w:r>
              <w:rPr>
                <w:rFonts w:ascii="Calibri" w:hAnsi="Calibri"/>
                <w:color w:val="333333"/>
                <w:sz w:val="18"/>
              </w:rPr>
              <w:t>$2.84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+6.2%</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$1.77</w:t>
            </w:r>
          </w:p>
        </w:tc>
        <w:tc>
          <w:tcPr>
            <w:tcW w:type="dxa" w:w="1680"/>
            <w:shd w:fill="F2F4F8" w:val="clear"/>
          </w:tcPr>
          <w:p>
            <w:r>
              <w:rPr>
                <w:rFonts w:ascii="Calibri" w:hAnsi="Calibri"/>
                <w:color w:val="333333"/>
                <w:sz w:val="18"/>
              </w:rPr>
              <w:t>$1.85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+4.5%</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$1.43</w:t>
            </w:r>
          </w:p>
        </w:tc>
        <w:tc>
          <w:tcPr>
            <w:tcW w:type="dxa" w:w="1680"/>
          </w:tcPr>
          <w:p>
            <w:r>
              <w:rPr>
                <w:rFonts w:ascii="Calibri" w:hAnsi="Calibri"/>
                <w:color w:val="333333"/>
                <w:sz w:val="18"/>
              </w:rPr>
              <w:t>$1.57</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+9.5%</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$1.63</w:t>
            </w:r>
          </w:p>
        </w:tc>
        <w:tc>
          <w:tcPr>
            <w:tcW w:type="dxa" w:w="1680"/>
            <w:shd w:fill="F2F4F8" w:val="clear"/>
          </w:tcPr>
          <w:p>
            <w:r>
              <w:rPr>
                <w:rFonts w:ascii="Calibri" w:hAnsi="Calibri"/>
                <w:color w:val="333333"/>
                <w:sz w:val="18"/>
              </w:rPr>
              <w:t>$1.65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+1.5%</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$2.35</w:t>
            </w:r>
          </w:p>
        </w:tc>
        <w:tc>
          <w:tcPr>
            <w:tcW w:type="dxa" w:w="1680"/>
          </w:tcPr>
          <w:p>
            <w:r>
              <w:rPr>
                <w:rFonts w:ascii="Calibri" w:hAnsi="Calibri"/>
                <w:color w:val="333333"/>
                <w:sz w:val="18"/>
              </w:rPr>
              <w:t>$2.40</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+2.3%</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$1.60</w:t>
            </w:r>
          </w:p>
        </w:tc>
        <w:tc>
          <w:tcPr>
            <w:tcW w:type="dxa" w:w="1680"/>
            <w:shd w:fill="F2F4F8" w:val="clear"/>
          </w:tcPr>
          <w:p>
            <w:r>
              <w:rPr>
                <w:rFonts w:ascii="Calibri" w:hAnsi="Calibri"/>
                <w:color w:val="333333"/>
                <w:sz w:val="18"/>
              </w:rPr>
              <w:t>$1.64</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+2.3%</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$1.34</w:t>
            </w:r>
          </w:p>
        </w:tc>
        <w:tc>
          <w:tcPr>
            <w:tcW w:type="dxa" w:w="1680"/>
          </w:tcPr>
          <w:p>
            <w:r>
              <w:rPr>
                <w:rFonts w:ascii="Calibri" w:hAnsi="Calibri"/>
                <w:color w:val="333333"/>
                <w:sz w:val="18"/>
              </w:rPr>
              <w:t>$1.40</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+4.3%</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$1.51</w:t>
            </w:r>
          </w:p>
        </w:tc>
        <w:tc>
          <w:tcPr>
            <w:tcW w:type="dxa" w:w="1680"/>
            <w:shd w:fill="F2F4F8" w:val="clear"/>
          </w:tcPr>
          <w:p>
            <w:r>
              <w:rPr>
                <w:rFonts w:ascii="Calibri" w:hAnsi="Calibri"/>
                <w:color w:val="333333"/>
                <w:sz w:val="18"/>
              </w:rPr>
              <w:t>$1.53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+1.5%</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$2.10</w:t>
            </w:r>
          </w:p>
        </w:tc>
        <w:tc>
          <w:tcPr>
            <w:tcW w:type="dxa" w:w="1680"/>
          </w:tcPr>
          <w:p>
            <w:r>
              <w:rPr>
                <w:rFonts w:ascii="Calibri" w:hAnsi="Calibri"/>
                <w:color w:val="333333"/>
                <w:sz w:val="18"/>
              </w:rPr>
              <w:t>$2.18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+3.7%</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$1.39</w:t>
            </w:r>
          </w:p>
        </w:tc>
        <w:tc>
          <w:tcPr>
            <w:tcW w:type="dxa" w:w="1680"/>
            <w:shd w:fill="F2F4F8" w:val="clear"/>
          </w:tcPr>
          <w:p>
            <w:r>
              <w:rPr>
                <w:rFonts w:ascii="Calibri" w:hAnsi="Calibri"/>
                <w:color w:val="333333"/>
                <w:sz w:val="18"/>
              </w:rPr>
              <w:t>$1.46</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+4.8%</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$1.19</w:t>
            </w:r>
          </w:p>
        </w:tc>
        <w:tc>
          <w:tcPr>
            <w:tcW w:type="dxa" w:w="1680"/>
          </w:tcPr>
          <w:p>
            <w:r>
              <w:rPr>
                <w:rFonts w:ascii="Calibri" w:hAnsi="Calibri"/>
                <w:color w:val="333333"/>
                <w:sz w:val="18"/>
              </w:rPr>
              <w:t>$1.26</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+5.5%</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$1.43</w:t>
            </w:r>
          </w:p>
        </w:tc>
        <w:tc>
          <w:tcPr>
            <w:tcW w:type="dxa" w:w="1680"/>
            <w:shd w:fill="F2F4F8" w:val="clear"/>
          </w:tcPr>
          <w:p>
            <w:r>
              <w:rPr>
                <w:rFonts w:ascii="Calibri" w:hAnsi="Calibri"/>
                <w:color w:val="333333"/>
                <w:sz w:val="18"/>
              </w:rPr>
              <w:t>$1.52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+6.3%</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$1.95</w:t>
            </w:r>
          </w:p>
        </w:tc>
        <w:tc>
          <w:tcPr>
            <w:tcW w:type="dxa" w:w="1680"/>
          </w:tcPr>
          <w:p>
            <w:r>
              <w:rPr>
                <w:rFonts w:ascii="Calibri" w:hAnsi="Calibri"/>
                <w:color w:val="333333"/>
                <w:sz w:val="18"/>
              </w:rPr>
              <w:t>$1.88</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+3.6%</w:t>
            </w:r>
          </w:p>
        </w:tc>
        <w:tc>
          <w:tcPr>
            <w:tcW w:type="dxa" w:w="1680"/>
          </w:tcPr>
          <w:p>
            <w:r>
              <w:rPr>
                <w:rFonts w:ascii="Calibri" w:hAnsi="Calibri"/>
                <w:color w:val="333333"/>
                <w:sz w:val="18"/>
              </w:rPr>
              <w:t>-3.7%</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$1.27</w:t>
            </w:r>
          </w:p>
        </w:tc>
        <w:tc>
          <w:tcPr>
            <w:tcW w:type="dxa" w:w="1680"/>
            <w:shd w:fill="F2F4F8" w:val="clear"/>
          </w:tcPr>
          <w:p>
            <w:r>
              <w:rPr>
                <w:rFonts w:ascii="Calibri" w:hAnsi="Calibri"/>
                <w:color w:val="333333"/>
                <w:sz w:val="18"/>
              </w:rPr>
              <w:t>$1.29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+1.4%</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$1.16</w:t>
            </w:r>
          </w:p>
        </w:tc>
        <w:tc>
          <w:tcPr>
            <w:tcW w:type="dxa" w:w="1680"/>
          </w:tcPr>
          <w:p>
            <w:r>
              <w:rPr>
                <w:rFonts w:ascii="Calibri" w:hAnsi="Calibri"/>
                <w:color w:val="333333"/>
                <w:sz w:val="18"/>
              </w:rPr>
              <w:t>$1.20</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+3.9%</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$1.43</w:t>
            </w:r>
          </w:p>
        </w:tc>
        <w:tc>
          <w:tcPr>
            <w:tcW w:type="dxa" w:w="1680"/>
            <w:shd w:fill="F2F4F8" w:val="clear"/>
          </w:tcPr>
          <w:p>
            <w:r>
              <w:rPr>
                <w:rFonts w:ascii="Calibri" w:hAnsi="Calibri"/>
                <w:color w:val="333333"/>
                <w:sz w:val="18"/>
              </w:rPr>
              <w:t>$1.52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+6.3%</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40</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1.90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$295</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$350</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$205</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2025-04-03 to 2025-04-08</w:t>
            </w:r>
          </w:p>
        </w:tc>
        <w:tc>
          <w:tcPr>
            <w:tcW w:type="dxa" w:w="1680"/>
          </w:tcPr>
          <w:p>
            <w:r>
              <w:rPr>
                <w:rFonts w:ascii="Calibri" w:hAnsi="Calibri"/>
                <w:color w:val="333333"/>
                <w:sz w:val="18"/>
              </w:rPr>
              <w:t>-23.0%</w:t>
            </w:r>
          </w:p>
        </w:tc>
        <w:tc>
          <w:tcPr>
            <w:tcW w:type="dxa" w:w="1680"/>
          </w:tcPr>
          <w:p>
            <w:r>
              <w:rPr>
                <w:rFonts w:ascii="Calibri" w:hAnsi="Calibri"/>
                <w:color w:val="333333"/>
                <w:sz w:val="18"/>
              </w:rPr>
              <w:t>MULTI_DAY (6d)</w:t>
            </w:r>
          </w:p>
        </w:tc>
        <w:tc>
          <w:tcPr>
            <w:tcW w:type="dxa" w:w="1680"/>
          </w:tcPr>
          <w:p>
            <w:r>
              <w:rPr>
                <w:rFonts w:ascii="Calibri" w:hAnsi="Calibri"/>
                <w:color w:val="333333"/>
                <w:sz w:val="18"/>
              </w:rPr>
              <w:t>Unknown</w:t>
            </w:r>
          </w:p>
        </w:tc>
        <w:tc>
          <w:tcPr>
            <w:tcW w:type="dxa" w:w="1680"/>
          </w:tcPr>
          <w:p>
            <w:r>
              <w:rPr>
                <w:rFonts w:ascii="Calibri" w:hAnsi="Calibri"/>
                <w:color w:val="333333"/>
                <w:sz w:val="18"/>
              </w:rPr>
              <w:t>-13.6%</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2025-04-07</w:t>
            </w:r>
          </w:p>
        </w:tc>
        <w:tc>
          <w:tcPr>
            <w:tcW w:type="dxa" w:w="1680"/>
            <w:shd w:fill="F2F4F8" w:val="clear"/>
          </w:tcPr>
          <w:p>
            <w:r>
              <w:rPr>
                <w:rFonts w:ascii="Calibri" w:hAnsi="Calibri"/>
                <w:color w:val="333333"/>
                <w:sz w:val="18"/>
              </w:rPr>
              <w:t>-18.3%</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-11.2%</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2025-04-04</w:t>
            </w:r>
          </w:p>
        </w:tc>
        <w:tc>
          <w:tcPr>
            <w:tcW w:type="dxa" w:w="1680"/>
          </w:tcPr>
          <w:p>
            <w:r>
              <w:rPr>
                <w:rFonts w:ascii="Calibri" w:hAnsi="Calibri"/>
                <w:color w:val="333333"/>
                <w:sz w:val="18"/>
              </w:rPr>
              <w:t>-15.9%</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-13.0%</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2025-04-03</w:t>
            </w:r>
          </w:p>
        </w:tc>
        <w:tc>
          <w:tcPr>
            <w:tcW w:type="dxa" w:w="1680"/>
            <w:shd w:fill="F2F4F8" w:val="clear"/>
          </w:tcPr>
          <w:p>
            <w:r>
              <w:rPr>
                <w:rFonts w:ascii="Calibri" w:hAnsi="Calibri"/>
                <w:color w:val="333333"/>
                <w:sz w:val="18"/>
              </w:rPr>
              <w:t>-9.2%</w:t>
            </w:r>
          </w:p>
        </w:tc>
        <w:tc>
          <w:tcPr>
            <w:tcW w:type="dxa" w:w="1680"/>
            <w:shd w:fill="F2F4F8" w:val="clear"/>
          </w:tcPr>
          <w:p>
            <w:r>
              <w:rPr>
                <w:rFonts w:ascii="Calibri" w:hAnsi="Calibri"/>
                <w:color w:val="333333"/>
                <w:sz w:val="18"/>
              </w:rPr>
              <w:t>MULTI_DAY (2d)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-6.8%</w:t>
            </w:r>
          </w:p>
        </w:tc>
        <w:tc>
          <w:tcPr>
            <w:tcW w:type="dxa" w:w="1680"/>
            <w:shd w:fill="F2F4F8" w:val="clear"/>
            <w:shd w:fill="FFF3CD" w:val="clear"/>
          </w:tcPr>
          <w:p>
            <w:r>
              <w:rPr>
                <w:rFonts w:ascii="Calibri" w:hAnsi="Calibri"/>
                <w:color w:val="333333"/>
                <w:sz w:val="18"/>
              </w:rPr>
              <w:t>Yes</w:t>
            </w:r>
          </w:p>
        </w:tc>
      </w:tr>
    </w:tbl>
    <w:p>
      <w:pPr>
        <w:pStyle w:val="DOBody"/>
      </w:pPr>
      <w:r>
        <w:t>Class Period Potential: 3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93.3%</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15</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1</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2026-03-15</w:t>
            </w:r>
          </w:p>
        </w:tc>
        <w:tc>
          <w:tcPr>
            <w:tcW w:type="dxa" w:w="1440"/>
          </w:tcPr>
          <w:p>
            <w:r>
              <w:rPr>
                <w:rFonts w:ascii="Calibri" w:hAnsi="Calibri"/>
                <w:color w:val="333333"/>
                <w:sz w:val="18"/>
              </w:rPr>
              <w:t>Newstead Jennifer</w:t>
            </w:r>
          </w:p>
        </w:tc>
        <w:tc>
          <w:tcPr>
            <w:tcW w:type="dxa" w:w="1440"/>
          </w:tcPr>
          <w:p>
            <w:r>
              <w:rPr>
                <w:rFonts w:ascii="Calibri" w:hAnsi="Calibri"/>
                <w:color w:val="333333"/>
                <w:sz w:val="18"/>
              </w:rPr>
              <w:t>SVP, GC and Secretary</w:t>
            </w:r>
          </w:p>
        </w:tc>
        <w:tc>
          <w:tcPr>
            <w:tcW w:type="dxa" w:w="1440"/>
          </w:tcPr>
          <w:p>
            <w:r>
              <w:rPr>
                <w:rFonts w:ascii="Calibri" w:hAnsi="Calibri"/>
                <w:color w:val="333333"/>
                <w:sz w:val="18"/>
              </w:rPr>
              <w:t>EXERCISE</w:t>
            </w:r>
          </w:p>
        </w:tc>
        <w:tc>
          <w:tcPr>
            <w:tcW w:type="dxa" w:w="1440"/>
          </w:tcPr>
          <w:p>
            <w:r>
              <w:rPr>
                <w:rFonts w:ascii="Calibri" w:hAnsi="Calibri"/>
                <w:color w:val="333333"/>
                <w:sz w:val="18"/>
              </w:rPr>
              <w:t>60,208</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2026-03-15</w:t>
            </w:r>
          </w:p>
        </w:tc>
        <w:tc>
          <w:tcPr>
            <w:tcW w:type="dxa" w:w="1440"/>
            <w:shd w:fill="F2F4F8" w:val="clear"/>
          </w:tcPr>
          <w:p>
            <w:r>
              <w:rPr>
                <w:rFonts w:ascii="Calibri" w:hAnsi="Calibri"/>
                <w:color w:val="333333"/>
                <w:sz w:val="18"/>
              </w:rPr>
              <w:t>Newstead Jennifer</w:t>
            </w:r>
          </w:p>
        </w:tc>
        <w:tc>
          <w:tcPr>
            <w:tcW w:type="dxa" w:w="1440"/>
            <w:shd w:fill="F2F4F8" w:val="clear"/>
          </w:tcPr>
          <w:p>
            <w:r>
              <w:rPr>
                <w:rFonts w:ascii="Calibri" w:hAnsi="Calibri"/>
                <w:color w:val="333333"/>
                <w:sz w:val="18"/>
              </w:rPr>
              <w:t>SVP, GC and Secretary</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60,208</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2026-03-15</w:t>
            </w:r>
          </w:p>
        </w:tc>
        <w:tc>
          <w:tcPr>
            <w:tcW w:type="dxa" w:w="1440"/>
          </w:tcPr>
          <w:p>
            <w:r>
              <w:rPr>
                <w:rFonts w:ascii="Calibri" w:hAnsi="Calibri"/>
                <w:color w:val="333333"/>
                <w:sz w:val="18"/>
              </w:rPr>
              <w:t>Newstead Jennifer</w:t>
            </w:r>
          </w:p>
        </w:tc>
        <w:tc>
          <w:tcPr>
            <w:tcW w:type="dxa" w:w="1440"/>
          </w:tcPr>
          <w:p>
            <w:r>
              <w:rPr>
                <w:rFonts w:ascii="Calibri" w:hAnsi="Calibri"/>
                <w:color w:val="333333"/>
                <w:sz w:val="18"/>
              </w:rPr>
              <w:t>SVP, GC and Secretary</w:t>
            </w:r>
          </w:p>
        </w:tc>
        <w:tc>
          <w:tcPr>
            <w:tcW w:type="dxa" w:w="1440"/>
          </w:tcPr>
          <w:p>
            <w:r>
              <w:rPr>
                <w:rFonts w:ascii="Calibri" w:hAnsi="Calibri"/>
                <w:color w:val="333333"/>
                <w:sz w:val="18"/>
              </w:rPr>
              <w:t>TAX_WITHHOLD</w:t>
            </w:r>
          </w:p>
        </w:tc>
        <w:tc>
          <w:tcPr>
            <w:tcW w:type="dxa" w:w="1440"/>
          </w:tcPr>
          <w:p>
            <w:r>
              <w:rPr>
                <w:rFonts w:ascii="Calibri" w:hAnsi="Calibri"/>
                <w:color w:val="333333"/>
                <w:sz w:val="18"/>
              </w:rPr>
              <w:t>32,528</w:t>
            </w:r>
          </w:p>
        </w:tc>
        <w:tc>
          <w:tcPr>
            <w:tcW w:type="dxa" w:w="1440"/>
          </w:tcPr>
          <w:p>
            <w:r>
              <w:rPr>
                <w:rFonts w:ascii="Calibri" w:hAnsi="Calibri"/>
                <w:color w:val="333333"/>
                <w:sz w:val="18"/>
              </w:rPr>
              <w:t>$8.1M</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2026-02-26</w:t>
            </w:r>
          </w:p>
        </w:tc>
        <w:tc>
          <w:tcPr>
            <w:tcW w:type="dxa" w:w="1440"/>
            <w:shd w:fill="F2F4F8" w:val="clear"/>
          </w:tcPr>
          <w:p>
            <w:r>
              <w:rPr>
                <w:rFonts w:ascii="Calibri" w:hAnsi="Calibri"/>
                <w:color w:val="333333"/>
                <w:sz w:val="18"/>
              </w:rPr>
              <w:t>LEVINSON ARTHUR D</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GIFT</w:t>
            </w:r>
          </w:p>
        </w:tc>
        <w:tc>
          <w:tcPr>
            <w:tcW w:type="dxa" w:w="1440"/>
            <w:shd w:fill="F2F4F8" w:val="clear"/>
          </w:tcPr>
          <w:p>
            <w:r>
              <w:rPr>
                <w:rFonts w:ascii="Calibri" w:hAnsi="Calibri"/>
                <w:color w:val="333333"/>
                <w:sz w:val="18"/>
              </w:rPr>
              <w:t>1,113</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WAGNER SUSAN</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1,139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2026-02-24</w:t>
            </w:r>
          </w:p>
        </w:tc>
        <w:tc>
          <w:tcPr>
            <w:tcW w:type="dxa" w:w="1440"/>
            <w:shd w:fill="F2F4F8" w:val="clear"/>
          </w:tcPr>
          <w:p>
            <w:r>
              <w:rPr>
                <w:rFonts w:ascii="Calibri" w:hAnsi="Calibri"/>
                <w:color w:val="333333"/>
                <w:sz w:val="18"/>
              </w:rPr>
              <w:t>SUGAR RONALD D</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1,139</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LOZANO MONICA C</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1,139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2026-02-24</w:t>
            </w:r>
          </w:p>
        </w:tc>
        <w:tc>
          <w:tcPr>
            <w:tcW w:type="dxa" w:w="1440"/>
            <w:shd w:fill="F2F4F8" w:val="clear"/>
          </w:tcPr>
          <w:p>
            <w:r>
              <w:rPr>
                <w:rFonts w:ascii="Calibri" w:hAnsi="Calibri"/>
                <w:color w:val="333333"/>
                <w:sz w:val="18"/>
              </w:rPr>
              <w:t>LEVINSON ARTHUR D</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1,011</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JUNG ANDREA</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1,139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2026-02-24</w:t>
            </w:r>
          </w:p>
        </w:tc>
        <w:tc>
          <w:tcPr>
            <w:tcW w:type="dxa" w:w="1440"/>
            <w:shd w:fill="F2F4F8" w:val="clear"/>
          </w:tcPr>
          <w:p>
            <w:r>
              <w:rPr>
                <w:rFonts w:ascii="Calibri" w:hAnsi="Calibri"/>
                <w:color w:val="333333"/>
                <w:sz w:val="18"/>
              </w:rPr>
              <w:t>Gorsky Alex</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1,139</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Austin Wanda M</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1,139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2026-02-01</w:t>
            </w:r>
          </w:p>
        </w:tc>
        <w:tc>
          <w:tcPr>
            <w:tcW w:type="dxa" w:w="1440"/>
            <w:shd w:fill="F2F4F8" w:val="clear"/>
          </w:tcPr>
          <w:p>
            <w:r>
              <w:rPr>
                <w:rFonts w:ascii="Calibri" w:hAnsi="Calibri"/>
                <w:color w:val="333333"/>
                <w:sz w:val="18"/>
              </w:rPr>
              <w:t>WAGNER SUSAN</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1,255</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2026-02-01</w:t>
            </w:r>
          </w:p>
        </w:tc>
        <w:tc>
          <w:tcPr>
            <w:tcW w:type="dxa" w:w="1440"/>
          </w:tcPr>
          <w:p>
            <w:r>
              <w:rPr>
                <w:rFonts w:ascii="Calibri" w:hAnsi="Calibri"/>
                <w:color w:val="333333"/>
                <w:sz w:val="18"/>
              </w:rPr>
              <w:t>WAGNER SUSAN</w:t>
            </w:r>
          </w:p>
        </w:tc>
        <w:tc>
          <w:tcPr>
            <w:tcW w:type="dxa" w:w="1440"/>
          </w:tcPr>
          <w:p>
            <w:r>
              <w:rPr>
                <w:rFonts w:ascii="Calibri" w:hAnsi="Calibri"/>
                <w:color w:val="333333"/>
                <w:sz w:val="18"/>
              </w:rPr>
              <w:t>Director</w:t>
            </w:r>
          </w:p>
        </w:tc>
        <w:tc>
          <w:tcPr>
            <w:tcW w:type="dxa" w:w="1440"/>
          </w:tcPr>
          <w:p>
            <w:r>
              <w:rPr>
                <w:rFonts w:ascii="Calibri" w:hAnsi="Calibri"/>
                <w:color w:val="333333"/>
                <w:sz w:val="18"/>
              </w:rPr>
              <w:t>EXERCISE</w:t>
            </w:r>
          </w:p>
        </w:tc>
        <w:tc>
          <w:tcPr>
            <w:tcW w:type="dxa" w:w="1440"/>
          </w:tcPr>
          <w:p>
            <w:r>
              <w:rPr>
                <w:rFonts w:ascii="Calibri" w:hAnsi="Calibri"/>
                <w:color w:val="333333"/>
                <w:sz w:val="18"/>
              </w:rPr>
              <w:t>1,255</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2026-02-01</w:t>
            </w:r>
          </w:p>
        </w:tc>
        <w:tc>
          <w:tcPr>
            <w:tcW w:type="dxa" w:w="1440"/>
            <w:shd w:fill="F2F4F8" w:val="clear"/>
          </w:tcPr>
          <w:p>
            <w:r>
              <w:rPr>
                <w:rFonts w:ascii="Calibri" w:hAnsi="Calibri"/>
                <w:color w:val="333333"/>
                <w:sz w:val="18"/>
              </w:rPr>
              <w:t>SUGAR RONALD D</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1,255</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2026-02-01</w:t>
            </w:r>
          </w:p>
        </w:tc>
        <w:tc>
          <w:tcPr>
            <w:tcW w:type="dxa" w:w="1440"/>
          </w:tcPr>
          <w:p>
            <w:r>
              <w:rPr>
                <w:rFonts w:ascii="Calibri" w:hAnsi="Calibri"/>
                <w:color w:val="333333"/>
                <w:sz w:val="18"/>
              </w:rPr>
              <w:t>SUGAR RONALD D</w:t>
            </w:r>
          </w:p>
        </w:tc>
        <w:tc>
          <w:tcPr>
            <w:tcW w:type="dxa" w:w="1440"/>
          </w:tcPr>
          <w:p>
            <w:r>
              <w:rPr>
                <w:rFonts w:ascii="Calibri" w:hAnsi="Calibri"/>
                <w:color w:val="333333"/>
                <w:sz w:val="18"/>
              </w:rPr>
              <w:t>Director</w:t>
            </w:r>
          </w:p>
        </w:tc>
        <w:tc>
          <w:tcPr>
            <w:tcW w:type="dxa" w:w="1440"/>
          </w:tcPr>
          <w:p>
            <w:r>
              <w:rPr>
                <w:rFonts w:ascii="Calibri" w:hAnsi="Calibri"/>
                <w:color w:val="333333"/>
                <w:sz w:val="18"/>
              </w:rPr>
              <w:t>EXERCISE</w:t>
            </w:r>
          </w:p>
        </w:tc>
        <w:tc>
          <w:tcPr>
            <w:tcW w:type="dxa" w:w="1440"/>
          </w:tcPr>
          <w:p>
            <w:r>
              <w:rPr>
                <w:rFonts w:ascii="Calibri" w:hAnsi="Calibri"/>
                <w:color w:val="333333"/>
                <w:sz w:val="18"/>
              </w:rPr>
              <w:t>1,255</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2026-02-01</w:t>
            </w:r>
          </w:p>
        </w:tc>
        <w:tc>
          <w:tcPr>
            <w:tcW w:type="dxa" w:w="1440"/>
            <w:shd w:fill="F2F4F8" w:val="clear"/>
          </w:tcPr>
          <w:p>
            <w:r>
              <w:rPr>
                <w:rFonts w:ascii="Calibri" w:hAnsi="Calibri"/>
                <w:color w:val="333333"/>
                <w:sz w:val="18"/>
              </w:rPr>
              <w:t>LOZANO MONICA C</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1,255</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2026-02-01</w:t>
            </w:r>
          </w:p>
        </w:tc>
        <w:tc>
          <w:tcPr>
            <w:tcW w:type="dxa" w:w="1440"/>
          </w:tcPr>
          <w:p>
            <w:r>
              <w:rPr>
                <w:rFonts w:ascii="Calibri" w:hAnsi="Calibri"/>
                <w:color w:val="333333"/>
                <w:sz w:val="18"/>
              </w:rPr>
              <w:t>LOZANO MONICA C</w:t>
            </w:r>
          </w:p>
        </w:tc>
        <w:tc>
          <w:tcPr>
            <w:tcW w:type="dxa" w:w="1440"/>
          </w:tcPr>
          <w:p>
            <w:r>
              <w:rPr>
                <w:rFonts w:ascii="Calibri" w:hAnsi="Calibri"/>
                <w:color w:val="333333"/>
                <w:sz w:val="18"/>
              </w:rPr>
              <w:t>Director</w:t>
            </w:r>
          </w:p>
        </w:tc>
        <w:tc>
          <w:tcPr>
            <w:tcW w:type="dxa" w:w="1440"/>
          </w:tcPr>
          <w:p>
            <w:r>
              <w:rPr>
                <w:rFonts w:ascii="Calibri" w:hAnsi="Calibri"/>
                <w:color w:val="333333"/>
                <w:sz w:val="18"/>
              </w:rPr>
              <w:t>EXERCISE</w:t>
            </w:r>
          </w:p>
        </w:tc>
        <w:tc>
          <w:tcPr>
            <w:tcW w:type="dxa" w:w="1440"/>
          </w:tcPr>
          <w:p>
            <w:r>
              <w:rPr>
                <w:rFonts w:ascii="Calibri" w:hAnsi="Calibri"/>
                <w:color w:val="333333"/>
                <w:sz w:val="18"/>
              </w:rPr>
              <w:t>1,255</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2026-02-01</w:t>
            </w:r>
          </w:p>
        </w:tc>
        <w:tc>
          <w:tcPr>
            <w:tcW w:type="dxa" w:w="1440"/>
            <w:shd w:fill="F2F4F8" w:val="clear"/>
          </w:tcPr>
          <w:p>
            <w:r>
              <w:rPr>
                <w:rFonts w:ascii="Calibri" w:hAnsi="Calibri"/>
                <w:color w:val="333333"/>
                <w:sz w:val="18"/>
              </w:rPr>
              <w:t>LEVINSON ARTHUR D</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1,113</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2026-02-01</w:t>
            </w:r>
          </w:p>
        </w:tc>
        <w:tc>
          <w:tcPr>
            <w:tcW w:type="dxa" w:w="1440"/>
          </w:tcPr>
          <w:p>
            <w:r>
              <w:rPr>
                <w:rFonts w:ascii="Calibri" w:hAnsi="Calibri"/>
                <w:color w:val="333333"/>
                <w:sz w:val="18"/>
              </w:rPr>
              <w:t>LEVINSON ARTHUR D</w:t>
            </w:r>
          </w:p>
        </w:tc>
        <w:tc>
          <w:tcPr>
            <w:tcW w:type="dxa" w:w="1440"/>
          </w:tcPr>
          <w:p>
            <w:r>
              <w:rPr>
                <w:rFonts w:ascii="Calibri" w:hAnsi="Calibri"/>
                <w:color w:val="333333"/>
                <w:sz w:val="18"/>
              </w:rPr>
              <w:t>Director</w:t>
            </w:r>
          </w:p>
        </w:tc>
        <w:tc>
          <w:tcPr>
            <w:tcW w:type="dxa" w:w="1440"/>
          </w:tcPr>
          <w:p>
            <w:r>
              <w:rPr>
                <w:rFonts w:ascii="Calibri" w:hAnsi="Calibri"/>
                <w:color w:val="333333"/>
                <w:sz w:val="18"/>
              </w:rPr>
              <w:t>EXERCISE</w:t>
            </w:r>
          </w:p>
        </w:tc>
        <w:tc>
          <w:tcPr>
            <w:tcW w:type="dxa" w:w="1440"/>
          </w:tcPr>
          <w:p>
            <w:r>
              <w:rPr>
                <w:rFonts w:ascii="Calibri" w:hAnsi="Calibri"/>
                <w:color w:val="333333"/>
                <w:sz w:val="18"/>
              </w:rPr>
              <w:t>1,113</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2026-02-01</w:t>
            </w:r>
          </w:p>
        </w:tc>
        <w:tc>
          <w:tcPr>
            <w:tcW w:type="dxa" w:w="1440"/>
            <w:shd w:fill="F2F4F8" w:val="clear"/>
          </w:tcPr>
          <w:p>
            <w:r>
              <w:rPr>
                <w:rFonts w:ascii="Calibri" w:hAnsi="Calibri"/>
                <w:color w:val="333333"/>
                <w:sz w:val="18"/>
              </w:rPr>
              <w:t>JUNG ANDREA</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1,255</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bl>
    <w:p>
      <w:pPr>
        <w:pStyle w:val="DOHeading3"/>
      </w:pPr>
      <w:r>
        <w:t>Cluster Selling Events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Window</w:t>
            </w:r>
          </w:p>
        </w:tc>
        <w:tc>
          <w:tcPr>
            <w:tcW w:type="dxa" w:w="2520"/>
            <w:shd w:fill="1A1446" w:val="clear"/>
          </w:tcPr>
          <w:p>
            <w:r>
              <w:rPr>
                <w:rFonts w:ascii="Calibri" w:hAnsi="Calibri"/>
                <w:b/>
                <w:color w:val="FFFFFF"/>
                <w:sz w:val="18"/>
              </w:rPr>
              <w:t>Insiders</w:t>
            </w:r>
          </w:p>
        </w:tc>
        <w:tc>
          <w:tcPr>
            <w:tcW w:type="dxa" w:w="2520"/>
            <w:shd w:fill="1A1446" w:val="clear"/>
          </w:tcPr>
          <w:p>
            <w:r>
              <w:rPr>
                <w:rFonts w:ascii="Calibri" w:hAnsi="Calibri"/>
                <w:b/>
                <w:color w:val="FFFFFF"/>
                <w:sz w:val="18"/>
              </w:rPr>
              <w:t>Names</w:t>
            </w:r>
          </w:p>
        </w:tc>
        <w:tc>
          <w:tcPr>
            <w:tcW w:type="dxa" w:w="2520"/>
            <w:shd w:fill="1A1446" w:val="clear"/>
          </w:tcPr>
          <w:p>
            <w:r>
              <w:rPr>
                <w:rFonts w:ascii="Calibri" w:hAnsi="Calibri"/>
                <w:b/>
                <w:color w:val="FFFFFF"/>
                <w:sz w:val="18"/>
              </w:rPr>
              <w:t>Total Value</w:t>
            </w:r>
          </w:p>
        </w:tc>
      </w:tr>
      <w:tr>
        <w:tc>
          <w:tcPr>
            <w:tcW w:type="dxa" w:w="2520"/>
          </w:tcPr>
          <w:p>
            <w:r>
              <w:rPr>
                <w:rFonts w:ascii="Calibri" w:hAnsi="Calibri"/>
                <w:color w:val="333333"/>
                <w:sz w:val="18"/>
              </w:rPr>
              <w:t>2025-10-02 to 2025-10-16</w:t>
            </w:r>
          </w:p>
        </w:tc>
        <w:tc>
          <w:tcPr>
            <w:tcW w:type="dxa" w:w="2520"/>
          </w:tcPr>
          <w:p>
            <w:r>
              <w:rPr>
                <w:rFonts w:ascii="Calibri" w:hAnsi="Calibri"/>
                <w:color w:val="333333"/>
                <w:sz w:val="18"/>
              </w:rPr>
              <w:t>4</w:t>
            </w:r>
          </w:p>
        </w:tc>
        <w:tc>
          <w:tcPr>
            <w:tcW w:type="dxa" w:w="2520"/>
          </w:tcPr>
          <w:p>
            <w:r>
              <w:rPr>
                <w:rFonts w:ascii="Calibri" w:hAnsi="Calibri"/>
                <w:color w:val="333333"/>
                <w:sz w:val="18"/>
              </w:rPr>
              <w:t>Adams Katherine L., COOK TIMOTHY D, O'BRIEN DEIRDRE, Parekh Kevan</w:t>
            </w:r>
          </w:p>
        </w:tc>
        <w:tc>
          <w:tcPr>
            <w:tcW w:type="dxa" w:w="2520"/>
          </w:tcPr>
          <w:p>
            <w:r>
              <w:rPr>
                <w:rFonts w:ascii="Calibri" w:hAnsi="Calibri"/>
                <w:color w:val="333333"/>
                <w:sz w:val="18"/>
              </w:rPr>
              <w:t>$57.6M</w:t>
            </w:r>
          </w:p>
        </w:tc>
      </w:tr>
    </w:tbl>
    <w:p>
      <w:pPr>
        <w:pStyle w:val="DOBody"/>
      </w:pPr>
      <w:r>
        <w:t>Insider Cluster Selling (1 event(s)): Coordinated insider selling is a key D&amp;O risk signal. Courts view cluster sales -- where 3+ insiders sell within a narrow window -- as circumstantial evidence of scienter (intent to defraud) in securities fraud claims.</w:t>
      </w:r>
      <w:r>
        <w:rPr>
          <w:b/>
          <w:color w:val="EA580C"/>
          <w:sz w:val="18"/>
        </w:rPr>
        <w:t xml:space="preserve"> [HIGH]</w:t>
      </w:r>
    </w:p>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120"/>
      </w:pPr>
      <w:r>
        <w:rPr>
          <w:color w:val="333333"/>
          <w:sz w:val="20"/>
        </w:rPr>
        <w:t>Apple's $416.2B revenue and $112.0B net income, up 6.4% and 19.5% respectively from the prior year, provide immense scale to absorb litigation costs, but its sub-1.0 current ratio of 0.89 indicates a deliberate liquidity posture that plaintiffs could mischaracterize as financial stress in a going-concern allegation, despite the audit opinion confirming no going concern issue. Its pristine Beneish M-Score of -2.29 and Piotroski F-Score of 8, based on 134 financial checks with only 12 triggered, virtually eliminate Section 10(b) restatement risk from earnings manipulation, a stark contrast to peers with thinner margins. However, the elevated debt-to-equity of 1.23, against an exceptionally high interest coverage ratio of 33.8, reflects aggressive capital returns; a sustained market downturn could fuel derivative suits alleging fiduciary breach in capital allocation. The Altman Z-Score of 10.16 confirms fundamental safety in the "safe" zone, but the real D&amp;O exposure lies in event-driven litigation targeting its strategic decisions, not its balance sheet, as underscored by a clean audit from Ernst &amp; Young after a 17-year tenure.</w:t>
      </w:r>
    </w:p>
    <w:p>
      <w:pPr>
        <w:pStyle w:val="DOHeading1"/>
      </w:pPr>
      <w:r>
        <w:t>Section 3: Financial Health</w:t>
      </w:r>
    </w:p>
    <w:p>
      <w:pPr>
        <w:pStyle w:val="DOBody"/>
      </w:pPr>
      <w:r>
        <w:t>The company reported revenue of $416.2B and net income of $112.0B (per FY2025 10-K, Company Facts API CIK320193). Revenue grew 6.4% year-over-year (from $391.0B). Financial health is exceptionally strong: Altman Z-Score of 10.16 (safe zone threshold: 2.99) indicates negligible bankruptcy risk. Ohlson O-Score of 0.00 confirms no distress signals. Piotroski F-Score of 8/9 indicates strong fundamental quality. D/E ratio of 1.23 is moderate. Earnings quality is healthy (OCF/NI: 1.00), indicating reported income is well-supported by operating cash flows -- reducing restatement risk. Auditor: Ernst &amp; Young (Big 4), tenure: 17 years.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$391.0B</w:t>
            </w:r>
          </w:p>
        </w:tc>
        <w:tc>
          <w:tcPr>
            <w:tcW w:type="dxa" w:w="2520"/>
          </w:tcPr>
          <w:p>
            <w:r>
              <w:rPr>
                <w:rFonts w:ascii="Calibri" w:hAnsi="Calibri"/>
                <w:color w:val="333333"/>
                <w:sz w:val="18"/>
              </w:rPr>
              <w:t>$416.2B</w:t>
            </w:r>
          </w:p>
        </w:tc>
        <w:tc>
          <w:tcPr>
            <w:tcW w:type="dxa" w:w="2520"/>
            <w:shd w:fill="FFF3CD" w:val="clear"/>
          </w:tcPr>
          <w:p>
            <w:r>
              <w:rPr>
                <w:rFonts w:ascii="Calibri" w:hAnsi="Calibri"/>
                <w:color w:val="333333"/>
                <w:sz w:val="18"/>
              </w:rPr>
              <w:t>6.4%</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$210.4B</w:t>
            </w:r>
          </w:p>
        </w:tc>
        <w:tc>
          <w:tcPr>
            <w:tcW w:type="dxa" w:w="2520"/>
            <w:shd w:fill="F2F4F8" w:val="clear"/>
          </w:tcPr>
          <w:p>
            <w:r>
              <w:rPr>
                <w:rFonts w:ascii="Calibri" w:hAnsi="Calibri"/>
                <w:color w:val="333333"/>
                <w:sz w:val="18"/>
              </w:rPr>
              <w:t>$221.0B</w:t>
            </w:r>
          </w:p>
        </w:tc>
        <w:tc>
          <w:tcPr>
            <w:tcW w:type="dxa" w:w="2520"/>
            <w:shd w:fill="F2F4F8" w:val="clear"/>
            <w:shd w:fill="FFF3CD" w:val="clear"/>
          </w:tcPr>
          <w:p>
            <w:r>
              <w:rPr>
                <w:rFonts w:ascii="Calibri" w:hAnsi="Calibri"/>
                <w:color w:val="333333"/>
                <w:sz w:val="18"/>
              </w:rPr>
              <w:t>5.0%</w:t>
            </w:r>
          </w:p>
        </w:tc>
      </w:tr>
      <w:tr>
        <w:tc>
          <w:tcPr>
            <w:tcW w:type="dxa" w:w="2520"/>
          </w:tcPr>
          <w:p>
            <w:r>
              <w:rPr>
                <w:rFonts w:ascii="Calibri" w:hAnsi="Calibri"/>
                <w:color w:val="333333"/>
                <w:sz w:val="18"/>
              </w:rPr>
              <w:t>Gross profit</w:t>
            </w:r>
          </w:p>
        </w:tc>
        <w:tc>
          <w:tcPr>
            <w:tcW w:type="dxa" w:w="2520"/>
          </w:tcPr>
          <w:p>
            <w:r>
              <w:rPr>
                <w:rFonts w:ascii="Calibri" w:hAnsi="Calibri"/>
                <w:color w:val="333333"/>
                <w:sz w:val="18"/>
              </w:rPr>
              <w:t>$180.7B</w:t>
            </w:r>
          </w:p>
        </w:tc>
        <w:tc>
          <w:tcPr>
            <w:tcW w:type="dxa" w:w="2520"/>
          </w:tcPr>
          <w:p>
            <w:r>
              <w:rPr>
                <w:rFonts w:ascii="Calibri" w:hAnsi="Calibri"/>
                <w:color w:val="333333"/>
                <w:sz w:val="18"/>
              </w:rPr>
              <w:t>$195.2B</w:t>
            </w:r>
          </w:p>
        </w:tc>
        <w:tc>
          <w:tcPr>
            <w:tcW w:type="dxa" w:w="2520"/>
            <w:shd w:fill="FFF3CD" w:val="clear"/>
          </w:tcPr>
          <w:p>
            <w:r>
              <w:rPr>
                <w:rFonts w:ascii="Calibri" w:hAnsi="Calibri"/>
                <w:color w:val="333333"/>
                <w:sz w:val="18"/>
              </w:rPr>
              <w:t>8.0%</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$123.2B</w:t>
            </w:r>
          </w:p>
        </w:tc>
        <w:tc>
          <w:tcPr>
            <w:tcW w:type="dxa" w:w="2520"/>
            <w:shd w:fill="F2F4F8" w:val="clear"/>
          </w:tcPr>
          <w:p>
            <w:r>
              <w:rPr>
                <w:rFonts w:ascii="Calibri" w:hAnsi="Calibri"/>
                <w:color w:val="333333"/>
                <w:sz w:val="18"/>
              </w:rPr>
              <w:t>$133.1B</w:t>
            </w:r>
          </w:p>
        </w:tc>
        <w:tc>
          <w:tcPr>
            <w:tcW w:type="dxa" w:w="2520"/>
            <w:shd w:fill="F2F4F8" w:val="clear"/>
            <w:shd w:fill="FFF3CD" w:val="clear"/>
          </w:tcPr>
          <w:p>
            <w:r>
              <w:rPr>
                <w:rFonts w:ascii="Calibri" w:hAnsi="Calibri"/>
                <w:color w:val="333333"/>
                <w:sz w:val="18"/>
              </w:rPr>
              <w:t>8.0%</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$93.7B</w:t>
            </w:r>
          </w:p>
        </w:tc>
        <w:tc>
          <w:tcPr>
            <w:tcW w:type="dxa" w:w="2520"/>
          </w:tcPr>
          <w:p>
            <w:r>
              <w:rPr>
                <w:rFonts w:ascii="Calibri" w:hAnsi="Calibri"/>
                <w:color w:val="333333"/>
                <w:sz w:val="18"/>
              </w:rPr>
              <w:t>$112.0B</w:t>
            </w:r>
          </w:p>
        </w:tc>
        <w:tc>
          <w:tcPr>
            <w:tcW w:type="dxa" w:w="2520"/>
            <w:shd w:fill="DCEEF8" w:val="clear"/>
          </w:tcPr>
          <w:p>
            <w:r>
              <w:rPr>
                <w:rFonts w:ascii="Calibri" w:hAnsi="Calibri"/>
                <w:color w:val="333333"/>
                <w:sz w:val="18"/>
              </w:rPr>
              <w:t>19.5%</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$6.11</w:t>
            </w:r>
          </w:p>
        </w:tc>
        <w:tc>
          <w:tcPr>
            <w:tcW w:type="dxa" w:w="2520"/>
            <w:shd w:fill="F2F4F8" w:val="clear"/>
          </w:tcPr>
          <w:p>
            <w:r>
              <w:rPr>
                <w:rFonts w:ascii="Calibri" w:hAnsi="Calibri"/>
                <w:color w:val="333333"/>
                <w:sz w:val="18"/>
              </w:rPr>
              <w:t>$7.49</w:t>
            </w:r>
          </w:p>
        </w:tc>
        <w:tc>
          <w:tcPr>
            <w:tcW w:type="dxa" w:w="2520"/>
            <w:shd w:fill="F2F4F8" w:val="clear"/>
            <w:shd w:fill="DCEEF8" w:val="clear"/>
          </w:tcPr>
          <w:p>
            <w:r>
              <w:rPr>
                <w:rFonts w:ascii="Calibri" w:hAnsi="Calibri"/>
                <w:color w:val="333333"/>
                <w:sz w:val="18"/>
              </w:rPr>
              <w:t>22.6%</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$6.08</w:t>
            </w:r>
          </w:p>
        </w:tc>
        <w:tc>
          <w:tcPr>
            <w:tcW w:type="dxa" w:w="2520"/>
          </w:tcPr>
          <w:p>
            <w:r>
              <w:rPr>
                <w:rFonts w:ascii="Calibri" w:hAnsi="Calibri"/>
                <w:color w:val="333333"/>
                <w:sz w:val="18"/>
              </w:rPr>
              <w:t>$7.46</w:t>
            </w:r>
          </w:p>
        </w:tc>
        <w:tc>
          <w:tcPr>
            <w:tcW w:type="dxa" w:w="2520"/>
            <w:shd w:fill="DCEEF8" w:val="clear"/>
          </w:tcPr>
          <w:p>
            <w:r>
              <w:rPr>
                <w:rFonts w:ascii="Calibri" w:hAnsi="Calibri"/>
                <w:color w:val="333333"/>
                <w:sz w:val="18"/>
              </w:rPr>
              <w:t>22.7%</w:t>
            </w:r>
          </w:p>
        </w:tc>
      </w:tr>
      <w:tr>
        <w:tc>
          <w:tcPr>
            <w:tcW w:type="dxa" w:w="2520"/>
            <w:shd w:fill="F2F4F8" w:val="clear"/>
          </w:tcPr>
          <w:p>
            <w:r>
              <w:rPr>
                <w:rFonts w:ascii="Calibri" w:hAnsi="Calibri"/>
                <w:color w:val="333333"/>
                <w:sz w:val="18"/>
              </w:rPr>
              <w:t>Income tax expense / benefit</w:t>
            </w:r>
          </w:p>
        </w:tc>
        <w:tc>
          <w:tcPr>
            <w:tcW w:type="dxa" w:w="2520"/>
            <w:shd w:fill="F2F4F8" w:val="clear"/>
          </w:tcPr>
          <w:p>
            <w:r>
              <w:rPr>
                <w:rFonts w:ascii="Calibri" w:hAnsi="Calibri"/>
                <w:color w:val="333333"/>
                <w:sz w:val="18"/>
              </w:rPr>
              <w:t>$29.7B</w:t>
            </w:r>
          </w:p>
        </w:tc>
        <w:tc>
          <w:tcPr>
            <w:tcW w:type="dxa" w:w="2520"/>
            <w:shd w:fill="F2F4F8" w:val="clear"/>
          </w:tcPr>
          <w:p>
            <w:r>
              <w:rPr>
                <w:rFonts w:ascii="Calibri" w:hAnsi="Calibri"/>
                <w:color w:val="333333"/>
                <w:sz w:val="18"/>
              </w:rPr>
              <w:t>$20.7B</w:t>
            </w:r>
          </w:p>
        </w:tc>
        <w:tc>
          <w:tcPr>
            <w:tcW w:type="dxa" w:w="2520"/>
            <w:shd w:fill="F2F4F8" w:val="clear"/>
            <w:shd w:fill="FCE8E6" w:val="clear"/>
          </w:tcPr>
          <w:p>
            <w:r>
              <w:rPr>
                <w:rFonts w:ascii="Calibri" w:hAnsi="Calibri"/>
                <w:color w:val="333333"/>
                <w:sz w:val="18"/>
              </w:rPr>
              <w:t>-30.4%</w:t>
            </w:r>
          </w:p>
        </w:tc>
      </w:tr>
      <w:tr>
        <w:tc>
          <w:tcPr>
            <w:tcW w:type="dxa" w:w="2520"/>
          </w:tcPr>
          <w:p>
            <w:r>
              <w:rPr>
                <w:rFonts w:ascii="Calibri" w:hAnsi="Calibri"/>
                <w:color w:val="333333"/>
                <w:sz w:val="18"/>
              </w:rPr>
              <w:t>Research and development expense</w:t>
            </w:r>
          </w:p>
        </w:tc>
        <w:tc>
          <w:tcPr>
            <w:tcW w:type="dxa" w:w="2520"/>
          </w:tcPr>
          <w:p>
            <w:r>
              <w:rPr>
                <w:rFonts w:ascii="Calibri" w:hAnsi="Calibri"/>
                <w:color w:val="333333"/>
                <w:sz w:val="18"/>
              </w:rPr>
              <w:t>$31.4B</w:t>
            </w:r>
          </w:p>
        </w:tc>
        <w:tc>
          <w:tcPr>
            <w:tcW w:type="dxa" w:w="2520"/>
          </w:tcPr>
          <w:p>
            <w:r>
              <w:rPr>
                <w:rFonts w:ascii="Calibri" w:hAnsi="Calibri"/>
                <w:color w:val="333333"/>
                <w:sz w:val="18"/>
              </w:rPr>
              <w:t>$34.5B</w:t>
            </w:r>
          </w:p>
        </w:tc>
        <w:tc>
          <w:tcPr>
            <w:tcW w:type="dxa" w:w="2520"/>
            <w:shd w:fill="DCEEF8" w:val="clear"/>
          </w:tcPr>
          <w:p>
            <w:r>
              <w:rPr>
                <w:rFonts w:ascii="Calibri" w:hAnsi="Calibri"/>
                <w:color w:val="333333"/>
                <w:sz w:val="18"/>
              </w:rPr>
              <w:t>10.1%</w:t>
            </w:r>
          </w:p>
        </w:tc>
      </w:tr>
      <w:tr>
        <w:tc>
          <w:tcPr>
            <w:tcW w:type="dxa" w:w="2520"/>
            <w:shd w:fill="F2F4F8" w:val="clear"/>
          </w:tcPr>
          <w:p>
            <w:r>
              <w:rPr>
                <w:rFonts w:ascii="Calibri" w:hAnsi="Calibri"/>
                <w:color w:val="333333"/>
                <w:sz w:val="18"/>
              </w:rPr>
              <w:t>Selling, general and administrative expense</w:t>
            </w:r>
          </w:p>
        </w:tc>
        <w:tc>
          <w:tcPr>
            <w:tcW w:type="dxa" w:w="2520"/>
            <w:shd w:fill="F2F4F8" w:val="clear"/>
          </w:tcPr>
          <w:p>
            <w:r>
              <w:rPr>
                <w:rFonts w:ascii="Calibri" w:hAnsi="Calibri"/>
                <w:color w:val="333333"/>
                <w:sz w:val="18"/>
              </w:rPr>
              <w:t>$26.1B</w:t>
            </w:r>
          </w:p>
        </w:tc>
        <w:tc>
          <w:tcPr>
            <w:tcW w:type="dxa" w:w="2520"/>
            <w:shd w:fill="F2F4F8" w:val="clear"/>
          </w:tcPr>
          <w:p>
            <w:r>
              <w:rPr>
                <w:rFonts w:ascii="Calibri" w:hAnsi="Calibri"/>
                <w:color w:val="333333"/>
                <w:sz w:val="18"/>
              </w:rPr>
              <w:t>$27.6B</w:t>
            </w:r>
          </w:p>
        </w:tc>
        <w:tc>
          <w:tcPr>
            <w:tcW w:type="dxa" w:w="2520"/>
            <w:shd w:fill="F2F4F8" w:val="clear"/>
            <w:shd w:fill="FFF3CD" w:val="clear"/>
          </w:tcPr>
          <w:p>
            <w:r>
              <w:rPr>
                <w:rFonts w:ascii="Calibri" w:hAnsi="Calibri"/>
                <w:color w:val="333333"/>
                <w:sz w:val="18"/>
              </w:rPr>
              <w:t>5.8%</w:t>
            </w:r>
          </w:p>
        </w:tc>
      </w:tr>
      <w:tr>
        <w:tc>
          <w:tcPr>
            <w:tcW w:type="dxa" w:w="2520"/>
          </w:tcPr>
          <w:p>
            <w:r>
              <w:rPr>
                <w:rFonts w:ascii="Calibri" w:hAnsi="Calibri"/>
                <w:color w:val="333333"/>
                <w:sz w:val="18"/>
              </w:rPr>
              <w:t>Earnings before interest and taxes (EBIT)</w:t>
            </w:r>
          </w:p>
        </w:tc>
        <w:tc>
          <w:tcPr>
            <w:tcW w:type="dxa" w:w="2520"/>
          </w:tcPr>
          <w:p>
            <w:r>
              <w:rPr>
                <w:rFonts w:ascii="Calibri" w:hAnsi="Calibri"/>
                <w:color w:val="333333"/>
                <w:sz w:val="18"/>
              </w:rPr>
              <w:t>$123.2B</w:t>
            </w:r>
          </w:p>
        </w:tc>
        <w:tc>
          <w:tcPr>
            <w:tcW w:type="dxa" w:w="2520"/>
          </w:tcPr>
          <w:p>
            <w:r>
              <w:rPr>
                <w:rFonts w:ascii="Calibri" w:hAnsi="Calibri"/>
                <w:color w:val="333333"/>
                <w:sz w:val="18"/>
              </w:rPr>
              <w:t>$133.1B</w:t>
            </w:r>
          </w:p>
        </w:tc>
        <w:tc>
          <w:tcPr>
            <w:tcW w:type="dxa" w:w="2520"/>
            <w:shd w:fill="FFF3CD" w:val="clear"/>
          </w:tcPr>
          <w:p>
            <w:r>
              <w:rPr>
                <w:rFonts w:ascii="Calibri" w:hAnsi="Calibri"/>
                <w:color w:val="333333"/>
                <w:sz w:val="18"/>
              </w:rPr>
              <w:t>8.0%</w:t>
            </w:r>
          </w:p>
        </w:tc>
      </w:tr>
      <w:tr>
        <w:tc>
          <w:tcPr>
            <w:tcW w:type="dxa" w:w="2520"/>
            <w:shd w:fill="F2F4F8" w:val="clear"/>
          </w:tcPr>
          <w:p>
            <w:r>
              <w:rPr>
                <w:rFonts w:ascii="Calibri" w:hAnsi="Calibri"/>
                <w:color w:val="333333"/>
                <w:sz w:val="18"/>
              </w:rPr>
              <w:t>Weighted average shares outstanding (basic)</w:t>
            </w:r>
          </w:p>
        </w:tc>
        <w:tc>
          <w:tcPr>
            <w:tcW w:type="dxa" w:w="2520"/>
            <w:shd w:fill="F2F4F8" w:val="clear"/>
          </w:tcPr>
          <w:p>
            <w:r>
              <w:rPr>
                <w:rFonts w:ascii="Calibri" w:hAnsi="Calibri"/>
                <w:color w:val="333333"/>
                <w:sz w:val="18"/>
              </w:rPr>
              <w:t>15.3B</w:t>
            </w:r>
          </w:p>
        </w:tc>
        <w:tc>
          <w:tcPr>
            <w:tcW w:type="dxa" w:w="2520"/>
            <w:shd w:fill="F2F4F8" w:val="clear"/>
          </w:tcPr>
          <w:p>
            <w:r>
              <w:rPr>
                <w:rFonts w:ascii="Calibri" w:hAnsi="Calibri"/>
                <w:color w:val="333333"/>
                <w:sz w:val="18"/>
              </w:rPr>
              <w:t>14.9B</w:t>
            </w:r>
          </w:p>
        </w:tc>
        <w:tc>
          <w:tcPr>
            <w:tcW w:type="dxa" w:w="2520"/>
            <w:shd w:fill="F2F4F8" w:val="clear"/>
            <w:shd w:fill="FFF3CD" w:val="clear"/>
          </w:tcPr>
          <w:p>
            <w:r>
              <w:rPr>
                <w:rFonts w:ascii="Calibri" w:hAnsi="Calibri"/>
                <w:color w:val="333333"/>
                <w:sz w:val="18"/>
              </w:rPr>
              <w:t>-2.6%</w:t>
            </w:r>
          </w:p>
        </w:tc>
      </w:tr>
      <w:tr>
        <w:tc>
          <w:tcPr>
            <w:tcW w:type="dxa" w:w="2520"/>
          </w:tcPr>
          <w:p>
            <w:r>
              <w:rPr>
                <w:rFonts w:ascii="Calibri" w:hAnsi="Calibri"/>
                <w:color w:val="333333"/>
                <w:sz w:val="18"/>
              </w:rPr>
              <w:t>Weighted average shares outstanding (diluted)</w:t>
            </w:r>
          </w:p>
        </w:tc>
        <w:tc>
          <w:tcPr>
            <w:tcW w:type="dxa" w:w="2520"/>
          </w:tcPr>
          <w:p>
            <w:r>
              <w:rPr>
                <w:rFonts w:ascii="Calibri" w:hAnsi="Calibri"/>
                <w:color w:val="333333"/>
                <w:sz w:val="18"/>
              </w:rPr>
              <w:t>15.4B</w:t>
            </w:r>
          </w:p>
        </w:tc>
        <w:tc>
          <w:tcPr>
            <w:tcW w:type="dxa" w:w="2520"/>
          </w:tcPr>
          <w:p>
            <w:r>
              <w:rPr>
                <w:rFonts w:ascii="Calibri" w:hAnsi="Calibri"/>
                <w:color w:val="333333"/>
                <w:sz w:val="18"/>
              </w:rPr>
              <w:t>15.0B</w:t>
            </w:r>
          </w:p>
        </w:tc>
        <w:tc>
          <w:tcPr>
            <w:tcW w:type="dxa" w:w="2520"/>
            <w:shd w:fill="FFF3CD" w:val="clear"/>
          </w:tcPr>
          <w:p>
            <w:r>
              <w:rPr>
                <w:rFonts w:ascii="Calibri" w:hAnsi="Calibri"/>
                <w:color w:val="333333"/>
                <w:sz w:val="18"/>
              </w:rPr>
              <w:t>-2.6%</w:t>
            </w:r>
          </w:p>
        </w:tc>
      </w:tr>
      <w:tr>
        <w:tc>
          <w:tcPr>
            <w:tcW w:type="dxa" w:w="2520"/>
            <w:shd w:fill="F2F4F8" w:val="clear"/>
          </w:tcPr>
          <w:p>
            <w:r>
              <w:rPr>
                <w:rFonts w:ascii="Calibri" w:hAnsi="Calibri"/>
                <w:color w:val="333333"/>
                <w:sz w:val="18"/>
              </w:rPr>
              <w:t>Total comprehensive income / loss</w:t>
            </w:r>
          </w:p>
        </w:tc>
        <w:tc>
          <w:tcPr>
            <w:tcW w:type="dxa" w:w="2520"/>
            <w:shd w:fill="F2F4F8" w:val="clear"/>
          </w:tcPr>
          <w:p>
            <w:r>
              <w:rPr>
                <w:rFonts w:ascii="Calibri" w:hAnsi="Calibri"/>
                <w:color w:val="333333"/>
                <w:sz w:val="18"/>
              </w:rPr>
              <w:t>$98.0B</w:t>
            </w:r>
          </w:p>
        </w:tc>
        <w:tc>
          <w:tcPr>
            <w:tcW w:type="dxa" w:w="2520"/>
            <w:shd w:fill="F2F4F8" w:val="clear"/>
          </w:tcPr>
          <w:p>
            <w:r>
              <w:rPr>
                <w:rFonts w:ascii="Calibri" w:hAnsi="Calibri"/>
                <w:color w:val="333333"/>
                <w:sz w:val="18"/>
              </w:rPr>
              <w:t>$113.6B</w:t>
            </w:r>
          </w:p>
        </w:tc>
        <w:tc>
          <w:tcPr>
            <w:tcW w:type="dxa" w:w="2520"/>
            <w:shd w:fill="F2F4F8" w:val="clear"/>
            <w:shd w:fill="DCEEF8" w:val="clear"/>
          </w:tcPr>
          <w:p>
            <w:r>
              <w:rPr>
                <w:rFonts w:ascii="Calibri" w:hAnsi="Calibri"/>
                <w:color w:val="333333"/>
                <w:sz w:val="18"/>
              </w:rPr>
              <w:t>15.9%</w:t>
            </w:r>
          </w:p>
        </w:tc>
      </w:tr>
      <w:tr>
        <w:tc>
          <w:tcPr>
            <w:tcW w:type="dxa" w:w="2520"/>
          </w:tcPr>
          <w:p>
            <w:r>
              <w:rPr>
                <w:rFonts w:ascii="Calibri" w:hAnsi="Calibri"/>
                <w:color w:val="333333"/>
                <w:sz w:val="18"/>
              </w:rPr>
              <w:t>Other income / non-operating income</w:t>
            </w:r>
          </w:p>
        </w:tc>
        <w:tc>
          <w:tcPr>
            <w:tcW w:type="dxa" w:w="2520"/>
          </w:tcPr>
          <w:p>
            <w:r>
              <w:rPr>
                <w:rFonts w:ascii="Calibri" w:hAnsi="Calibri"/>
                <w:color w:val="333333"/>
                <w:sz w:val="18"/>
              </w:rPr>
              <w:t>$269.0M</w:t>
            </w:r>
          </w:p>
        </w:tc>
        <w:tc>
          <w:tcPr>
            <w:tcW w:type="dxa" w:w="2520"/>
          </w:tcPr>
          <w:p>
            <w:r>
              <w:rPr>
                <w:rFonts w:ascii="Calibri" w:hAnsi="Calibri"/>
                <w:color w:val="333333"/>
                <w:sz w:val="18"/>
              </w:rPr>
              <w:t>$-321.0M</w:t>
            </w:r>
          </w:p>
        </w:tc>
        <w:tc>
          <w:tcPr>
            <w:tcW w:type="dxa" w:w="2520"/>
            <w:shd w:fill="FCE8E6" w:val="clear"/>
          </w:tcPr>
          <w:p>
            <w:r>
              <w:rPr>
                <w:rFonts w:ascii="Calibri" w:hAnsi="Calibri"/>
                <w:color w:val="333333"/>
                <w:sz w:val="18"/>
              </w:rPr>
              <w:t>-219.3%</w:t>
            </w:r>
          </w:p>
        </w:tc>
      </w:tr>
      <w:tr>
        <w:tc>
          <w:tcPr>
            <w:tcW w:type="dxa" w:w="2520"/>
            <w:shd w:fill="F2F4F8" w:val="clear"/>
          </w:tcPr>
          <w:p>
            <w:r>
              <w:rPr>
                <w:rFonts w:ascii="Calibri" w:hAnsi="Calibri"/>
                <w:color w:val="333333"/>
                <w:sz w:val="18"/>
              </w:rPr>
              <w:t>Income from operations</w:t>
            </w:r>
          </w:p>
        </w:tc>
        <w:tc>
          <w:tcPr>
            <w:tcW w:type="dxa" w:w="2520"/>
            <w:shd w:fill="F2F4F8" w:val="clear"/>
          </w:tcPr>
          <w:p>
            <w:r>
              <w:rPr>
                <w:rFonts w:ascii="Calibri" w:hAnsi="Calibri"/>
                <w:color w:val="333333"/>
                <w:sz w:val="18"/>
              </w:rPr>
              <w:t>$123.2B</w:t>
            </w:r>
          </w:p>
        </w:tc>
        <w:tc>
          <w:tcPr>
            <w:tcW w:type="dxa" w:w="2520"/>
            <w:shd w:fill="F2F4F8" w:val="clear"/>
          </w:tcPr>
          <w:p>
            <w:r>
              <w:rPr>
                <w:rFonts w:ascii="Calibri" w:hAnsi="Calibri"/>
                <w:color w:val="333333"/>
                <w:sz w:val="18"/>
              </w:rPr>
              <w:t>$133.1B</w:t>
            </w:r>
          </w:p>
        </w:tc>
        <w:tc>
          <w:tcPr>
            <w:tcW w:type="dxa" w:w="2520"/>
            <w:shd w:fill="F2F4F8" w:val="clear"/>
            <w:shd w:fill="FFF3CD" w:val="clear"/>
          </w:tcPr>
          <w:p>
            <w:r>
              <w:rPr>
                <w:rFonts w:ascii="Calibri" w:hAnsi="Calibri"/>
                <w:color w:val="333333"/>
                <w:sz w:val="18"/>
              </w:rPr>
              <w:t>8.0%</w:t>
            </w:r>
          </w:p>
        </w:tc>
      </w:tr>
      <w:tr>
        <w:tc>
          <w:tcPr>
            <w:tcW w:type="dxa" w:w="2520"/>
          </w:tcPr>
          <w:p>
            <w:r>
              <w:rPr>
                <w:rFonts w:ascii="Calibri" w:hAnsi="Calibri"/>
                <w:color w:val="333333"/>
                <w:sz w:val="18"/>
              </w:rPr>
              <w:t>Pre-tax income</w:t>
            </w:r>
          </w:p>
        </w:tc>
        <w:tc>
          <w:tcPr>
            <w:tcW w:type="dxa" w:w="2520"/>
          </w:tcPr>
          <w:p>
            <w:r>
              <w:rPr>
                <w:rFonts w:ascii="Calibri" w:hAnsi="Calibri"/>
                <w:color w:val="333333"/>
                <w:sz w:val="18"/>
              </w:rPr>
              <w:t>$123.5B</w:t>
            </w:r>
          </w:p>
        </w:tc>
        <w:tc>
          <w:tcPr>
            <w:tcW w:type="dxa" w:w="2520"/>
          </w:tcPr>
          <w:p>
            <w:r>
              <w:rPr>
                <w:rFonts w:ascii="Calibri" w:hAnsi="Calibri"/>
                <w:color w:val="333333"/>
                <w:sz w:val="18"/>
              </w:rPr>
              <w:t>$132.7B</w:t>
            </w:r>
          </w:p>
        </w:tc>
        <w:tc>
          <w:tcPr>
            <w:tcW w:type="dxa" w:w="2520"/>
            <w:shd w:fill="FFF3CD" w:val="clear"/>
          </w:tcPr>
          <w:p>
            <w:r>
              <w:rPr>
                <w:rFonts w:ascii="Calibri" w:hAnsi="Calibri"/>
                <w:color w:val="333333"/>
                <w:sz w:val="18"/>
              </w:rPr>
              <w:t>7.5%</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$11.7B</w:t>
            </w:r>
          </w:p>
        </w:tc>
        <w:tc>
          <w:tcPr>
            <w:tcW w:type="dxa" w:w="2520"/>
            <w:shd w:fill="F2F4F8" w:val="clear"/>
          </w:tcPr>
          <w:p>
            <w:r>
              <w:rPr>
                <w:rFonts w:ascii="Calibri" w:hAnsi="Calibri"/>
                <w:color w:val="333333"/>
                <w:sz w:val="18"/>
              </w:rPr>
              <w:t>$12.9B</w:t>
            </w:r>
          </w:p>
        </w:tc>
        <w:tc>
          <w:tcPr>
            <w:tcW w:type="dxa" w:w="2520"/>
            <w:shd w:fill="F2F4F8" w:val="clear"/>
            <w:shd w:fill="DCEEF8" w:val="clear"/>
          </w:tcPr>
          <w:p>
            <w:r>
              <w:rPr>
                <w:rFonts w:ascii="Calibri" w:hAnsi="Calibri"/>
                <w:color w:val="333333"/>
                <w:sz w:val="18"/>
              </w:rPr>
              <w:t>10.1%</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$123.5B</w:t>
            </w:r>
          </w:p>
        </w:tc>
        <w:tc>
          <w:tcPr>
            <w:tcW w:type="dxa" w:w="2520"/>
          </w:tcPr>
          <w:p>
            <w:r>
              <w:rPr>
                <w:rFonts w:ascii="Calibri" w:hAnsi="Calibri"/>
                <w:color w:val="333333"/>
                <w:sz w:val="18"/>
              </w:rPr>
              <w:t>$132.7B</w:t>
            </w:r>
          </w:p>
        </w:tc>
        <w:tc>
          <w:tcPr>
            <w:tcW w:type="dxa" w:w="2520"/>
            <w:shd w:fill="FFF3CD" w:val="clear"/>
          </w:tcPr>
          <w:p>
            <w:r>
              <w:rPr>
                <w:rFonts w:ascii="Calibri" w:hAnsi="Calibri"/>
                <w:color w:val="333333"/>
                <w:sz w:val="18"/>
              </w:rPr>
              <w:t>7.5%</w:t>
            </w:r>
          </w:p>
        </w:tc>
      </w:tr>
      <w:tr>
        <w:tc>
          <w:tcPr>
            <w:tcW w:type="dxa" w:w="2520"/>
            <w:shd w:fill="F2F4F8" w:val="clear"/>
          </w:tcPr>
          <w:p>
            <w:r>
              <w:rPr>
                <w:rFonts w:ascii="Calibri" w:hAnsi="Calibri"/>
                <w:color w:val="333333"/>
                <w:sz w:val="18"/>
              </w:rPr>
              <w:t>Other comprehensive income/loss, net of tax</w:t>
            </w:r>
          </w:p>
        </w:tc>
        <w:tc>
          <w:tcPr>
            <w:tcW w:type="dxa" w:w="2520"/>
            <w:shd w:fill="F2F4F8" w:val="clear"/>
          </w:tcPr>
          <w:p>
            <w:r>
              <w:rPr>
                <w:rFonts w:ascii="Calibri" w:hAnsi="Calibri"/>
                <w:color w:val="333333"/>
                <w:sz w:val="18"/>
              </w:rPr>
              <w:t>$4.3B</w:t>
            </w:r>
          </w:p>
        </w:tc>
        <w:tc>
          <w:tcPr>
            <w:tcW w:type="dxa" w:w="2520"/>
            <w:shd w:fill="F2F4F8" w:val="clear"/>
          </w:tcPr>
          <w:p>
            <w:r>
              <w:rPr>
                <w:rFonts w:ascii="Calibri" w:hAnsi="Calibri"/>
                <w:color w:val="333333"/>
                <w:sz w:val="18"/>
              </w:rPr>
              <w:t>$1.6B</w:t>
            </w:r>
          </w:p>
        </w:tc>
        <w:tc>
          <w:tcPr>
            <w:tcW w:type="dxa" w:w="2520"/>
            <w:shd w:fill="F2F4F8" w:val="clear"/>
            <w:shd w:fill="FCE8E6" w:val="clear"/>
          </w:tcPr>
          <w:p>
            <w:r>
              <w:rPr>
                <w:rFonts w:ascii="Calibri" w:hAnsi="Calibri"/>
                <w:color w:val="333333"/>
                <w:sz w:val="18"/>
              </w:rPr>
              <w:t>-62.6%</w:t>
            </w:r>
          </w:p>
        </w:tc>
      </w:tr>
      <w:tr>
        <w:tc>
          <w:tcPr>
            <w:tcW w:type="dxa" w:w="2520"/>
          </w:tcPr>
          <w:p>
            <w:r>
              <w:rPr>
                <w:rFonts w:ascii="Calibri" w:hAnsi="Calibri"/>
                <w:color w:val="333333"/>
                <w:sz w:val="18"/>
              </w:rPr>
              <w:t>Total operating expenses</w:t>
            </w:r>
          </w:p>
        </w:tc>
        <w:tc>
          <w:tcPr>
            <w:tcW w:type="dxa" w:w="2520"/>
          </w:tcPr>
          <w:p>
            <w:r>
              <w:rPr>
                <w:rFonts w:ascii="Calibri" w:hAnsi="Calibri"/>
                <w:color w:val="333333"/>
                <w:sz w:val="18"/>
              </w:rPr>
              <w:t>$57.5B</w:t>
            </w:r>
          </w:p>
        </w:tc>
        <w:tc>
          <w:tcPr>
            <w:tcW w:type="dxa" w:w="2520"/>
          </w:tcPr>
          <w:p>
            <w:r>
              <w:rPr>
                <w:rFonts w:ascii="Calibri" w:hAnsi="Calibri"/>
                <w:color w:val="333333"/>
                <w:sz w:val="18"/>
              </w:rPr>
              <w:t>$62.2B</w:t>
            </w:r>
          </w:p>
        </w:tc>
        <w:tc>
          <w:tcPr>
            <w:tcW w:type="dxa" w:w="2520"/>
            <w:shd w:fill="FFF3CD" w:val="clear"/>
          </w:tcPr>
          <w:p>
            <w:r>
              <w:rPr>
                <w:rFonts w:ascii="Calibri" w:hAnsi="Calibri"/>
                <w:color w:val="333333"/>
                <w:sz w:val="18"/>
              </w:rPr>
              <w:t>8.2%</w:t>
            </w:r>
          </w:p>
        </w:tc>
      </w:tr>
      <w:tr>
        <w:tc>
          <w:tcPr>
            <w:tcW w:type="dxa" w:w="2520"/>
            <w:shd w:fill="F2F4F8" w:val="clear"/>
          </w:tcPr>
          <w:p>
            <w:r>
              <w:rPr>
                <w:rFonts w:ascii="Calibri" w:hAnsi="Calibri"/>
                <w:color w:val="333333"/>
                <w:sz w:val="18"/>
              </w:rPr>
              <w:t>Total costs and expenses</w:t>
            </w:r>
          </w:p>
        </w:tc>
        <w:tc>
          <w:tcPr>
            <w:tcW w:type="dxa" w:w="2520"/>
            <w:shd w:fill="F2F4F8" w:val="clear"/>
          </w:tcPr>
          <w:p>
            <w:r>
              <w:rPr>
                <w:rFonts w:ascii="Calibri" w:hAnsi="Calibri"/>
                <w:color w:val="333333"/>
                <w:sz w:val="18"/>
              </w:rPr>
              <w:t>$57.5B</w:t>
            </w:r>
          </w:p>
        </w:tc>
        <w:tc>
          <w:tcPr>
            <w:tcW w:type="dxa" w:w="2520"/>
            <w:shd w:fill="F2F4F8" w:val="clear"/>
          </w:tcPr>
          <w:p>
            <w:r>
              <w:rPr>
                <w:rFonts w:ascii="Calibri" w:hAnsi="Calibri"/>
                <w:color w:val="333333"/>
                <w:sz w:val="18"/>
              </w:rPr>
              <w:t>$62.2B</w:t>
            </w:r>
          </w:p>
        </w:tc>
        <w:tc>
          <w:tcPr>
            <w:tcW w:type="dxa" w:w="2520"/>
            <w:shd w:fill="F2F4F8" w:val="clear"/>
            <w:shd w:fill="FFF3CD" w:val="clear"/>
          </w:tcPr>
          <w:p>
            <w:r>
              <w:rPr>
                <w:rFonts w:ascii="Calibri" w:hAnsi="Calibri"/>
                <w:color w:val="333333"/>
                <w:sz w:val="18"/>
              </w:rPr>
              <w:t>8.2%</w:t>
            </w:r>
          </w:p>
        </w:tc>
      </w:tr>
      <w:tr>
        <w:tc>
          <w:tcPr>
            <w:tcW w:type="dxa" w:w="2520"/>
          </w:tcPr>
          <w:p>
            <w:r>
              <w:rPr>
                <w:rFonts w:ascii="Calibri" w:hAnsi="Calibri"/>
                <w:color w:val="333333"/>
                <w:sz w:val="18"/>
              </w:rPr>
              <w:t>Non-operating income / expense</w:t>
            </w:r>
          </w:p>
        </w:tc>
        <w:tc>
          <w:tcPr>
            <w:tcW w:type="dxa" w:w="2520"/>
          </w:tcPr>
          <w:p>
            <w:r>
              <w:rPr>
                <w:rFonts w:ascii="Calibri" w:hAnsi="Calibri"/>
                <w:color w:val="333333"/>
                <w:sz w:val="18"/>
              </w:rPr>
              <w:t>$269.0M</w:t>
            </w:r>
          </w:p>
        </w:tc>
        <w:tc>
          <w:tcPr>
            <w:tcW w:type="dxa" w:w="2520"/>
          </w:tcPr>
          <w:p>
            <w:r>
              <w:rPr>
                <w:rFonts w:ascii="Calibri" w:hAnsi="Calibri"/>
                <w:color w:val="333333"/>
                <w:sz w:val="18"/>
              </w:rPr>
              <w:t>$-321.0M</w:t>
            </w:r>
          </w:p>
        </w:tc>
        <w:tc>
          <w:tcPr>
            <w:tcW w:type="dxa" w:w="2520"/>
            <w:shd w:fill="FCE8E6" w:val="clear"/>
          </w:tcPr>
          <w:p>
            <w:r>
              <w:rPr>
                <w:rFonts w:ascii="Calibri" w:hAnsi="Calibri"/>
                <w:color w:val="333333"/>
                <w:sz w:val="18"/>
              </w:rPr>
              <w:t>-219.3%</w:t>
            </w:r>
          </w:p>
        </w:tc>
      </w:tr>
      <w:tr>
        <w:tc>
          <w:tcPr>
            <w:tcW w:type="dxa" w:w="2520"/>
            <w:shd w:fill="F2F4F8" w:val="clear"/>
          </w:tcPr>
          <w:p>
            <w:r>
              <w:rPr>
                <w:rFonts w:ascii="Calibri" w:hAnsi="Calibri"/>
                <w:color w:val="333333"/>
                <w:sz w:val="18"/>
              </w:rPr>
              <w:t>Current federal income tax expense / benefit</w:t>
            </w:r>
          </w:p>
        </w:tc>
        <w:tc>
          <w:tcPr>
            <w:tcW w:type="dxa" w:w="2520"/>
            <w:shd w:fill="F2F4F8" w:val="clear"/>
          </w:tcPr>
          <w:p>
            <w:r>
              <w:rPr>
                <w:rFonts w:ascii="Calibri" w:hAnsi="Calibri"/>
                <w:color w:val="333333"/>
                <w:sz w:val="18"/>
              </w:rPr>
              <w:t>$5.6B</w:t>
            </w:r>
          </w:p>
        </w:tc>
        <w:tc>
          <w:tcPr>
            <w:tcW w:type="dxa" w:w="2520"/>
            <w:shd w:fill="F2F4F8" w:val="clear"/>
          </w:tcPr>
          <w:p>
            <w:r>
              <w:rPr>
                <w:rFonts w:ascii="Calibri" w:hAnsi="Calibri"/>
                <w:color w:val="333333"/>
                <w:sz w:val="18"/>
              </w:rPr>
              <w:t>$11.5B</w:t>
            </w:r>
          </w:p>
        </w:tc>
        <w:tc>
          <w:tcPr>
            <w:tcW w:type="dxa" w:w="2520"/>
            <w:shd w:fill="F2F4F8" w:val="clear"/>
            <w:shd w:fill="DCEEF8" w:val="clear"/>
          </w:tcPr>
          <w:p>
            <w:r>
              <w:rPr>
                <w:rFonts w:ascii="Calibri" w:hAnsi="Calibri"/>
                <w:color w:val="333333"/>
                <w:sz w:val="18"/>
              </w:rPr>
              <w:t>106.2%</w:t>
            </w:r>
          </w:p>
        </w:tc>
      </w:tr>
      <w:tr>
        <w:tc>
          <w:tcPr>
            <w:tcW w:type="dxa" w:w="2520"/>
          </w:tcPr>
          <w:p>
            <w:r>
              <w:rPr>
                <w:rFonts w:ascii="Calibri" w:hAnsi="Calibri"/>
                <w:color w:val="333333"/>
                <w:sz w:val="18"/>
              </w:rPr>
              <w:t>Current state and local income tax expense / benefit</w:t>
            </w:r>
          </w:p>
        </w:tc>
        <w:tc>
          <w:tcPr>
            <w:tcW w:type="dxa" w:w="2520"/>
          </w:tcPr>
          <w:p>
            <w:r>
              <w:rPr>
                <w:rFonts w:ascii="Calibri" w:hAnsi="Calibri"/>
                <w:color w:val="333333"/>
                <w:sz w:val="18"/>
              </w:rPr>
              <w:t>$1.7B</w:t>
            </w:r>
          </w:p>
        </w:tc>
        <w:tc>
          <w:tcPr>
            <w:tcW w:type="dxa" w:w="2520"/>
          </w:tcPr>
          <w:p>
            <w:r>
              <w:rPr>
                <w:rFonts w:ascii="Calibri" w:hAnsi="Calibri"/>
                <w:color w:val="333333"/>
                <w:sz w:val="18"/>
              </w:rPr>
              <w:t>$1.7B</w:t>
            </w:r>
          </w:p>
        </w:tc>
        <w:tc>
          <w:tcPr>
            <w:tcW w:type="dxa" w:w="2520"/>
            <w:shd w:fill="FFF3CD" w:val="clear"/>
          </w:tcPr>
          <w:p>
            <w:r>
              <w:rPr>
                <w:rFonts w:ascii="Calibri" w:hAnsi="Calibri"/>
                <w:color w:val="333333"/>
                <w:sz w:val="18"/>
              </w:rPr>
              <w:t>-2.7%</w:t>
            </w:r>
          </w:p>
        </w:tc>
      </w:tr>
      <w:tr>
        <w:tc>
          <w:tcPr>
            <w:tcW w:type="dxa" w:w="2520"/>
            <w:shd w:fill="F2F4F8" w:val="clear"/>
          </w:tcPr>
          <w:p>
            <w:r>
              <w:rPr>
                <w:rFonts w:ascii="Calibri" w:hAnsi="Calibri"/>
                <w:color w:val="333333"/>
                <w:sz w:val="18"/>
              </w:rPr>
              <w:t>Current foreign income tax expense / benefit</w:t>
            </w:r>
          </w:p>
        </w:tc>
        <w:tc>
          <w:tcPr>
            <w:tcW w:type="dxa" w:w="2520"/>
            <w:shd w:fill="F2F4F8" w:val="clear"/>
          </w:tcPr>
          <w:p>
            <w:r>
              <w:rPr>
                <w:rFonts w:ascii="Calibri" w:hAnsi="Calibri"/>
                <w:color w:val="333333"/>
                <w:sz w:val="18"/>
              </w:rPr>
              <w:t>$25.5B</w:t>
            </w:r>
          </w:p>
        </w:tc>
        <w:tc>
          <w:tcPr>
            <w:tcW w:type="dxa" w:w="2520"/>
            <w:shd w:fill="F2F4F8" w:val="clear"/>
          </w:tcPr>
          <w:p>
            <w:r>
              <w:rPr>
                <w:rFonts w:ascii="Calibri" w:hAnsi="Calibri"/>
                <w:color w:val="333333"/>
                <w:sz w:val="18"/>
              </w:rPr>
              <w:t>$8.9B</w:t>
            </w:r>
          </w:p>
        </w:tc>
        <w:tc>
          <w:tcPr>
            <w:tcW w:type="dxa" w:w="2520"/>
            <w:shd w:fill="F2F4F8" w:val="clear"/>
            <w:shd w:fill="FCE8E6" w:val="clear"/>
          </w:tcPr>
          <w:p>
            <w:r>
              <w:rPr>
                <w:rFonts w:ascii="Calibri" w:hAnsi="Calibri"/>
                <w:color w:val="333333"/>
                <w:sz w:val="18"/>
              </w:rPr>
              <w:t>-65.1%</w:t>
            </w:r>
          </w:p>
        </w:tc>
      </w:tr>
      <w:tr>
        <w:tc>
          <w:tcPr>
            <w:tcW w:type="dxa" w:w="2520"/>
          </w:tcPr>
          <w:p>
            <w:r>
              <w:rPr>
                <w:rFonts w:ascii="Calibri" w:hAnsi="Calibri"/>
                <w:color w:val="333333"/>
                <w:sz w:val="18"/>
              </w:rPr>
              <w:t>Deferred federal income tax expense / benefit</w:t>
            </w:r>
          </w:p>
        </w:tc>
        <w:tc>
          <w:tcPr>
            <w:tcW w:type="dxa" w:w="2520"/>
          </w:tcPr>
          <w:p>
            <w:r>
              <w:rPr>
                <w:rFonts w:ascii="Calibri" w:hAnsi="Calibri"/>
                <w:color w:val="333333"/>
                <w:sz w:val="18"/>
              </w:rPr>
              <w:t>$-3.1B</w:t>
            </w:r>
          </w:p>
        </w:tc>
        <w:tc>
          <w:tcPr>
            <w:tcW w:type="dxa" w:w="2520"/>
          </w:tcPr>
          <w:p>
            <w:r>
              <w:rPr>
                <w:rFonts w:ascii="Calibri" w:hAnsi="Calibri"/>
                <w:color w:val="333333"/>
                <w:sz w:val="18"/>
              </w:rPr>
              <w:t>$-1.8B</w:t>
            </w:r>
          </w:p>
        </w:tc>
        <w:tc>
          <w:tcPr>
            <w:tcW w:type="dxa" w:w="2520"/>
            <w:shd w:fill="DCEEF8" w:val="clear"/>
          </w:tcPr>
          <w:p>
            <w:r>
              <w:rPr>
                <w:rFonts w:ascii="Calibri" w:hAnsi="Calibri"/>
                <w:color w:val="333333"/>
                <w:sz w:val="18"/>
              </w:rPr>
              <w:t>41.4%</w:t>
            </w:r>
          </w:p>
        </w:tc>
      </w:tr>
      <w:tr>
        <w:tc>
          <w:tcPr>
            <w:tcW w:type="dxa" w:w="2520"/>
            <w:shd w:fill="F2F4F8" w:val="clear"/>
          </w:tcPr>
          <w:p>
            <w:r>
              <w:rPr>
                <w:rFonts w:ascii="Calibri" w:hAnsi="Calibri"/>
                <w:color w:val="333333"/>
                <w:sz w:val="18"/>
              </w:rPr>
              <w:t>Deferred state and local income tax expense / benefit</w:t>
            </w:r>
          </w:p>
        </w:tc>
        <w:tc>
          <w:tcPr>
            <w:tcW w:type="dxa" w:w="2520"/>
            <w:shd w:fill="F2F4F8" w:val="clear"/>
          </w:tcPr>
          <w:p>
            <w:r>
              <w:rPr>
                <w:rFonts w:ascii="Calibri" w:hAnsi="Calibri"/>
                <w:color w:val="333333"/>
                <w:sz w:val="18"/>
              </w:rPr>
              <w:t>$-298.0M</w:t>
            </w:r>
          </w:p>
        </w:tc>
        <w:tc>
          <w:tcPr>
            <w:tcW w:type="dxa" w:w="2520"/>
            <w:shd w:fill="F2F4F8" w:val="clear"/>
          </w:tcPr>
          <w:p>
            <w:r>
              <w:rPr>
                <w:rFonts w:ascii="Calibri" w:hAnsi="Calibri"/>
                <w:color w:val="333333"/>
                <w:sz w:val="18"/>
              </w:rPr>
              <w:t>$-139.0M</w:t>
            </w:r>
          </w:p>
        </w:tc>
        <w:tc>
          <w:tcPr>
            <w:tcW w:type="dxa" w:w="2520"/>
            <w:shd w:fill="F2F4F8" w:val="clear"/>
            <w:shd w:fill="DCEEF8" w:val="clear"/>
          </w:tcPr>
          <w:p>
            <w:r>
              <w:rPr>
                <w:rFonts w:ascii="Calibri" w:hAnsi="Calibri"/>
                <w:color w:val="333333"/>
                <w:sz w:val="18"/>
              </w:rPr>
              <w:t>53.4%</w:t>
            </w:r>
          </w:p>
        </w:tc>
      </w:tr>
      <w:tr>
        <w:tc>
          <w:tcPr>
            <w:tcW w:type="dxa" w:w="2520"/>
          </w:tcPr>
          <w:p>
            <w:r>
              <w:rPr>
                <w:rFonts w:ascii="Calibri" w:hAnsi="Calibri"/>
                <w:color w:val="333333"/>
                <w:sz w:val="18"/>
              </w:rPr>
              <w:t>Deferred foreign income tax expense / benefit</w:t>
            </w:r>
          </w:p>
        </w:tc>
        <w:tc>
          <w:tcPr>
            <w:tcW w:type="dxa" w:w="2520"/>
          </w:tcPr>
          <w:p>
            <w:r>
              <w:rPr>
                <w:rFonts w:ascii="Calibri" w:hAnsi="Calibri"/>
                <w:color w:val="333333"/>
                <w:sz w:val="18"/>
              </w:rPr>
              <w:t>$347.0M</w:t>
            </w:r>
          </w:p>
        </w:tc>
        <w:tc>
          <w:tcPr>
            <w:tcW w:type="dxa" w:w="2520"/>
          </w:tcPr>
          <w:p>
            <w:r>
              <w:rPr>
                <w:rFonts w:ascii="Calibri" w:hAnsi="Calibri"/>
                <w:color w:val="333333"/>
                <w:sz w:val="18"/>
              </w:rPr>
              <w:t>$604.0M</w:t>
            </w:r>
          </w:p>
        </w:tc>
        <w:tc>
          <w:tcPr>
            <w:tcW w:type="dxa" w:w="2520"/>
            <w:shd w:fill="DCEEF8" w:val="clear"/>
          </w:tcPr>
          <w:p>
            <w:r>
              <w:rPr>
                <w:rFonts w:ascii="Calibri" w:hAnsi="Calibri"/>
                <w:color w:val="333333"/>
                <w:sz w:val="18"/>
              </w:rPr>
              <w:t>74.1%</w:t>
            </w:r>
          </w:p>
        </w:tc>
      </w:tr>
      <w:tr>
        <w:tc>
          <w:tcPr>
            <w:tcW w:type="dxa" w:w="2520"/>
            <w:shd w:fill="F2F4F8" w:val="clear"/>
          </w:tcPr>
          <w:p>
            <w:r>
              <w:rPr>
                <w:rFonts w:ascii="Calibri" w:hAnsi="Calibri"/>
                <w:color w:val="333333"/>
                <w:sz w:val="18"/>
              </w:rPr>
              <w:t>Gross margin percentage</w:t>
            </w:r>
          </w:p>
        </w:tc>
        <w:tc>
          <w:tcPr>
            <w:tcW w:type="dxa" w:w="2520"/>
            <w:shd w:fill="F2F4F8" w:val="clear"/>
          </w:tcPr>
          <w:p>
            <w:r>
              <w:rPr>
                <w:rFonts w:ascii="Calibri" w:hAnsi="Calibri"/>
                <w:color w:val="333333"/>
                <w:sz w:val="18"/>
              </w:rPr>
              <w:t>46.2%</w:t>
            </w:r>
          </w:p>
        </w:tc>
        <w:tc>
          <w:tcPr>
            <w:tcW w:type="dxa" w:w="2520"/>
            <w:shd w:fill="F2F4F8" w:val="clear"/>
          </w:tcPr>
          <w:p>
            <w:r>
              <w:rPr>
                <w:rFonts w:ascii="Calibri" w:hAnsi="Calibri"/>
                <w:color w:val="333333"/>
                <w:sz w:val="18"/>
              </w:rPr>
              <w:t>46.9%</w:t>
            </w:r>
          </w:p>
        </w:tc>
        <w:tc>
          <w:tcPr>
            <w:tcW w:type="dxa" w:w="2520"/>
            <w:shd w:fill="F2F4F8" w:val="clear"/>
            <w:shd w:fill="FFF3CD" w:val="clear"/>
          </w:tcPr>
          <w:p>
            <w:r>
              <w:rPr>
                <w:rFonts w:ascii="Calibri" w:hAnsi="Calibri"/>
                <w:color w:val="333333"/>
                <w:sz w:val="18"/>
              </w:rPr>
              <w:t>1.5%</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31.5%</w:t>
            </w:r>
          </w:p>
        </w:tc>
        <w:tc>
          <w:tcPr>
            <w:tcW w:type="dxa" w:w="2520"/>
          </w:tcPr>
          <w:p>
            <w:r>
              <w:rPr>
                <w:rFonts w:ascii="Calibri" w:hAnsi="Calibri"/>
                <w:color w:val="333333"/>
                <w:sz w:val="18"/>
              </w:rPr>
              <w:t>32.0%</w:t>
            </w:r>
          </w:p>
        </w:tc>
        <w:tc>
          <w:tcPr>
            <w:tcW w:type="dxa" w:w="2520"/>
            <w:shd w:fill="FFF3CD" w:val="clear"/>
          </w:tcPr>
          <w:p>
            <w:r>
              <w:rPr>
                <w:rFonts w:ascii="Calibri" w:hAnsi="Calibri"/>
                <w:color w:val="333333"/>
                <w:sz w:val="18"/>
              </w:rPr>
              <w:t>1.5%</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24.0%</w:t>
            </w:r>
          </w:p>
        </w:tc>
        <w:tc>
          <w:tcPr>
            <w:tcW w:type="dxa" w:w="2520"/>
            <w:shd w:fill="F2F4F8" w:val="clear"/>
          </w:tcPr>
          <w:p>
            <w:r>
              <w:rPr>
                <w:rFonts w:ascii="Calibri" w:hAnsi="Calibri"/>
                <w:color w:val="333333"/>
                <w:sz w:val="18"/>
              </w:rPr>
              <w:t>26.9%</w:t>
            </w:r>
          </w:p>
        </w:tc>
        <w:tc>
          <w:tcPr>
            <w:tcW w:type="dxa" w:w="2520"/>
            <w:shd w:fill="F2F4F8" w:val="clear"/>
            <w:shd w:fill="DCEEF8" w:val="clear"/>
          </w:tcPr>
          <w:p>
            <w:r>
              <w:rPr>
                <w:rFonts w:ascii="Calibri" w:hAnsi="Calibri"/>
                <w:color w:val="333333"/>
                <w:sz w:val="18"/>
              </w:rPr>
              <w:t>12.3%</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34.4%</w:t>
            </w:r>
          </w:p>
        </w:tc>
        <w:tc>
          <w:tcPr>
            <w:tcW w:type="dxa" w:w="2520"/>
          </w:tcPr>
          <w:p>
            <w:r>
              <w:rPr>
                <w:rFonts w:ascii="Calibri" w:hAnsi="Calibri"/>
                <w:color w:val="333333"/>
                <w:sz w:val="18"/>
              </w:rPr>
              <w:t>34.8%</w:t>
            </w:r>
          </w:p>
        </w:tc>
        <w:tc>
          <w:tcPr>
            <w:tcW w:type="dxa" w:w="2520"/>
          </w:tcPr>
          <w:p>
            <w:r>
              <w:rPr>
                <w:rFonts w:ascii="Calibri" w:hAnsi="Calibri"/>
                <w:color w:val="333333"/>
                <w:sz w:val="18"/>
              </w:rPr>
              <w:t>1.0%</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$24</w:t>
            </w:r>
          </w:p>
        </w:tc>
        <w:tc>
          <w:tcPr>
            <w:tcW w:type="dxa" w:w="2520"/>
            <w:shd w:fill="F2F4F8" w:val="clear"/>
          </w:tcPr>
          <w:p>
            <w:r>
              <w:rPr>
                <w:rFonts w:ascii="Calibri" w:hAnsi="Calibri"/>
                <w:color w:val="333333"/>
                <w:sz w:val="18"/>
              </w:rPr>
              <w:t>$16</w:t>
            </w:r>
          </w:p>
        </w:tc>
        <w:tc>
          <w:tcPr>
            <w:tcW w:type="dxa" w:w="2520"/>
            <w:shd w:fill="F2F4F8" w:val="clear"/>
            <w:shd w:fill="FCE8E6" w:val="clear"/>
          </w:tcPr>
          <w:p>
            <w:r>
              <w:rPr>
                <w:rFonts w:ascii="Calibri" w:hAnsi="Calibri"/>
                <w:color w:val="333333"/>
                <w:sz w:val="18"/>
              </w:rPr>
              <w:t>-35.2%</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$365.0B</w:t>
            </w:r>
          </w:p>
        </w:tc>
        <w:tc>
          <w:tcPr>
            <w:tcW w:type="dxa" w:w="2520"/>
          </w:tcPr>
          <w:p>
            <w:r>
              <w:rPr>
                <w:rFonts w:ascii="Calibri" w:hAnsi="Calibri"/>
                <w:color w:val="333333"/>
                <w:sz w:val="18"/>
              </w:rPr>
              <w:t>$359.2B</w:t>
            </w:r>
          </w:p>
        </w:tc>
        <w:tc>
          <w:tcPr>
            <w:tcW w:type="dxa" w:w="2520"/>
            <w:shd w:fill="FFF3CD" w:val="clear"/>
          </w:tcPr>
          <w:p>
            <w:r>
              <w:rPr>
                <w:rFonts w:ascii="Calibri" w:hAnsi="Calibri"/>
                <w:color w:val="333333"/>
                <w:sz w:val="18"/>
              </w:rPr>
              <w:t>-1.6%</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$308.0B</w:t>
            </w:r>
          </w:p>
        </w:tc>
        <w:tc>
          <w:tcPr>
            <w:tcW w:type="dxa" w:w="2520"/>
            <w:shd w:fill="F2F4F8" w:val="clear"/>
          </w:tcPr>
          <w:p>
            <w:r>
              <w:rPr>
                <w:rFonts w:ascii="Calibri" w:hAnsi="Calibri"/>
                <w:color w:val="333333"/>
                <w:sz w:val="18"/>
              </w:rPr>
              <w:t>$285.5B</w:t>
            </w:r>
          </w:p>
        </w:tc>
        <w:tc>
          <w:tcPr>
            <w:tcW w:type="dxa" w:w="2520"/>
            <w:shd w:fill="F2F4F8" w:val="clear"/>
            <w:shd w:fill="FFF3CD" w:val="clear"/>
          </w:tcPr>
          <w:p>
            <w:r>
              <w:rPr>
                <w:rFonts w:ascii="Calibri" w:hAnsi="Calibri"/>
                <w:color w:val="333333"/>
                <w:sz w:val="18"/>
              </w:rPr>
              <w:t>-7.3%</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$57.0B</w:t>
            </w:r>
          </w:p>
        </w:tc>
        <w:tc>
          <w:tcPr>
            <w:tcW w:type="dxa" w:w="2520"/>
          </w:tcPr>
          <w:p>
            <w:r>
              <w:rPr>
                <w:rFonts w:ascii="Calibri" w:hAnsi="Calibri"/>
                <w:color w:val="333333"/>
                <w:sz w:val="18"/>
              </w:rPr>
              <w:t>$73.7B</w:t>
            </w:r>
          </w:p>
        </w:tc>
        <w:tc>
          <w:tcPr>
            <w:tcW w:type="dxa" w:w="2520"/>
            <w:shd w:fill="DCEEF8" w:val="clear"/>
          </w:tcPr>
          <w:p>
            <w:r>
              <w:rPr>
                <w:rFonts w:ascii="Calibri" w:hAnsi="Calibri"/>
                <w:color w:val="333333"/>
                <w:sz w:val="18"/>
              </w:rPr>
              <w:t>29.5%</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$153.0B</w:t>
            </w:r>
          </w:p>
        </w:tc>
        <w:tc>
          <w:tcPr>
            <w:tcW w:type="dxa" w:w="2520"/>
            <w:shd w:fill="F2F4F8" w:val="clear"/>
          </w:tcPr>
          <w:p>
            <w:r>
              <w:rPr>
                <w:rFonts w:ascii="Calibri" w:hAnsi="Calibri"/>
                <w:color w:val="333333"/>
                <w:sz w:val="18"/>
              </w:rPr>
              <w:t>$148.0B</w:t>
            </w:r>
          </w:p>
        </w:tc>
        <w:tc>
          <w:tcPr>
            <w:tcW w:type="dxa" w:w="2520"/>
            <w:shd w:fill="F2F4F8" w:val="clear"/>
            <w:shd w:fill="FFF3CD" w:val="clear"/>
          </w:tcPr>
          <w:p>
            <w:r>
              <w:rPr>
                <w:rFonts w:ascii="Calibri" w:hAnsi="Calibri"/>
                <w:color w:val="333333"/>
                <w:sz w:val="18"/>
              </w:rPr>
              <w:t>-3.3%</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$176.4B</w:t>
            </w:r>
          </w:p>
        </w:tc>
        <w:tc>
          <w:tcPr>
            <w:tcW w:type="dxa" w:w="2520"/>
          </w:tcPr>
          <w:p>
            <w:r>
              <w:rPr>
                <w:rFonts w:ascii="Calibri" w:hAnsi="Calibri"/>
                <w:color w:val="333333"/>
                <w:sz w:val="18"/>
              </w:rPr>
              <w:t>$165.6B</w:t>
            </w:r>
          </w:p>
        </w:tc>
        <w:tc>
          <w:tcPr>
            <w:tcW w:type="dxa" w:w="2520"/>
            <w:shd w:fill="FFF3CD" w:val="clear"/>
          </w:tcPr>
          <w:p>
            <w:r>
              <w:rPr>
                <w:rFonts w:ascii="Calibri" w:hAnsi="Calibri"/>
                <w:color w:val="333333"/>
                <w:sz w:val="18"/>
              </w:rPr>
              <w:t>-6.1%</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$29.9B</w:t>
            </w:r>
          </w:p>
        </w:tc>
        <w:tc>
          <w:tcPr>
            <w:tcW w:type="dxa" w:w="2520"/>
            <w:shd w:fill="F2F4F8" w:val="clear"/>
          </w:tcPr>
          <w:p>
            <w:r>
              <w:rPr>
                <w:rFonts w:ascii="Calibri" w:hAnsi="Calibri"/>
                <w:color w:val="333333"/>
                <w:sz w:val="18"/>
              </w:rPr>
              <w:t>$35.9B</w:t>
            </w:r>
          </w:p>
        </w:tc>
        <w:tc>
          <w:tcPr>
            <w:tcW w:type="dxa" w:w="2520"/>
            <w:shd w:fill="F2F4F8" w:val="clear"/>
            <w:shd w:fill="DCEEF8" w:val="clear"/>
          </w:tcPr>
          <w:p>
            <w:r>
              <w:rPr>
                <w:rFonts w:ascii="Calibri" w:hAnsi="Calibri"/>
                <w:color w:val="333333"/>
                <w:sz w:val="18"/>
              </w:rPr>
              <w:t>20.0%</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$33.4B</w:t>
            </w:r>
          </w:p>
        </w:tc>
        <w:tc>
          <w:tcPr>
            <w:tcW w:type="dxa" w:w="2520"/>
          </w:tcPr>
          <w:p>
            <w:r>
              <w:rPr>
                <w:rFonts w:ascii="Calibri" w:hAnsi="Calibri"/>
                <w:color w:val="333333"/>
                <w:sz w:val="18"/>
              </w:rPr>
              <w:t>$39.8B</w:t>
            </w:r>
          </w:p>
        </w:tc>
        <w:tc>
          <w:tcPr>
            <w:tcW w:type="dxa" w:w="2520"/>
            <w:shd w:fill="DCEEF8" w:val="clear"/>
          </w:tcPr>
          <w:p>
            <w:r>
              <w:rPr>
                <w:rFonts w:ascii="Calibri" w:hAnsi="Calibri"/>
                <w:color w:val="333333"/>
                <w:sz w:val="18"/>
              </w:rPr>
              <w:t>19.1%</w:t>
            </w:r>
          </w:p>
        </w:tc>
      </w:tr>
      <w:tr>
        <w:tc>
          <w:tcPr>
            <w:tcW w:type="dxa" w:w="2520"/>
            <w:shd w:fill="F2F4F8" w:val="clear"/>
          </w:tcPr>
          <w:p>
            <w:r>
              <w:rPr>
                <w:rFonts w:ascii="Calibri" w:hAnsi="Calibri"/>
                <w:color w:val="333333"/>
                <w:sz w:val="18"/>
              </w:rPr>
              <w:t>Inventory, net</w:t>
            </w:r>
          </w:p>
        </w:tc>
        <w:tc>
          <w:tcPr>
            <w:tcW w:type="dxa" w:w="2520"/>
            <w:shd w:fill="F2F4F8" w:val="clear"/>
          </w:tcPr>
          <w:p>
            <w:r>
              <w:rPr>
                <w:rFonts w:ascii="Calibri" w:hAnsi="Calibri"/>
                <w:color w:val="333333"/>
                <w:sz w:val="18"/>
              </w:rPr>
              <w:t>$7.3B</w:t>
            </w:r>
          </w:p>
        </w:tc>
        <w:tc>
          <w:tcPr>
            <w:tcW w:type="dxa" w:w="2520"/>
            <w:shd w:fill="F2F4F8" w:val="clear"/>
          </w:tcPr>
          <w:p>
            <w:r>
              <w:rPr>
                <w:rFonts w:ascii="Calibri" w:hAnsi="Calibri"/>
                <w:color w:val="333333"/>
                <w:sz w:val="18"/>
              </w:rPr>
              <w:t>$5.7B</w:t>
            </w:r>
          </w:p>
        </w:tc>
        <w:tc>
          <w:tcPr>
            <w:tcW w:type="dxa" w:w="2520"/>
            <w:shd w:fill="F2F4F8" w:val="clear"/>
            <w:shd w:fill="FCE8E6" w:val="clear"/>
          </w:tcPr>
          <w:p>
            <w:r>
              <w:rPr>
                <w:rFonts w:ascii="Calibri" w:hAnsi="Calibri"/>
                <w:color w:val="333333"/>
                <w:sz w:val="18"/>
              </w:rPr>
              <w:t>-21.5%</w:t>
            </w:r>
          </w:p>
        </w:tc>
      </w:tr>
      <w:tr>
        <w:tc>
          <w:tcPr>
            <w:tcW w:type="dxa" w:w="2520"/>
          </w:tcPr>
          <w:p>
            <w:r>
              <w:rPr>
                <w:rFonts w:ascii="Calibri" w:hAnsi="Calibri"/>
                <w:color w:val="333333"/>
                <w:sz w:val="18"/>
              </w:rPr>
              <w:t>Property, plant and equipment, net</w:t>
            </w:r>
          </w:p>
        </w:tc>
        <w:tc>
          <w:tcPr>
            <w:tcW w:type="dxa" w:w="2520"/>
          </w:tcPr>
          <w:p>
            <w:r>
              <w:rPr>
                <w:rFonts w:ascii="Calibri" w:hAnsi="Calibri"/>
                <w:color w:val="333333"/>
                <w:sz w:val="18"/>
              </w:rPr>
              <w:t>$45.7B</w:t>
            </w:r>
          </w:p>
        </w:tc>
        <w:tc>
          <w:tcPr>
            <w:tcW w:type="dxa" w:w="2520"/>
          </w:tcPr>
          <w:p>
            <w:r>
              <w:rPr>
                <w:rFonts w:ascii="Calibri" w:hAnsi="Calibri"/>
                <w:color w:val="333333"/>
                <w:sz w:val="18"/>
              </w:rPr>
              <w:t>$49.8B</w:t>
            </w:r>
          </w:p>
        </w:tc>
        <w:tc>
          <w:tcPr>
            <w:tcW w:type="dxa" w:w="2520"/>
            <w:shd w:fill="FFF3CD" w:val="clear"/>
          </w:tcPr>
          <w:p>
            <w:r>
              <w:rPr>
                <w:rFonts w:ascii="Calibri" w:hAnsi="Calibri"/>
                <w:color w:val="333333"/>
                <w:sz w:val="18"/>
              </w:rPr>
              <w:t>9.1%</w:t>
            </w:r>
          </w:p>
        </w:tc>
      </w:tr>
      <w:tr>
        <w:tc>
          <w:tcPr>
            <w:tcW w:type="dxa" w:w="2520"/>
            <w:shd w:fill="F2F4F8" w:val="clear"/>
          </w:tcPr>
          <w:p>
            <w:r>
              <w:rPr>
                <w:rFonts w:ascii="Calibri" w:hAnsi="Calibri"/>
                <w:color w:val="333333"/>
                <w:sz w:val="18"/>
              </w:rPr>
              <w:t>Long-term debt, non-current</w:t>
            </w:r>
          </w:p>
        </w:tc>
        <w:tc>
          <w:tcPr>
            <w:tcW w:type="dxa" w:w="2520"/>
            <w:shd w:fill="F2F4F8" w:val="clear"/>
          </w:tcPr>
          <w:p>
            <w:r>
              <w:rPr>
                <w:rFonts w:ascii="Calibri" w:hAnsi="Calibri"/>
                <w:color w:val="333333"/>
                <w:sz w:val="18"/>
              </w:rPr>
              <w:t>$85.8B</w:t>
            </w:r>
          </w:p>
        </w:tc>
        <w:tc>
          <w:tcPr>
            <w:tcW w:type="dxa" w:w="2520"/>
            <w:shd w:fill="F2F4F8" w:val="clear"/>
          </w:tcPr>
          <w:p>
            <w:r>
              <w:rPr>
                <w:rFonts w:ascii="Calibri" w:hAnsi="Calibri"/>
                <w:color w:val="333333"/>
                <w:sz w:val="18"/>
              </w:rPr>
              <w:t>$78.3B</w:t>
            </w:r>
          </w:p>
        </w:tc>
        <w:tc>
          <w:tcPr>
            <w:tcW w:type="dxa" w:w="2520"/>
            <w:shd w:fill="F2F4F8" w:val="clear"/>
            <w:shd w:fill="FFF3CD" w:val="clear"/>
          </w:tcPr>
          <w:p>
            <w:r>
              <w:rPr>
                <w:rFonts w:ascii="Calibri" w:hAnsi="Calibri"/>
                <w:color w:val="333333"/>
                <w:sz w:val="18"/>
              </w:rPr>
              <w:t>-8.7%</w:t>
            </w:r>
          </w:p>
        </w:tc>
      </w:tr>
      <w:tr>
        <w:tc>
          <w:tcPr>
            <w:tcW w:type="dxa" w:w="2520"/>
          </w:tcPr>
          <w:p>
            <w:r>
              <w:rPr>
                <w:rFonts w:ascii="Calibri" w:hAnsi="Calibri"/>
                <w:color w:val="333333"/>
                <w:sz w:val="18"/>
              </w:rPr>
              <w:t>Short-term debt / current portion of long-term debt</w:t>
            </w:r>
          </w:p>
        </w:tc>
        <w:tc>
          <w:tcPr>
            <w:tcW w:type="dxa" w:w="2520"/>
          </w:tcPr>
          <w:p>
            <w:r>
              <w:rPr>
                <w:rFonts w:ascii="Calibri" w:hAnsi="Calibri"/>
                <w:color w:val="333333"/>
                <w:sz w:val="18"/>
              </w:rPr>
              <w:t>$10.9B</w:t>
            </w:r>
          </w:p>
        </w:tc>
        <w:tc>
          <w:tcPr>
            <w:tcW w:type="dxa" w:w="2520"/>
          </w:tcPr>
          <w:p>
            <w:r>
              <w:rPr>
                <w:rFonts w:ascii="Calibri" w:hAnsi="Calibri"/>
                <w:color w:val="333333"/>
                <w:sz w:val="18"/>
              </w:rPr>
              <w:t>$12.3B</w:t>
            </w:r>
          </w:p>
        </w:tc>
        <w:tc>
          <w:tcPr>
            <w:tcW w:type="dxa" w:w="2520"/>
            <w:shd w:fill="DCEEF8" w:val="clear"/>
          </w:tcPr>
          <w:p>
            <w:r>
              <w:rPr>
                <w:rFonts w:ascii="Calibri" w:hAnsi="Calibri"/>
                <w:color w:val="333333"/>
                <w:sz w:val="18"/>
              </w:rPr>
              <w:t>13.2%</w:t>
            </w:r>
          </w:p>
        </w:tc>
      </w:tr>
      <w:tr>
        <w:tc>
          <w:tcPr>
            <w:tcW w:type="dxa" w:w="2520"/>
            <w:shd w:fill="F2F4F8" w:val="clear"/>
          </w:tcPr>
          <w:p>
            <w:r>
              <w:rPr>
                <w:rFonts w:ascii="Calibri" w:hAnsi="Calibri"/>
                <w:color w:val="333333"/>
                <w:sz w:val="18"/>
              </w:rPr>
              <w:t>Retained earnings / accumulated deficit</w:t>
            </w:r>
          </w:p>
        </w:tc>
        <w:tc>
          <w:tcPr>
            <w:tcW w:type="dxa" w:w="2520"/>
            <w:shd w:fill="F2F4F8" w:val="clear"/>
          </w:tcPr>
          <w:p>
            <w:r>
              <w:rPr>
                <w:rFonts w:ascii="Calibri" w:hAnsi="Calibri"/>
                <w:color w:val="333333"/>
                <w:sz w:val="18"/>
              </w:rPr>
              <w:t>$-19.2B</w:t>
            </w:r>
          </w:p>
        </w:tc>
        <w:tc>
          <w:tcPr>
            <w:tcW w:type="dxa" w:w="2520"/>
            <w:shd w:fill="F2F4F8" w:val="clear"/>
          </w:tcPr>
          <w:p>
            <w:r>
              <w:rPr>
                <w:rFonts w:ascii="Calibri" w:hAnsi="Calibri"/>
                <w:color w:val="333333"/>
                <w:sz w:val="18"/>
              </w:rPr>
              <w:t>$-14.3B</w:t>
            </w:r>
          </w:p>
        </w:tc>
        <w:tc>
          <w:tcPr>
            <w:tcW w:type="dxa" w:w="2520"/>
            <w:shd w:fill="F2F4F8" w:val="clear"/>
            <w:shd w:fill="DCEEF8" w:val="clear"/>
          </w:tcPr>
          <w:p>
            <w:r>
              <w:rPr>
                <w:rFonts w:ascii="Calibri" w:hAnsi="Calibri"/>
                <w:color w:val="333333"/>
                <w:sz w:val="18"/>
              </w:rPr>
              <w:t>25.5%</w:t>
            </w:r>
          </w:p>
        </w:tc>
      </w:tr>
      <w:tr>
        <w:tc>
          <w:tcPr>
            <w:tcW w:type="dxa" w:w="2520"/>
          </w:tcPr>
          <w:p>
            <w:r>
              <w:rPr>
                <w:rFonts w:ascii="Calibri" w:hAnsi="Calibri"/>
                <w:color w:val="333333"/>
                <w:sz w:val="18"/>
              </w:rPr>
              <w:t>Total debt (short-term + long-term)</w:t>
            </w:r>
          </w:p>
        </w:tc>
        <w:tc>
          <w:tcPr>
            <w:tcW w:type="dxa" w:w="2520"/>
          </w:tcPr>
          <w:p>
            <w:r>
              <w:rPr>
                <w:rFonts w:ascii="Calibri" w:hAnsi="Calibri"/>
                <w:color w:val="333333"/>
                <w:sz w:val="18"/>
              </w:rPr>
              <w:t>$96.7B</w:t>
            </w:r>
          </w:p>
        </w:tc>
        <w:tc>
          <w:tcPr>
            <w:tcW w:type="dxa" w:w="2520"/>
          </w:tcPr>
          <w:p>
            <w:r>
              <w:rPr>
                <w:rFonts w:ascii="Calibri" w:hAnsi="Calibri"/>
                <w:color w:val="333333"/>
                <w:sz w:val="18"/>
              </w:rPr>
              <w:t>$90.7B</w:t>
            </w:r>
          </w:p>
        </w:tc>
        <w:tc>
          <w:tcPr>
            <w:tcW w:type="dxa" w:w="2520"/>
            <w:shd w:fill="FFF3CD" w:val="clear"/>
          </w:tcPr>
          <w:p>
            <w:r>
              <w:rPr>
                <w:rFonts w:ascii="Calibri" w:hAnsi="Calibri"/>
                <w:color w:val="333333"/>
                <w:sz w:val="18"/>
              </w:rPr>
              <w:t>-6.2%</w:t>
            </w:r>
          </w:p>
        </w:tc>
      </w:tr>
      <w:tr>
        <w:tc>
          <w:tcPr>
            <w:tcW w:type="dxa" w:w="2520"/>
            <w:shd w:fill="F2F4F8" w:val="clear"/>
          </w:tcPr>
          <w:p>
            <w:r>
              <w:rPr>
                <w:rFonts w:ascii="Calibri" w:hAnsi="Calibri"/>
                <w:color w:val="333333"/>
                <w:sz w:val="18"/>
              </w:rPr>
              <w:t>Common shares outstanding</w:t>
            </w:r>
          </w:p>
        </w:tc>
        <w:tc>
          <w:tcPr>
            <w:tcW w:type="dxa" w:w="2520"/>
            <w:shd w:fill="F2F4F8" w:val="clear"/>
          </w:tcPr>
          <w:p>
            <w:r>
              <w:rPr>
                <w:rFonts w:ascii="Calibri" w:hAnsi="Calibri"/>
                <w:color w:val="333333"/>
                <w:sz w:val="18"/>
              </w:rPr>
              <w:t>15.1B</w:t>
            </w:r>
          </w:p>
        </w:tc>
        <w:tc>
          <w:tcPr>
            <w:tcW w:type="dxa" w:w="2520"/>
            <w:shd w:fill="F2F4F8" w:val="clear"/>
          </w:tcPr>
          <w:p>
            <w:r>
              <w:rPr>
                <w:rFonts w:ascii="Calibri" w:hAnsi="Calibri"/>
                <w:color w:val="333333"/>
                <w:sz w:val="18"/>
              </w:rPr>
              <w:t>14.8B</w:t>
            </w:r>
          </w:p>
        </w:tc>
        <w:tc>
          <w:tcPr>
            <w:tcW w:type="dxa" w:w="2520"/>
            <w:shd w:fill="F2F4F8" w:val="clear"/>
            <w:shd w:fill="FFF3CD" w:val="clear"/>
          </w:tcPr>
          <w:p>
            <w:r>
              <w:rPr>
                <w:rFonts w:ascii="Calibri" w:hAnsi="Calibri"/>
                <w:color w:val="333333"/>
                <w:sz w:val="18"/>
              </w:rPr>
              <w:t>-2.3%</w:t>
            </w:r>
          </w:p>
        </w:tc>
      </w:tr>
      <w:tr>
        <w:tc>
          <w:tcPr>
            <w:tcW w:type="dxa" w:w="2520"/>
          </w:tcPr>
          <w:p>
            <w:r>
              <w:rPr>
                <w:rFonts w:ascii="Calibri" w:hAnsi="Calibri"/>
                <w:color w:val="333333"/>
                <w:sz w:val="18"/>
              </w:rPr>
              <w:t>Accounts payable</w:t>
            </w:r>
          </w:p>
        </w:tc>
        <w:tc>
          <w:tcPr>
            <w:tcW w:type="dxa" w:w="2520"/>
          </w:tcPr>
          <w:p>
            <w:r>
              <w:rPr>
                <w:rFonts w:ascii="Calibri" w:hAnsi="Calibri"/>
                <w:color w:val="333333"/>
                <w:sz w:val="18"/>
              </w:rPr>
              <w:t>$69.0B</w:t>
            </w:r>
          </w:p>
        </w:tc>
        <w:tc>
          <w:tcPr>
            <w:tcW w:type="dxa" w:w="2520"/>
          </w:tcPr>
          <w:p>
            <w:r>
              <w:rPr>
                <w:rFonts w:ascii="Calibri" w:hAnsi="Calibri"/>
                <w:color w:val="333333"/>
                <w:sz w:val="18"/>
              </w:rPr>
              <w:t>$69.9B</w:t>
            </w:r>
          </w:p>
        </w:tc>
        <w:tc>
          <w:tcPr>
            <w:tcW w:type="dxa" w:w="2520"/>
            <w:shd w:fill="FFF3CD" w:val="clear"/>
          </w:tcPr>
          <w:p>
            <w:r>
              <w:rPr>
                <w:rFonts w:ascii="Calibri" w:hAnsi="Calibri"/>
                <w:color w:val="333333"/>
                <w:sz w:val="18"/>
              </w:rPr>
              <w:t>1.3%</w:t>
            </w:r>
          </w:p>
        </w:tc>
      </w:tr>
      <w:tr>
        <w:tc>
          <w:tcPr>
            <w:tcW w:type="dxa" w:w="2520"/>
            <w:shd w:fill="F2F4F8" w:val="clear"/>
          </w:tcPr>
          <w:p>
            <w:r>
              <w:rPr>
                <w:rFonts w:ascii="Calibri" w:hAnsi="Calibri"/>
                <w:color w:val="333333"/>
                <w:sz w:val="18"/>
              </w:rPr>
              <w:t>Deferred revenue / contract liabilities</w:t>
            </w:r>
          </w:p>
        </w:tc>
        <w:tc>
          <w:tcPr>
            <w:tcW w:type="dxa" w:w="2520"/>
            <w:shd w:fill="F2F4F8" w:val="clear"/>
          </w:tcPr>
          <w:p>
            <w:r>
              <w:rPr>
                <w:rFonts w:ascii="Calibri" w:hAnsi="Calibri"/>
                <w:color w:val="333333"/>
                <w:sz w:val="18"/>
              </w:rPr>
              <w:t>$8.2B</w:t>
            </w:r>
          </w:p>
        </w:tc>
        <w:tc>
          <w:tcPr>
            <w:tcW w:type="dxa" w:w="2520"/>
            <w:shd w:fill="F2F4F8" w:val="clear"/>
          </w:tcPr>
          <w:p>
            <w:r>
              <w:rPr>
                <w:rFonts w:ascii="Calibri" w:hAnsi="Calibri"/>
                <w:color w:val="333333"/>
                <w:sz w:val="18"/>
              </w:rPr>
              <w:t>$9.1B</w:t>
            </w:r>
          </w:p>
        </w:tc>
        <w:tc>
          <w:tcPr>
            <w:tcW w:type="dxa" w:w="2520"/>
            <w:shd w:fill="F2F4F8" w:val="clear"/>
            <w:shd w:fill="FFF3CD" w:val="clear"/>
          </w:tcPr>
          <w:p>
            <w:r>
              <w:rPr>
                <w:rFonts w:ascii="Calibri" w:hAnsi="Calibri"/>
                <w:color w:val="333333"/>
                <w:sz w:val="18"/>
              </w:rPr>
              <w:t>9.8%</w:t>
            </w:r>
          </w:p>
        </w:tc>
      </w:tr>
      <w:tr>
        <w:tc>
          <w:tcPr>
            <w:tcW w:type="dxa" w:w="2520"/>
          </w:tcPr>
          <w:p>
            <w:r>
              <w:rPr>
                <w:rFonts w:ascii="Calibri" w:hAnsi="Calibri"/>
                <w:color w:val="333333"/>
                <w:sz w:val="18"/>
              </w:rPr>
              <w:t>Operating lease liabilities</w:t>
            </w:r>
          </w:p>
        </w:tc>
        <w:tc>
          <w:tcPr>
            <w:tcW w:type="dxa" w:w="2520"/>
          </w:tcPr>
          <w:p>
            <w:r>
              <w:rPr>
                <w:rFonts w:ascii="Calibri" w:hAnsi="Calibri"/>
                <w:color w:val="333333"/>
                <w:sz w:val="18"/>
              </w:rPr>
              <w:t>$11.5B</w:t>
            </w:r>
          </w:p>
        </w:tc>
        <w:tc>
          <w:tcPr>
            <w:tcW w:type="dxa" w:w="2520"/>
          </w:tcPr>
          <w:p>
            <w:r>
              <w:rPr>
                <w:rFonts w:ascii="Calibri" w:hAnsi="Calibri"/>
                <w:color w:val="333333"/>
                <w:sz w:val="18"/>
              </w:rPr>
              <w:t>$12.5B</w:t>
            </w:r>
          </w:p>
        </w:tc>
        <w:tc>
          <w:tcPr>
            <w:tcW w:type="dxa" w:w="2520"/>
            <w:shd w:fill="FFF3CD" w:val="clear"/>
          </w:tcPr>
          <w:p>
            <w:r>
              <w:rPr>
                <w:rFonts w:ascii="Calibri" w:hAnsi="Calibri"/>
                <w:color w:val="333333"/>
                <w:sz w:val="18"/>
              </w:rPr>
              <w:t>8.3%</w:t>
            </w:r>
          </w:p>
        </w:tc>
      </w:tr>
      <w:tr>
        <w:tc>
          <w:tcPr>
            <w:tcW w:type="dxa" w:w="2520"/>
            <w:shd w:fill="F2F4F8" w:val="clear"/>
          </w:tcPr>
          <w:p>
            <w:r>
              <w:rPr>
                <w:rFonts w:ascii="Calibri" w:hAnsi="Calibri"/>
                <w:color w:val="333333"/>
                <w:sz w:val="18"/>
              </w:rPr>
              <w:t>Short-term investments / marketable securities</w:t>
            </w:r>
          </w:p>
        </w:tc>
        <w:tc>
          <w:tcPr>
            <w:tcW w:type="dxa" w:w="2520"/>
            <w:shd w:fill="F2F4F8" w:val="clear"/>
          </w:tcPr>
          <w:p>
            <w:r>
              <w:rPr>
                <w:rFonts w:ascii="Calibri" w:hAnsi="Calibri"/>
                <w:color w:val="333333"/>
                <w:sz w:val="18"/>
              </w:rPr>
              <w:t>$35.2B</w:t>
            </w:r>
          </w:p>
        </w:tc>
        <w:tc>
          <w:tcPr>
            <w:tcW w:type="dxa" w:w="2520"/>
            <w:shd w:fill="F2F4F8" w:val="clear"/>
          </w:tcPr>
          <w:p>
            <w:r>
              <w:rPr>
                <w:rFonts w:ascii="Calibri" w:hAnsi="Calibri"/>
                <w:color w:val="333333"/>
                <w:sz w:val="18"/>
              </w:rPr>
              <w:t>$18.8B</w:t>
            </w:r>
          </w:p>
        </w:tc>
        <w:tc>
          <w:tcPr>
            <w:tcW w:type="dxa" w:w="2520"/>
            <w:shd w:fill="F2F4F8" w:val="clear"/>
            <w:shd w:fill="FCE8E6" w:val="clear"/>
          </w:tcPr>
          <w:p>
            <w:r>
              <w:rPr>
                <w:rFonts w:ascii="Calibri" w:hAnsi="Calibri"/>
                <w:color w:val="333333"/>
                <w:sz w:val="18"/>
              </w:rPr>
              <w:t>-46.7%</w:t>
            </w:r>
          </w:p>
        </w:tc>
      </w:tr>
      <w:tr>
        <w:tc>
          <w:tcPr>
            <w:tcW w:type="dxa" w:w="2520"/>
          </w:tcPr>
          <w:p>
            <w:r>
              <w:rPr>
                <w:rFonts w:ascii="Calibri" w:hAnsi="Calibri"/>
                <w:color w:val="333333"/>
                <w:sz w:val="18"/>
              </w:rPr>
              <w:t>Other current assets</w:t>
            </w:r>
          </w:p>
        </w:tc>
        <w:tc>
          <w:tcPr>
            <w:tcW w:type="dxa" w:w="2520"/>
          </w:tcPr>
          <w:p>
            <w:r>
              <w:rPr>
                <w:rFonts w:ascii="Calibri" w:hAnsi="Calibri"/>
                <w:color w:val="333333"/>
                <w:sz w:val="18"/>
              </w:rPr>
              <w:t>$14.3B</w:t>
            </w:r>
          </w:p>
        </w:tc>
        <w:tc>
          <w:tcPr>
            <w:tcW w:type="dxa" w:w="2520"/>
          </w:tcPr>
          <w:p>
            <w:r>
              <w:rPr>
                <w:rFonts w:ascii="Calibri" w:hAnsi="Calibri"/>
                <w:color w:val="333333"/>
                <w:sz w:val="18"/>
              </w:rPr>
              <w:t>$14.6B</w:t>
            </w:r>
          </w:p>
        </w:tc>
        <w:tc>
          <w:tcPr>
            <w:tcW w:type="dxa" w:w="2520"/>
            <w:shd w:fill="FFF3CD" w:val="clear"/>
          </w:tcPr>
          <w:p>
            <w:r>
              <w:rPr>
                <w:rFonts w:ascii="Calibri" w:hAnsi="Calibri"/>
                <w:color w:val="333333"/>
                <w:sz w:val="18"/>
              </w:rPr>
              <w:t>2.1%</w:t>
            </w:r>
          </w:p>
        </w:tc>
      </w:tr>
      <w:tr>
        <w:tc>
          <w:tcPr>
            <w:tcW w:type="dxa" w:w="2520"/>
            <w:shd w:fill="F2F4F8" w:val="clear"/>
          </w:tcPr>
          <w:p>
            <w:r>
              <w:rPr>
                <w:rFonts w:ascii="Calibri" w:hAnsi="Calibri"/>
                <w:color w:val="333333"/>
                <w:sz w:val="18"/>
              </w:rPr>
              <w:t>Long-term investments</w:t>
            </w:r>
          </w:p>
        </w:tc>
        <w:tc>
          <w:tcPr>
            <w:tcW w:type="dxa" w:w="2520"/>
            <w:shd w:fill="F2F4F8" w:val="clear"/>
          </w:tcPr>
          <w:p>
            <w:r>
              <w:rPr>
                <w:rFonts w:ascii="Calibri" w:hAnsi="Calibri"/>
                <w:color w:val="333333"/>
                <w:sz w:val="18"/>
              </w:rPr>
              <w:t>$91.5B</w:t>
            </w:r>
          </w:p>
        </w:tc>
        <w:tc>
          <w:tcPr>
            <w:tcW w:type="dxa" w:w="2520"/>
            <w:shd w:fill="F2F4F8" w:val="clear"/>
          </w:tcPr>
          <w:p>
            <w:r>
              <w:rPr>
                <w:rFonts w:ascii="Calibri" w:hAnsi="Calibri"/>
                <w:color w:val="333333"/>
                <w:sz w:val="18"/>
              </w:rPr>
              <w:t>$77.7B</w:t>
            </w:r>
          </w:p>
        </w:tc>
        <w:tc>
          <w:tcPr>
            <w:tcW w:type="dxa" w:w="2520"/>
            <w:shd w:fill="F2F4F8" w:val="clear"/>
            <w:shd w:fill="FCE8E6" w:val="clear"/>
          </w:tcPr>
          <w:p>
            <w:r>
              <w:rPr>
                <w:rFonts w:ascii="Calibri" w:hAnsi="Calibri"/>
                <w:color w:val="333333"/>
                <w:sz w:val="18"/>
              </w:rPr>
              <w:t>-15.0%</w:t>
            </w:r>
          </w:p>
        </w:tc>
      </w:tr>
      <w:tr>
        <w:tc>
          <w:tcPr>
            <w:tcW w:type="dxa" w:w="2520"/>
          </w:tcPr>
          <w:p>
            <w:r>
              <w:rPr>
                <w:rFonts w:ascii="Calibri" w:hAnsi="Calibri"/>
                <w:color w:val="333333"/>
                <w:sz w:val="18"/>
              </w:rPr>
              <w:t>Accrued liabilities</w:t>
            </w:r>
          </w:p>
        </w:tc>
        <w:tc>
          <w:tcPr>
            <w:tcW w:type="dxa" w:w="2520"/>
          </w:tcPr>
          <w:p>
            <w:r>
              <w:rPr>
                <w:rFonts w:ascii="Calibri" w:hAnsi="Calibri"/>
                <w:color w:val="333333"/>
                <w:sz w:val="18"/>
              </w:rPr>
              <w:t>$26.6B</w:t>
            </w:r>
          </w:p>
        </w:tc>
        <w:tc>
          <w:tcPr>
            <w:tcW w:type="dxa" w:w="2520"/>
          </w:tcPr>
          <w:p>
            <w:r>
              <w:rPr>
                <w:rFonts w:ascii="Calibri" w:hAnsi="Calibri"/>
                <w:color w:val="333333"/>
                <w:sz w:val="18"/>
              </w:rPr>
              <w:t>$13.0B</w:t>
            </w:r>
          </w:p>
        </w:tc>
        <w:tc>
          <w:tcPr>
            <w:tcW w:type="dxa" w:w="2520"/>
            <w:shd w:fill="FCE8E6" w:val="clear"/>
          </w:tcPr>
          <w:p>
            <w:r>
              <w:rPr>
                <w:rFonts w:ascii="Calibri" w:hAnsi="Calibri"/>
                <w:color w:val="333333"/>
                <w:sz w:val="18"/>
              </w:rPr>
              <w:t>-51.1%</w:t>
            </w:r>
          </w:p>
        </w:tc>
      </w:tr>
      <w:tr>
        <w:tc>
          <w:tcPr>
            <w:tcW w:type="dxa" w:w="2520"/>
            <w:shd w:fill="F2F4F8" w:val="clear"/>
          </w:tcPr>
          <w:p>
            <w:r>
              <w:rPr>
                <w:rFonts w:ascii="Calibri" w:hAnsi="Calibri"/>
                <w:color w:val="333333"/>
                <w:sz w:val="18"/>
              </w:rPr>
              <w:t>Deferred income tax assets, net</w:t>
            </w:r>
          </w:p>
        </w:tc>
        <w:tc>
          <w:tcPr>
            <w:tcW w:type="dxa" w:w="2520"/>
            <w:shd w:fill="F2F4F8" w:val="clear"/>
          </w:tcPr>
          <w:p>
            <w:r>
              <w:rPr>
                <w:rFonts w:ascii="Calibri" w:hAnsi="Calibri"/>
                <w:color w:val="333333"/>
                <w:sz w:val="18"/>
              </w:rPr>
              <w:t>$19.5B</w:t>
            </w:r>
          </w:p>
        </w:tc>
        <w:tc>
          <w:tcPr>
            <w:tcW w:type="dxa" w:w="2520"/>
            <w:shd w:fill="F2F4F8" w:val="clear"/>
          </w:tcPr>
          <w:p>
            <w:r>
              <w:rPr>
                <w:rFonts w:ascii="Calibri" w:hAnsi="Calibri"/>
                <w:color w:val="333333"/>
                <w:sz w:val="18"/>
              </w:rPr>
              <w:t>$20.8B</w:t>
            </w:r>
          </w:p>
        </w:tc>
        <w:tc>
          <w:tcPr>
            <w:tcW w:type="dxa" w:w="2520"/>
            <w:shd w:fill="F2F4F8" w:val="clear"/>
            <w:shd w:fill="FFF3CD" w:val="clear"/>
          </w:tcPr>
          <w:p>
            <w:r>
              <w:rPr>
                <w:rFonts w:ascii="Calibri" w:hAnsi="Calibri"/>
                <w:color w:val="333333"/>
                <w:sz w:val="18"/>
              </w:rPr>
              <w:t>6.5%</w:t>
            </w:r>
          </w:p>
        </w:tc>
      </w:tr>
      <w:tr>
        <w:tc>
          <w:tcPr>
            <w:tcW w:type="dxa" w:w="2520"/>
          </w:tcPr>
          <w:p>
            <w:r>
              <w:rPr>
                <w:rFonts w:ascii="Calibri" w:hAnsi="Calibri"/>
                <w:color w:val="333333"/>
                <w:sz w:val="18"/>
              </w:rPr>
              <w:t>Accumulated other comprehensive income/loss</w:t>
            </w:r>
          </w:p>
        </w:tc>
        <w:tc>
          <w:tcPr>
            <w:tcW w:type="dxa" w:w="2520"/>
          </w:tcPr>
          <w:p>
            <w:r>
              <w:rPr>
                <w:rFonts w:ascii="Calibri" w:hAnsi="Calibri"/>
                <w:color w:val="333333"/>
                <w:sz w:val="18"/>
              </w:rPr>
              <w:t>$-7.2B</w:t>
            </w:r>
          </w:p>
        </w:tc>
        <w:tc>
          <w:tcPr>
            <w:tcW w:type="dxa" w:w="2520"/>
          </w:tcPr>
          <w:p>
            <w:r>
              <w:rPr>
                <w:rFonts w:ascii="Calibri" w:hAnsi="Calibri"/>
                <w:color w:val="333333"/>
                <w:sz w:val="18"/>
              </w:rPr>
              <w:t>$-5.6B</w:t>
            </w:r>
          </w:p>
        </w:tc>
        <w:tc>
          <w:tcPr>
            <w:tcW w:type="dxa" w:w="2520"/>
            <w:shd w:fill="DCEEF8" w:val="clear"/>
          </w:tcPr>
          <w:p>
            <w:r>
              <w:rPr>
                <w:rFonts w:ascii="Calibri" w:hAnsi="Calibri"/>
                <w:color w:val="333333"/>
                <w:sz w:val="18"/>
              </w:rPr>
              <w:t>22.3%</w:t>
            </w:r>
          </w:p>
        </w:tc>
      </w:tr>
      <w:tr>
        <w:tc>
          <w:tcPr>
            <w:tcW w:type="dxa" w:w="2520"/>
            <w:shd w:fill="F2F4F8" w:val="clear"/>
          </w:tcPr>
          <w:p>
            <w:r>
              <w:rPr>
                <w:rFonts w:ascii="Calibri" w:hAnsi="Calibri"/>
                <w:color w:val="333333"/>
                <w:sz w:val="18"/>
              </w:rPr>
              <w:t>Common stock par value</w:t>
            </w:r>
          </w:p>
        </w:tc>
        <w:tc>
          <w:tcPr>
            <w:tcW w:type="dxa" w:w="2520"/>
            <w:shd w:fill="F2F4F8" w:val="clear"/>
          </w:tcPr>
          <w:p>
            <w:r>
              <w:rPr>
                <w:rFonts w:ascii="Calibri" w:hAnsi="Calibri"/>
                <w:color w:val="333333"/>
                <w:sz w:val="18"/>
              </w:rPr>
              <w:t>$83.3B</w:t>
            </w:r>
          </w:p>
        </w:tc>
        <w:tc>
          <w:tcPr>
            <w:tcW w:type="dxa" w:w="2520"/>
            <w:shd w:fill="F2F4F8" w:val="clear"/>
          </w:tcPr>
          <w:p>
            <w:r>
              <w:rPr>
                <w:rFonts w:ascii="Calibri" w:hAnsi="Calibri"/>
                <w:color w:val="333333"/>
                <w:sz w:val="18"/>
              </w:rPr>
              <w:t>$93.6B</w:t>
            </w:r>
          </w:p>
        </w:tc>
        <w:tc>
          <w:tcPr>
            <w:tcW w:type="dxa" w:w="2520"/>
            <w:shd w:fill="F2F4F8" w:val="clear"/>
            <w:shd w:fill="DCEEF8" w:val="clear"/>
          </w:tcPr>
          <w:p>
            <w:r>
              <w:rPr>
                <w:rFonts w:ascii="Calibri" w:hAnsi="Calibri"/>
                <w:color w:val="333333"/>
                <w:sz w:val="18"/>
              </w:rPr>
              <w:t>12.4%</w:t>
            </w:r>
          </w:p>
        </w:tc>
      </w:tr>
      <w:tr>
        <w:tc>
          <w:tcPr>
            <w:tcW w:type="dxa" w:w="2520"/>
          </w:tcPr>
          <w:p>
            <w:r>
              <w:rPr>
                <w:rFonts w:ascii="Calibri" w:hAnsi="Calibri"/>
                <w:color w:val="333333"/>
                <w:sz w:val="18"/>
              </w:rPr>
              <w:t>Total liabilities and stockholders' equity</w:t>
            </w:r>
          </w:p>
        </w:tc>
        <w:tc>
          <w:tcPr>
            <w:tcW w:type="dxa" w:w="2520"/>
          </w:tcPr>
          <w:p>
            <w:r>
              <w:rPr>
                <w:rFonts w:ascii="Calibri" w:hAnsi="Calibri"/>
                <w:color w:val="333333"/>
                <w:sz w:val="18"/>
              </w:rPr>
              <w:t>$365.0B</w:t>
            </w:r>
          </w:p>
        </w:tc>
        <w:tc>
          <w:tcPr>
            <w:tcW w:type="dxa" w:w="2520"/>
          </w:tcPr>
          <w:p>
            <w:r>
              <w:rPr>
                <w:rFonts w:ascii="Calibri" w:hAnsi="Calibri"/>
                <w:color w:val="333333"/>
                <w:sz w:val="18"/>
              </w:rPr>
              <w:t>$359.2B</w:t>
            </w:r>
          </w:p>
        </w:tc>
        <w:tc>
          <w:tcPr>
            <w:tcW w:type="dxa" w:w="2520"/>
            <w:shd w:fill="FFF3CD" w:val="clear"/>
          </w:tcPr>
          <w:p>
            <w:r>
              <w:rPr>
                <w:rFonts w:ascii="Calibri" w:hAnsi="Calibri"/>
                <w:color w:val="333333"/>
                <w:sz w:val="18"/>
              </w:rPr>
              <w:t>-1.6%</w:t>
            </w:r>
          </w:p>
        </w:tc>
      </w:tr>
      <w:tr>
        <w:tc>
          <w:tcPr>
            <w:tcW w:type="dxa" w:w="2520"/>
            <w:shd w:fill="F2F4F8" w:val="clear"/>
          </w:tcPr>
          <w:p>
            <w:r>
              <w:rPr>
                <w:rFonts w:ascii="Calibri" w:hAnsi="Calibri"/>
                <w:color w:val="333333"/>
                <w:sz w:val="18"/>
              </w:rPr>
              <w:t>Right-of-use assets (operating and finance leases)</w:t>
            </w:r>
          </w:p>
        </w:tc>
        <w:tc>
          <w:tcPr>
            <w:tcW w:type="dxa" w:w="2520"/>
            <w:shd w:fill="F2F4F8" w:val="clear"/>
          </w:tcPr>
          <w:p>
            <w:r>
              <w:rPr>
                <w:rFonts w:ascii="Calibri" w:hAnsi="Calibri"/>
                <w:color w:val="333333"/>
                <w:sz w:val="18"/>
              </w:rPr>
              <w:t>$10.2B</w:t>
            </w:r>
          </w:p>
        </w:tc>
        <w:tc>
          <w:tcPr>
            <w:tcW w:type="dxa" w:w="2520"/>
            <w:shd w:fill="F2F4F8" w:val="clear"/>
          </w:tcPr>
          <w:p>
            <w:r>
              <w:rPr>
                <w:rFonts w:ascii="Calibri" w:hAnsi="Calibri"/>
                <w:color w:val="333333"/>
                <w:sz w:val="18"/>
              </w:rPr>
              <w:t>$11.2B</w:t>
            </w:r>
          </w:p>
        </w:tc>
        <w:tc>
          <w:tcPr>
            <w:tcW w:type="dxa" w:w="2520"/>
            <w:shd w:fill="F2F4F8" w:val="clear"/>
            <w:shd w:fill="FFF3CD" w:val="clear"/>
          </w:tcPr>
          <w:p>
            <w:r>
              <w:rPr>
                <w:rFonts w:ascii="Calibri" w:hAnsi="Calibri"/>
                <w:color w:val="333333"/>
                <w:sz w:val="18"/>
              </w:rPr>
              <w:t>9.5%</w:t>
            </w:r>
          </w:p>
        </w:tc>
      </w:tr>
      <w:tr>
        <w:tc>
          <w:tcPr>
            <w:tcW w:type="dxa" w:w="2520"/>
          </w:tcPr>
          <w:p>
            <w:r>
              <w:rPr>
                <w:rFonts w:ascii="Calibri" w:hAnsi="Calibri"/>
                <w:color w:val="333333"/>
                <w:sz w:val="18"/>
              </w:rPr>
              <w:t>Other non-current assets</w:t>
            </w:r>
          </w:p>
        </w:tc>
        <w:tc>
          <w:tcPr>
            <w:tcW w:type="dxa" w:w="2520"/>
          </w:tcPr>
          <w:p>
            <w:r>
              <w:rPr>
                <w:rFonts w:ascii="Calibri" w:hAnsi="Calibri"/>
                <w:color w:val="333333"/>
                <w:sz w:val="18"/>
              </w:rPr>
              <w:t>$74.8B</w:t>
            </w:r>
          </w:p>
        </w:tc>
        <w:tc>
          <w:tcPr>
            <w:tcW w:type="dxa" w:w="2520"/>
          </w:tcPr>
          <w:p>
            <w:r>
              <w:rPr>
                <w:rFonts w:ascii="Calibri" w:hAnsi="Calibri"/>
                <w:color w:val="333333"/>
                <w:sz w:val="18"/>
              </w:rPr>
              <w:t>$83.7B</w:t>
            </w:r>
          </w:p>
        </w:tc>
        <w:tc>
          <w:tcPr>
            <w:tcW w:type="dxa" w:w="2520"/>
            <w:shd w:fill="DCEEF8" w:val="clear"/>
          </w:tcPr>
          <w:p>
            <w:r>
              <w:rPr>
                <w:rFonts w:ascii="Calibri" w:hAnsi="Calibri"/>
                <w:color w:val="333333"/>
                <w:sz w:val="18"/>
              </w:rPr>
              <w:t>11.9%</w:t>
            </w:r>
          </w:p>
        </w:tc>
      </w:tr>
      <w:tr>
        <w:tc>
          <w:tcPr>
            <w:tcW w:type="dxa" w:w="2520"/>
            <w:shd w:fill="F2F4F8" w:val="clear"/>
          </w:tcPr>
          <w:p>
            <w:r>
              <w:rPr>
                <w:rFonts w:ascii="Calibri" w:hAnsi="Calibri"/>
                <w:color w:val="333333"/>
                <w:sz w:val="18"/>
              </w:rPr>
              <w:t>Other non-current liabilities</w:t>
            </w:r>
          </w:p>
        </w:tc>
        <w:tc>
          <w:tcPr>
            <w:tcW w:type="dxa" w:w="2520"/>
            <w:shd w:fill="F2F4F8" w:val="clear"/>
          </w:tcPr>
          <w:p>
            <w:r>
              <w:rPr>
                <w:rFonts w:ascii="Calibri" w:hAnsi="Calibri"/>
                <w:color w:val="333333"/>
                <w:sz w:val="18"/>
              </w:rPr>
              <w:t>$45.9B</w:t>
            </w:r>
          </w:p>
        </w:tc>
        <w:tc>
          <w:tcPr>
            <w:tcW w:type="dxa" w:w="2520"/>
            <w:shd w:fill="F2F4F8" w:val="clear"/>
          </w:tcPr>
          <w:p>
            <w:r>
              <w:rPr>
                <w:rFonts w:ascii="Calibri" w:hAnsi="Calibri"/>
                <w:color w:val="333333"/>
                <w:sz w:val="18"/>
              </w:rPr>
              <w:t>$41.5B</w:t>
            </w:r>
          </w:p>
        </w:tc>
        <w:tc>
          <w:tcPr>
            <w:tcW w:type="dxa" w:w="2520"/>
            <w:shd w:fill="F2F4F8" w:val="clear"/>
            <w:shd w:fill="FFF3CD" w:val="clear"/>
          </w:tcPr>
          <w:p>
            <w:r>
              <w:rPr>
                <w:rFonts w:ascii="Calibri" w:hAnsi="Calibri"/>
                <w:color w:val="333333"/>
                <w:sz w:val="18"/>
              </w:rPr>
              <w:t>-9.5%</w:t>
            </w:r>
          </w:p>
        </w:tc>
      </w:tr>
      <w:tr>
        <w:tc>
          <w:tcPr>
            <w:tcW w:type="dxa" w:w="2520"/>
          </w:tcPr>
          <w:p>
            <w:r>
              <w:rPr>
                <w:rFonts w:ascii="Calibri" w:hAnsi="Calibri"/>
                <w:color w:val="333333"/>
                <w:sz w:val="18"/>
              </w:rPr>
              <w:t>Total non-current / long-term assets</w:t>
            </w:r>
          </w:p>
        </w:tc>
        <w:tc>
          <w:tcPr>
            <w:tcW w:type="dxa" w:w="2520"/>
          </w:tcPr>
          <w:p>
            <w:r>
              <w:rPr>
                <w:rFonts w:ascii="Calibri" w:hAnsi="Calibri"/>
                <w:color w:val="333333"/>
                <w:sz w:val="18"/>
              </w:rPr>
              <w:t>$212.0B</w:t>
            </w:r>
          </w:p>
        </w:tc>
        <w:tc>
          <w:tcPr>
            <w:tcW w:type="dxa" w:w="2520"/>
          </w:tcPr>
          <w:p>
            <w:r>
              <w:rPr>
                <w:rFonts w:ascii="Calibri" w:hAnsi="Calibri"/>
                <w:color w:val="333333"/>
                <w:sz w:val="18"/>
              </w:rPr>
              <w:t>$211.3B</w:t>
            </w:r>
          </w:p>
        </w:tc>
        <w:tc>
          <w:tcPr>
            <w:tcW w:type="dxa" w:w="2520"/>
          </w:tcPr>
          <w:p>
            <w:r>
              <w:rPr>
                <w:rFonts w:ascii="Calibri" w:hAnsi="Calibri"/>
                <w:color w:val="333333"/>
                <w:sz w:val="18"/>
              </w:rPr>
              <w:t>-0.3%</w:t>
            </w:r>
          </w:p>
        </w:tc>
      </w:tr>
      <w:tr>
        <w:tc>
          <w:tcPr>
            <w:tcW w:type="dxa" w:w="2520"/>
            <w:shd w:fill="F2F4F8" w:val="clear"/>
          </w:tcPr>
          <w:p>
            <w:r>
              <w:rPr>
                <w:rFonts w:ascii="Calibri" w:hAnsi="Calibri"/>
                <w:color w:val="333333"/>
                <w:sz w:val="18"/>
              </w:rPr>
              <w:t>Total non-current / long-term liabilities</w:t>
            </w:r>
          </w:p>
        </w:tc>
        <w:tc>
          <w:tcPr>
            <w:tcW w:type="dxa" w:w="2520"/>
            <w:shd w:fill="F2F4F8" w:val="clear"/>
          </w:tcPr>
          <w:p>
            <w:r>
              <w:rPr>
                <w:rFonts w:ascii="Calibri" w:hAnsi="Calibri"/>
                <w:color w:val="333333"/>
                <w:sz w:val="18"/>
              </w:rPr>
              <w:t>$131.6B</w:t>
            </w:r>
          </w:p>
        </w:tc>
        <w:tc>
          <w:tcPr>
            <w:tcW w:type="dxa" w:w="2520"/>
            <w:shd w:fill="F2F4F8" w:val="clear"/>
          </w:tcPr>
          <w:p>
            <w:r>
              <w:rPr>
                <w:rFonts w:ascii="Calibri" w:hAnsi="Calibri"/>
                <w:color w:val="333333"/>
                <w:sz w:val="18"/>
              </w:rPr>
              <w:t>$119.9B</w:t>
            </w:r>
          </w:p>
        </w:tc>
        <w:tc>
          <w:tcPr>
            <w:tcW w:type="dxa" w:w="2520"/>
            <w:shd w:fill="F2F4F8" w:val="clear"/>
            <w:shd w:fill="FFF3CD" w:val="clear"/>
          </w:tcPr>
          <w:p>
            <w:r>
              <w:rPr>
                <w:rFonts w:ascii="Calibri" w:hAnsi="Calibri"/>
                <w:color w:val="333333"/>
                <w:sz w:val="18"/>
              </w:rPr>
              <w:t>-8.9%</w:t>
            </w:r>
          </w:p>
        </w:tc>
      </w:tr>
      <w:tr>
        <w:tc>
          <w:tcPr>
            <w:tcW w:type="dxa" w:w="2520"/>
          </w:tcPr>
          <w:p>
            <w:r>
              <w:rPr>
                <w:rFonts w:ascii="Calibri" w:hAnsi="Calibri"/>
                <w:color w:val="333333"/>
                <w:sz w:val="18"/>
              </w:rPr>
              <w:t>Finance / capital lease obligations</w:t>
            </w:r>
          </w:p>
        </w:tc>
        <w:tc>
          <w:tcPr>
            <w:tcW w:type="dxa" w:w="2520"/>
          </w:tcPr>
          <w:p>
            <w:r>
              <w:rPr>
                <w:rFonts w:ascii="Calibri" w:hAnsi="Calibri"/>
                <w:color w:val="333333"/>
                <w:sz w:val="18"/>
              </w:rPr>
              <w:t>$896.0M</w:t>
            </w:r>
          </w:p>
        </w:tc>
        <w:tc>
          <w:tcPr>
            <w:tcW w:type="dxa" w:w="2520"/>
          </w:tcPr>
          <w:p>
            <w:r>
              <w:rPr>
                <w:rFonts w:ascii="Calibri" w:hAnsi="Calibri"/>
                <w:color w:val="333333"/>
                <w:sz w:val="18"/>
              </w:rPr>
              <w:t>$1.2B</w:t>
            </w:r>
          </w:p>
        </w:tc>
        <w:tc>
          <w:tcPr>
            <w:tcW w:type="dxa" w:w="2520"/>
            <w:shd w:fill="DCEEF8" w:val="clear"/>
          </w:tcPr>
          <w:p>
            <w:r>
              <w:rPr>
                <w:rFonts w:ascii="Calibri" w:hAnsi="Calibri"/>
                <w:color w:val="333333"/>
                <w:sz w:val="18"/>
              </w:rPr>
              <w:t>37.3%</w:t>
            </w:r>
          </w:p>
        </w:tc>
      </w:tr>
      <w:tr>
        <w:tc>
          <w:tcPr>
            <w:tcW w:type="dxa" w:w="2520"/>
            <w:shd w:fill="F2F4F8" w:val="clear"/>
          </w:tcPr>
          <w:p>
            <w:r>
              <w:rPr>
                <w:rFonts w:ascii="Calibri" w:hAnsi="Calibri"/>
                <w:color w:val="333333"/>
                <w:sz w:val="18"/>
              </w:rPr>
              <w:t>Contract liabilities (ASC 606 deferred revenue)</w:t>
            </w:r>
          </w:p>
        </w:tc>
        <w:tc>
          <w:tcPr>
            <w:tcW w:type="dxa" w:w="2520"/>
            <w:shd w:fill="F2F4F8" w:val="clear"/>
          </w:tcPr>
          <w:p>
            <w:r>
              <w:rPr>
                <w:rFonts w:ascii="Calibri" w:hAnsi="Calibri"/>
                <w:color w:val="333333"/>
                <w:sz w:val="18"/>
              </w:rPr>
              <w:t>$8.2B</w:t>
            </w:r>
          </w:p>
        </w:tc>
        <w:tc>
          <w:tcPr>
            <w:tcW w:type="dxa" w:w="2520"/>
            <w:shd w:fill="F2F4F8" w:val="clear"/>
          </w:tcPr>
          <w:p>
            <w:r>
              <w:rPr>
                <w:rFonts w:ascii="Calibri" w:hAnsi="Calibri"/>
                <w:color w:val="333333"/>
                <w:sz w:val="18"/>
              </w:rPr>
              <w:t>$9.1B</w:t>
            </w:r>
          </w:p>
        </w:tc>
        <w:tc>
          <w:tcPr>
            <w:tcW w:type="dxa" w:w="2520"/>
            <w:shd w:fill="F2F4F8" w:val="clear"/>
            <w:shd w:fill="FFF3CD" w:val="clear"/>
          </w:tcPr>
          <w:p>
            <w:r>
              <w:rPr>
                <w:rFonts w:ascii="Calibri" w:hAnsi="Calibri"/>
                <w:color w:val="333333"/>
                <w:sz w:val="18"/>
              </w:rPr>
              <w:t>9.8%</w:t>
            </w:r>
          </w:p>
        </w:tc>
      </w:tr>
      <w:tr>
        <w:tc>
          <w:tcPr>
            <w:tcW w:type="dxa" w:w="2520"/>
          </w:tcPr>
          <w:p>
            <w:r>
              <w:rPr>
                <w:rFonts w:ascii="Calibri" w:hAnsi="Calibri"/>
                <w:color w:val="333333"/>
                <w:sz w:val="18"/>
              </w:rPr>
              <w:t>Unrecognized tax benefits (UTB) liability</w:t>
            </w:r>
          </w:p>
        </w:tc>
        <w:tc>
          <w:tcPr>
            <w:tcW w:type="dxa" w:w="2520"/>
          </w:tcPr>
          <w:p>
            <w:r>
              <w:rPr>
                <w:rFonts w:ascii="Calibri" w:hAnsi="Calibri"/>
                <w:color w:val="333333"/>
                <w:sz w:val="18"/>
              </w:rPr>
              <w:t>$22.0B</w:t>
            </w:r>
          </w:p>
        </w:tc>
        <w:tc>
          <w:tcPr>
            <w:tcW w:type="dxa" w:w="2520"/>
          </w:tcPr>
          <w:p>
            <w:r>
              <w:rPr>
                <w:rFonts w:ascii="Calibri" w:hAnsi="Calibri"/>
                <w:color w:val="333333"/>
                <w:sz w:val="18"/>
              </w:rPr>
              <w:t>$23.2B</w:t>
            </w:r>
          </w:p>
        </w:tc>
        <w:tc>
          <w:tcPr>
            <w:tcW w:type="dxa" w:w="2520"/>
            <w:shd w:fill="FFF3CD" w:val="clear"/>
          </w:tcPr>
          <w:p>
            <w:r>
              <w:rPr>
                <w:rFonts w:ascii="Calibri" w:hAnsi="Calibri"/>
                <w:color w:val="333333"/>
                <w:sz w:val="18"/>
              </w:rPr>
              <w:t>5.5%</w:t>
            </w:r>
          </w:p>
        </w:tc>
      </w:tr>
      <w:tr>
        <w:tc>
          <w:tcPr>
            <w:tcW w:type="dxa" w:w="2520"/>
            <w:shd w:fill="F2F4F8" w:val="clear"/>
          </w:tcPr>
          <w:p>
            <w:r>
              <w:rPr>
                <w:rFonts w:ascii="Calibri" w:hAnsi="Calibri"/>
                <w:color w:val="333333"/>
                <w:sz w:val="18"/>
              </w:rPr>
              <w:t>Commercial paper outstanding</w:t>
            </w:r>
          </w:p>
        </w:tc>
        <w:tc>
          <w:tcPr>
            <w:tcW w:type="dxa" w:w="2520"/>
            <w:shd w:fill="F2F4F8" w:val="clear"/>
          </w:tcPr>
          <w:p>
            <w:r>
              <w:rPr>
                <w:rFonts w:ascii="Calibri" w:hAnsi="Calibri"/>
                <w:color w:val="333333"/>
                <w:sz w:val="18"/>
              </w:rPr>
              <w:t>$10.0B</w:t>
            </w:r>
          </w:p>
        </w:tc>
        <w:tc>
          <w:tcPr>
            <w:tcW w:type="dxa" w:w="2520"/>
            <w:shd w:fill="F2F4F8" w:val="clear"/>
          </w:tcPr>
          <w:p>
            <w:r>
              <w:rPr>
                <w:rFonts w:ascii="Calibri" w:hAnsi="Calibri"/>
                <w:color w:val="333333"/>
                <w:sz w:val="18"/>
              </w:rPr>
              <w:t>$8.0B</w:t>
            </w:r>
          </w:p>
        </w:tc>
        <w:tc>
          <w:tcPr>
            <w:tcW w:type="dxa" w:w="2520"/>
            <w:shd w:fill="F2F4F8" w:val="clear"/>
            <w:shd w:fill="FCE8E6" w:val="clear"/>
          </w:tcPr>
          <w:p>
            <w:r>
              <w:rPr>
                <w:rFonts w:ascii="Calibri" w:hAnsi="Calibri"/>
                <w:color w:val="333333"/>
                <w:sz w:val="18"/>
              </w:rPr>
              <w:t>-19.9%</w:t>
            </w:r>
          </w:p>
        </w:tc>
      </w:tr>
      <w:tr>
        <w:tc>
          <w:tcPr>
            <w:tcW w:type="dxa" w:w="2520"/>
          </w:tcPr>
          <w:p>
            <w:r>
              <w:rPr>
                <w:rFonts w:ascii="Calibri" w:hAnsi="Calibri"/>
                <w:color w:val="333333"/>
                <w:sz w:val="18"/>
              </w:rPr>
              <w:t>Debt instrument carrying amount (face value)</w:t>
            </w:r>
          </w:p>
        </w:tc>
        <w:tc>
          <w:tcPr>
            <w:tcW w:type="dxa" w:w="2520"/>
          </w:tcPr>
          <w:p>
            <w:r>
              <w:rPr>
                <w:rFonts w:ascii="Calibri" w:hAnsi="Calibri"/>
                <w:color w:val="333333"/>
                <w:sz w:val="18"/>
              </w:rPr>
              <w:t>$97.3B</w:t>
            </w:r>
          </w:p>
        </w:tc>
        <w:tc>
          <w:tcPr>
            <w:tcW w:type="dxa" w:w="2520"/>
          </w:tcPr>
          <w:p>
            <w:r>
              <w:rPr>
                <w:rFonts w:ascii="Calibri" w:hAnsi="Calibri"/>
                <w:color w:val="333333"/>
                <w:sz w:val="18"/>
              </w:rPr>
              <w:t>$91.3B</w:t>
            </w:r>
          </w:p>
        </w:tc>
        <w:tc>
          <w:tcPr>
            <w:tcW w:type="dxa" w:w="2520"/>
            <w:shd w:fill="FFF3CD" w:val="clear"/>
          </w:tcPr>
          <w:p>
            <w:r>
              <w:rPr>
                <w:rFonts w:ascii="Calibri" w:hAnsi="Calibri"/>
                <w:color w:val="333333"/>
                <w:sz w:val="18"/>
              </w:rPr>
              <w:t>-6.2%</w:t>
            </w:r>
          </w:p>
        </w:tc>
      </w:tr>
      <w:tr>
        <w:tc>
          <w:tcPr>
            <w:tcW w:type="dxa" w:w="2520"/>
            <w:shd w:fill="F2F4F8" w:val="clear"/>
          </w:tcPr>
          <w:p>
            <w:r>
              <w:rPr>
                <w:rFonts w:ascii="Calibri" w:hAnsi="Calibri"/>
                <w:color w:val="333333"/>
                <w:sz w:val="18"/>
              </w:rPr>
              <w:t>Common stock shares authorized</w:t>
            </w:r>
          </w:p>
        </w:tc>
        <w:tc>
          <w:tcPr>
            <w:tcW w:type="dxa" w:w="2520"/>
            <w:shd w:fill="F2F4F8" w:val="clear"/>
          </w:tcPr>
          <w:p>
            <w:r>
              <w:rPr>
                <w:rFonts w:ascii="Calibri" w:hAnsi="Calibri"/>
                <w:color w:val="333333"/>
                <w:sz w:val="18"/>
              </w:rPr>
              <w:t>50.4B</w:t>
            </w:r>
          </w:p>
        </w:tc>
        <w:tc>
          <w:tcPr>
            <w:tcW w:type="dxa" w:w="2520"/>
            <w:shd w:fill="F2F4F8" w:val="clear"/>
          </w:tcPr>
          <w:p>
            <w:r>
              <w:rPr>
                <w:rFonts w:ascii="Calibri" w:hAnsi="Calibri"/>
                <w:color w:val="333333"/>
                <w:sz w:val="18"/>
              </w:rPr>
              <w:t>50.4B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Contract with customer liability (total deferred revenue under ASC 606)</w:t>
            </w:r>
          </w:p>
        </w:tc>
        <w:tc>
          <w:tcPr>
            <w:tcW w:type="dxa" w:w="2520"/>
          </w:tcPr>
          <w:p>
            <w:r>
              <w:rPr>
                <w:rFonts w:ascii="Calibri" w:hAnsi="Calibri"/>
                <w:color w:val="333333"/>
                <w:sz w:val="18"/>
              </w:rPr>
              <w:t>$12.8B</w:t>
            </w:r>
          </w:p>
        </w:tc>
        <w:tc>
          <w:tcPr>
            <w:tcW w:type="dxa" w:w="2520"/>
          </w:tcPr>
          <w:p>
            <w:r>
              <w:rPr>
                <w:rFonts w:ascii="Calibri" w:hAnsi="Calibri"/>
                <w:color w:val="333333"/>
                <w:sz w:val="18"/>
              </w:rPr>
              <w:t>$13.7B</w:t>
            </w:r>
          </w:p>
        </w:tc>
        <w:tc>
          <w:tcPr>
            <w:tcW w:type="dxa" w:w="2520"/>
            <w:shd w:fill="FFF3CD" w:val="clear"/>
          </w:tcPr>
          <w:p>
            <w:r>
              <w:rPr>
                <w:rFonts w:ascii="Calibri" w:hAnsi="Calibri"/>
                <w:color w:val="333333"/>
                <w:sz w:val="18"/>
              </w:rPr>
              <w:t>7.0%</w:t>
            </w:r>
          </w:p>
        </w:tc>
      </w:tr>
      <w:tr>
        <w:tc>
          <w:tcPr>
            <w:tcW w:type="dxa" w:w="2520"/>
            <w:shd w:fill="F2F4F8" w:val="clear"/>
          </w:tcPr>
          <w:p>
            <w:r>
              <w:rPr>
                <w:rFonts w:ascii="Calibri" w:hAnsi="Calibri"/>
                <w:color w:val="333333"/>
                <w:sz w:val="18"/>
              </w:rPr>
              <w:t>Current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FF3CD" w:val="clear"/>
          </w:tcPr>
          <w:p>
            <w:r>
              <w:rPr>
                <w:rFonts w:ascii="Calibri" w:hAnsi="Calibri"/>
                <w:color w:val="333333"/>
                <w:sz w:val="18"/>
              </w:rPr>
              <w:t>3.0%</w:t>
            </w:r>
          </w:p>
        </w:tc>
      </w:tr>
      <w:tr>
        <w:tc>
          <w:tcPr>
            <w:tcW w:type="dxa" w:w="2520"/>
          </w:tcPr>
          <w:p>
            <w:r>
              <w:rPr>
                <w:rFonts w:ascii="Calibri" w:hAnsi="Calibri"/>
                <w:color w:val="333333"/>
                <w:sz w:val="18"/>
              </w:rPr>
              <w:t>Quick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4.0%</w:t>
            </w:r>
          </w:p>
        </w:tc>
      </w:tr>
      <w:tr>
        <w:tc>
          <w:tcPr>
            <w:tcW w:type="dxa" w:w="2520"/>
            <w:shd w:fill="F2F4F8" w:val="clear"/>
          </w:tcPr>
          <w:p>
            <w:r>
              <w:rPr>
                <w:rFonts w:ascii="Calibri" w:hAnsi="Calibri"/>
                <w:color w:val="333333"/>
                <w:sz w:val="18"/>
              </w:rPr>
              <w:t>Debt-to-equity ratio</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$1</w:t>
            </w:r>
          </w:p>
        </w:tc>
        <w:tc>
          <w:tcPr>
            <w:tcW w:type="dxa" w:w="2520"/>
            <w:shd w:fill="F2F4F8" w:val="clear"/>
            <w:shd w:fill="FCE8E6" w:val="clear"/>
          </w:tcPr>
          <w:p>
            <w:r>
              <w:rPr>
                <w:rFonts w:ascii="Calibri" w:hAnsi="Calibri"/>
                <w:color w:val="333333"/>
                <w:sz w:val="18"/>
              </w:rPr>
              <w:t>-27.5%</w:t>
            </w:r>
          </w:p>
        </w:tc>
      </w:tr>
      <w:tr>
        <w:tc>
          <w:tcPr>
            <w:tcW w:type="dxa" w:w="2520"/>
          </w:tcPr>
          <w:p>
            <w:r>
              <w:rPr>
                <w:rFonts w:ascii="Calibri" w:hAnsi="Calibri"/>
                <w:color w:val="333333"/>
                <w:sz w:val="18"/>
              </w:rPr>
              <w:t>Debt-to-EBITDA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CE8E6" w:val="clear"/>
          </w:tcPr>
          <w:p>
            <w:r>
              <w:rPr>
                <w:rFonts w:ascii="Calibri" w:hAnsi="Calibri"/>
                <w:color w:val="333333"/>
                <w:sz w:val="18"/>
              </w:rPr>
              <w:t>-12.7%</w:t>
            </w:r>
          </w:p>
        </w:tc>
      </w:tr>
      <w:tr>
        <w:tc>
          <w:tcPr>
            <w:tcW w:type="dxa" w:w="2520"/>
            <w:shd w:fill="F2F4F8" w:val="clear"/>
          </w:tcPr>
          <w:p>
            <w:r>
              <w:rPr>
                <w:rFonts w:ascii="Calibri" w:hAnsi="Calibri"/>
                <w:color w:val="333333"/>
                <w:sz w:val="18"/>
              </w:rPr>
              <w:t>Net debt</w:t>
            </w:r>
          </w:p>
        </w:tc>
        <w:tc>
          <w:tcPr>
            <w:tcW w:type="dxa" w:w="2520"/>
            <w:shd w:fill="F2F4F8" w:val="clear"/>
          </w:tcPr>
          <w:p>
            <w:r>
              <w:rPr>
                <w:rFonts w:ascii="Calibri" w:hAnsi="Calibri"/>
                <w:color w:val="333333"/>
                <w:sz w:val="18"/>
              </w:rPr>
              <w:t>$66.7B</w:t>
            </w:r>
          </w:p>
        </w:tc>
        <w:tc>
          <w:tcPr>
            <w:tcW w:type="dxa" w:w="2520"/>
            <w:shd w:fill="F2F4F8" w:val="clear"/>
          </w:tcPr>
          <w:p>
            <w:r>
              <w:rPr>
                <w:rFonts w:ascii="Calibri" w:hAnsi="Calibri"/>
                <w:color w:val="333333"/>
                <w:sz w:val="18"/>
              </w:rPr>
              <w:t>$54.7B</w:t>
            </w:r>
          </w:p>
        </w:tc>
        <w:tc>
          <w:tcPr>
            <w:tcW w:type="dxa" w:w="2520"/>
            <w:shd w:fill="F2F4F8" w:val="clear"/>
            <w:shd w:fill="FCE8E6" w:val="clear"/>
          </w:tcPr>
          <w:p>
            <w:r>
              <w:rPr>
                <w:rFonts w:ascii="Calibri" w:hAnsi="Calibri"/>
                <w:color w:val="333333"/>
                <w:sz w:val="18"/>
              </w:rPr>
              <w:t>-17.9%</w:t>
            </w:r>
          </w:p>
        </w:tc>
      </w:tr>
      <w:tr>
        <w:tc>
          <w:tcPr>
            <w:tcW w:type="dxa" w:w="2520"/>
          </w:tcPr>
          <w:p>
            <w:r>
              <w:rPr>
                <w:rFonts w:ascii="Calibri" w:hAnsi="Calibri"/>
                <w:color w:val="333333"/>
                <w:sz w:val="18"/>
              </w:rPr>
              <w:t>Book value per share</w:t>
            </w:r>
          </w:p>
        </w:tc>
        <w:tc>
          <w:tcPr>
            <w:tcW w:type="dxa" w:w="2520"/>
          </w:tcPr>
          <w:p>
            <w:r>
              <w:rPr>
                <w:rFonts w:ascii="Calibri" w:hAnsi="Calibri"/>
                <w:color w:val="333333"/>
                <w:sz w:val="18"/>
              </w:rPr>
              <w:t>$3.77</w:t>
            </w:r>
          </w:p>
        </w:tc>
        <w:tc>
          <w:tcPr>
            <w:tcW w:type="dxa" w:w="2520"/>
          </w:tcPr>
          <w:p>
            <w:r>
              <w:rPr>
                <w:rFonts w:ascii="Calibri" w:hAnsi="Calibri"/>
                <w:color w:val="333333"/>
                <w:sz w:val="18"/>
              </w:rPr>
              <w:t>$4.99</w:t>
            </w:r>
          </w:p>
        </w:tc>
        <w:tc>
          <w:tcPr>
            <w:tcW w:type="dxa" w:w="2520"/>
            <w:shd w:fill="DCEEF8" w:val="clear"/>
          </w:tcPr>
          <w:p>
            <w:r>
              <w:rPr>
                <w:rFonts w:ascii="Calibri" w:hAnsi="Calibri"/>
                <w:color w:val="333333"/>
                <w:sz w:val="18"/>
              </w:rPr>
              <w:t>32.5%</w:t>
            </w:r>
          </w:p>
        </w:tc>
      </w:tr>
      <w:tr>
        <w:tc>
          <w:tcPr>
            <w:tcW w:type="dxa" w:w="2520"/>
            <w:shd w:fill="F2F4F8" w:val="clear"/>
          </w:tcPr>
          <w:p>
            <w:r>
              <w:rPr>
                <w:rFonts w:ascii="Calibri" w:hAnsi="Calibri"/>
                <w:color w:val="333333"/>
                <w:sz w:val="18"/>
              </w:rPr>
              <w:t>Return on assets</w:t>
            </w:r>
          </w:p>
        </w:tc>
        <w:tc>
          <w:tcPr>
            <w:tcW w:type="dxa" w:w="2520"/>
            <w:shd w:fill="F2F4F8" w:val="clear"/>
          </w:tcPr>
          <w:p>
            <w:r>
              <w:rPr>
                <w:rFonts w:ascii="Calibri" w:hAnsi="Calibri"/>
                <w:color w:val="333333"/>
                <w:sz w:val="18"/>
              </w:rPr>
              <w:t>$26</w:t>
            </w:r>
          </w:p>
        </w:tc>
        <w:tc>
          <w:tcPr>
            <w:tcW w:type="dxa" w:w="2520"/>
            <w:shd w:fill="F2F4F8" w:val="clear"/>
          </w:tcPr>
          <w:p>
            <w:r>
              <w:rPr>
                <w:rFonts w:ascii="Calibri" w:hAnsi="Calibri"/>
                <w:color w:val="333333"/>
                <w:sz w:val="18"/>
              </w:rPr>
              <w:t>$31</w:t>
            </w:r>
          </w:p>
        </w:tc>
        <w:tc>
          <w:tcPr>
            <w:tcW w:type="dxa" w:w="2520"/>
            <w:shd w:fill="F2F4F8" w:val="clear"/>
            <w:shd w:fill="DCEEF8" w:val="clear"/>
          </w:tcPr>
          <w:p>
            <w:r>
              <w:rPr>
                <w:rFonts w:ascii="Calibri" w:hAnsi="Calibri"/>
                <w:color w:val="333333"/>
                <w:sz w:val="18"/>
              </w:rPr>
              <w:t>21.4%</w:t>
            </w:r>
          </w:p>
        </w:tc>
      </w:tr>
      <w:tr>
        <w:tc>
          <w:tcPr>
            <w:tcW w:type="dxa" w:w="2520"/>
          </w:tcPr>
          <w:p>
            <w:r>
              <w:rPr>
                <w:rFonts w:ascii="Calibri" w:hAnsi="Calibri"/>
                <w:color w:val="333333"/>
                <w:sz w:val="18"/>
              </w:rPr>
              <w:t>Return on equity</w:t>
            </w:r>
          </w:p>
        </w:tc>
        <w:tc>
          <w:tcPr>
            <w:tcW w:type="dxa" w:w="2520"/>
          </w:tcPr>
          <w:p>
            <w:r>
              <w:rPr>
                <w:rFonts w:ascii="Calibri" w:hAnsi="Calibri"/>
                <w:color w:val="333333"/>
                <w:sz w:val="18"/>
              </w:rPr>
              <w:t>$165</w:t>
            </w:r>
          </w:p>
        </w:tc>
        <w:tc>
          <w:tcPr>
            <w:tcW w:type="dxa" w:w="2520"/>
          </w:tcPr>
          <w:p>
            <w:r>
              <w:rPr>
                <w:rFonts w:ascii="Calibri" w:hAnsi="Calibri"/>
                <w:color w:val="333333"/>
                <w:sz w:val="18"/>
              </w:rPr>
              <w:t>$152</w:t>
            </w:r>
          </w:p>
        </w:tc>
        <w:tc>
          <w:tcPr>
            <w:tcW w:type="dxa" w:w="2520"/>
            <w:shd w:fill="FFF3CD" w:val="clear"/>
          </w:tcPr>
          <w:p>
            <w:r>
              <w:rPr>
                <w:rFonts w:ascii="Calibri" w:hAnsi="Calibri"/>
                <w:color w:val="333333"/>
                <w:sz w:val="18"/>
              </w:rPr>
              <w:t>-7.7%</w:t>
            </w:r>
          </w:p>
        </w:tc>
      </w:tr>
      <w:tr>
        <w:tc>
          <w:tcPr>
            <w:tcW w:type="dxa" w:w="2520"/>
            <w:shd w:fill="F2F4F8" w:val="clear"/>
          </w:tcPr>
          <w:p>
            <w:r>
              <w:rPr>
                <w:rFonts w:ascii="Calibri" w:hAnsi="Calibri"/>
                <w:color w:val="333333"/>
                <w:sz w:val="18"/>
              </w:rPr>
              <w:t>Asset turnover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FF3CD" w:val="clear"/>
          </w:tcPr>
          <w:p>
            <w:r>
              <w:rPr>
                <w:rFonts w:ascii="Calibri" w:hAnsi="Calibri"/>
                <w:color w:val="333333"/>
                <w:sz w:val="18"/>
              </w:rPr>
              <w:t>8.1%</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0.89</w:t>
            </w:r>
          </w:p>
        </w:tc>
        <w:tc>
          <w:tcPr>
            <w:tcW w:type="dxa" w:w="3360"/>
          </w:tcPr>
          <w:p>
            <w:r>
              <w:rPr>
                <w:rFonts w:ascii="Calibri" w:hAnsi="Calibri"/>
                <w:color w:val="333333"/>
                <w:sz w:val="18"/>
              </w:rPr>
              <w:t>Concern</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1.23</w:t>
            </w:r>
          </w:p>
        </w:tc>
        <w:tc>
          <w:tcPr>
            <w:tcW w:type="dxa" w:w="3360"/>
            <w:shd w:fill="F2F4F8" w:val="clear"/>
          </w:tcPr>
          <w:p>
            <w:r>
              <w:rPr>
                <w:rFonts w:ascii="Calibri" w:hAnsi="Calibri"/>
                <w:color w:val="333333"/>
                <w:sz w:val="18"/>
              </w:rPr>
              <w:t>Moderate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0.79</w:t>
            </w:r>
          </w:p>
        </w:tc>
        <w:tc>
          <w:tcPr>
            <w:tcW w:type="dxa" w:w="3360"/>
          </w:tcPr>
          <w:p>
            <w:r>
              <w:rPr>
                <w:rFonts w:ascii="Calibri" w:hAnsi="Calibri"/>
                <w:color w:val="333333"/>
                <w:sz w:val="18"/>
              </w:rPr>
              <w:t>High</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10.0%</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$118.3B</w:t>
            </w:r>
          </w:p>
        </w:tc>
        <w:tc>
          <w:tcPr>
            <w:tcW w:type="dxa" w:w="2520"/>
          </w:tcPr>
          <w:p>
            <w:r>
              <w:rPr>
                <w:rFonts w:ascii="Calibri" w:hAnsi="Calibri"/>
                <w:color w:val="333333"/>
                <w:sz w:val="18"/>
              </w:rPr>
              <w:t>$111.5B</w:t>
            </w:r>
          </w:p>
        </w:tc>
        <w:tc>
          <w:tcPr>
            <w:tcW w:type="dxa" w:w="2520"/>
            <w:shd w:fill="FFF3CD" w:val="clear"/>
          </w:tcPr>
          <w:p>
            <w:r>
              <w:rPr>
                <w:rFonts w:ascii="Calibri" w:hAnsi="Calibri"/>
                <w:color w:val="333333"/>
                <w:sz w:val="18"/>
              </w:rPr>
              <w:t>-5.7%</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$2.9B</w:t>
            </w:r>
          </w:p>
        </w:tc>
        <w:tc>
          <w:tcPr>
            <w:tcW w:type="dxa" w:w="2520"/>
            <w:shd w:fill="F2F4F8" w:val="clear"/>
          </w:tcPr>
          <w:p>
            <w:r>
              <w:rPr>
                <w:rFonts w:ascii="Calibri" w:hAnsi="Calibri"/>
                <w:color w:val="333333"/>
                <w:sz w:val="18"/>
              </w:rPr>
              <w:t>$15.2B</w:t>
            </w:r>
          </w:p>
        </w:tc>
        <w:tc>
          <w:tcPr>
            <w:tcW w:type="dxa" w:w="2520"/>
            <w:shd w:fill="F2F4F8" w:val="clear"/>
            <w:shd w:fill="DCEEF8" w:val="clear"/>
          </w:tcPr>
          <w:p>
            <w:r>
              <w:rPr>
                <w:rFonts w:ascii="Calibri" w:hAnsi="Calibri"/>
                <w:color w:val="333333"/>
                <w:sz w:val="18"/>
              </w:rPr>
              <w:t>417.7%</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$-122.0B</w:t>
            </w:r>
          </w:p>
        </w:tc>
        <w:tc>
          <w:tcPr>
            <w:tcW w:type="dxa" w:w="2520"/>
          </w:tcPr>
          <w:p>
            <w:r>
              <w:rPr>
                <w:rFonts w:ascii="Calibri" w:hAnsi="Calibri"/>
                <w:color w:val="333333"/>
                <w:sz w:val="18"/>
              </w:rPr>
              <w:t>$-120.7B</w:t>
            </w:r>
          </w:p>
        </w:tc>
        <w:tc>
          <w:tcPr>
            <w:tcW w:type="dxa" w:w="2520"/>
            <w:shd w:fill="FFF3CD" w:val="clear"/>
          </w:tcPr>
          <w:p>
            <w:r>
              <w:rPr>
                <w:rFonts w:ascii="Calibri" w:hAnsi="Calibri"/>
                <w:color w:val="333333"/>
                <w:sz w:val="18"/>
              </w:rPr>
              <w:t>1.1%</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$9.4B</w:t>
            </w:r>
          </w:p>
        </w:tc>
        <w:tc>
          <w:tcPr>
            <w:tcW w:type="dxa" w:w="2520"/>
            <w:shd w:fill="F2F4F8" w:val="clear"/>
          </w:tcPr>
          <w:p>
            <w:r>
              <w:rPr>
                <w:rFonts w:ascii="Calibri" w:hAnsi="Calibri"/>
                <w:color w:val="333333"/>
                <w:sz w:val="18"/>
              </w:rPr>
              <w:t>$12.7B</w:t>
            </w:r>
          </w:p>
        </w:tc>
        <w:tc>
          <w:tcPr>
            <w:tcW w:type="dxa" w:w="2520"/>
            <w:shd w:fill="F2F4F8" w:val="clear"/>
            <w:shd w:fill="DCEEF8" w:val="clear"/>
          </w:tcPr>
          <w:p>
            <w:r>
              <w:rPr>
                <w:rFonts w:ascii="Calibri" w:hAnsi="Calibri"/>
                <w:color w:val="333333"/>
                <w:sz w:val="18"/>
              </w:rPr>
              <w:t>34.6%</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$11.4B</w:t>
            </w:r>
          </w:p>
        </w:tc>
        <w:tc>
          <w:tcPr>
            <w:tcW w:type="dxa" w:w="2520"/>
          </w:tcPr>
          <w:p>
            <w:r>
              <w:rPr>
                <w:rFonts w:ascii="Calibri" w:hAnsi="Calibri"/>
                <w:color w:val="333333"/>
                <w:sz w:val="18"/>
              </w:rPr>
              <w:t>$11.7B</w:t>
            </w:r>
          </w:p>
        </w:tc>
        <w:tc>
          <w:tcPr>
            <w:tcW w:type="dxa" w:w="2520"/>
            <w:shd w:fill="FFF3CD" w:val="clear"/>
          </w:tcPr>
          <w:p>
            <w:r>
              <w:rPr>
                <w:rFonts w:ascii="Calibri" w:hAnsi="Calibri"/>
                <w:color w:val="333333"/>
                <w:sz w:val="18"/>
              </w:rPr>
              <w:t>2.2%</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$15.2B</w:t>
            </w:r>
          </w:p>
        </w:tc>
        <w:tc>
          <w:tcPr>
            <w:tcW w:type="dxa" w:w="2520"/>
            <w:shd w:fill="F2F4F8" w:val="clear"/>
          </w:tcPr>
          <w:p>
            <w:r>
              <w:rPr>
                <w:rFonts w:ascii="Calibri" w:hAnsi="Calibri"/>
                <w:color w:val="333333"/>
                <w:sz w:val="18"/>
              </w:rPr>
              <w:t>$15.4B</w:t>
            </w:r>
          </w:p>
        </w:tc>
        <w:tc>
          <w:tcPr>
            <w:tcW w:type="dxa" w:w="2520"/>
            <w:shd w:fill="F2F4F8" w:val="clear"/>
            <w:shd w:fill="FFF3CD" w:val="clear"/>
          </w:tcPr>
          <w:p>
            <w:r>
              <w:rPr>
                <w:rFonts w:ascii="Calibri" w:hAnsi="Calibri"/>
                <w:color w:val="333333"/>
                <w:sz w:val="18"/>
              </w:rPr>
              <w:t>1.2%</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$94.9B</w:t>
            </w:r>
          </w:p>
        </w:tc>
        <w:tc>
          <w:tcPr>
            <w:tcW w:type="dxa" w:w="2520"/>
          </w:tcPr>
          <w:p>
            <w:r>
              <w:rPr>
                <w:rFonts w:ascii="Calibri" w:hAnsi="Calibri"/>
                <w:color w:val="333333"/>
                <w:sz w:val="18"/>
              </w:rPr>
              <w:t>$90.7B</w:t>
            </w:r>
          </w:p>
        </w:tc>
        <w:tc>
          <w:tcPr>
            <w:tcW w:type="dxa" w:w="2520"/>
            <w:shd w:fill="FFF3CD" w:val="clear"/>
          </w:tcPr>
          <w:p>
            <w:r>
              <w:rPr>
                <w:rFonts w:ascii="Calibri" w:hAnsi="Calibri"/>
                <w:color w:val="333333"/>
                <w:sz w:val="18"/>
              </w:rPr>
              <w:t>-4.5%</w:t>
            </w:r>
          </w:p>
        </w:tc>
      </w:tr>
      <w:tr>
        <w:tc>
          <w:tcPr>
            <w:tcW w:type="dxa" w:w="2520"/>
            <w:shd w:fill="F2F4F8" w:val="clear"/>
          </w:tcPr>
          <w:p>
            <w:r>
              <w:rPr>
                <w:rFonts w:ascii="Calibri" w:hAnsi="Calibri"/>
                <w:color w:val="333333"/>
                <w:sz w:val="18"/>
              </w:rPr>
              <w:t>Proceeds from issuance of debt</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$4.5B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Repayments of debt</w:t>
            </w:r>
          </w:p>
        </w:tc>
        <w:tc>
          <w:tcPr>
            <w:tcW w:type="dxa" w:w="2520"/>
          </w:tcPr>
          <w:p>
            <w:r>
              <w:rPr>
                <w:rFonts w:ascii="Calibri" w:hAnsi="Calibri"/>
                <w:color w:val="333333"/>
                <w:sz w:val="18"/>
              </w:rPr>
              <w:t>$10.0B</w:t>
            </w:r>
          </w:p>
        </w:tc>
        <w:tc>
          <w:tcPr>
            <w:tcW w:type="dxa" w:w="2520"/>
          </w:tcPr>
          <w:p>
            <w:r>
              <w:rPr>
                <w:rFonts w:ascii="Calibri" w:hAnsi="Calibri"/>
                <w:color w:val="333333"/>
                <w:sz w:val="18"/>
              </w:rPr>
              <w:t>$10.9B</w:t>
            </w:r>
          </w:p>
        </w:tc>
        <w:tc>
          <w:tcPr>
            <w:tcW w:type="dxa" w:w="2520"/>
            <w:shd w:fill="FFF3CD" w:val="clear"/>
          </w:tcPr>
          <w:p>
            <w:r>
              <w:rPr>
                <w:rFonts w:ascii="Calibri" w:hAnsi="Calibri"/>
                <w:color w:val="333333"/>
                <w:sz w:val="18"/>
              </w:rPr>
              <w:t>9.8%</w:t>
            </w:r>
          </w:p>
        </w:tc>
      </w:tr>
      <w:tr>
        <w:tc>
          <w:tcPr>
            <w:tcW w:type="dxa" w:w="2520"/>
            <w:shd w:fill="F2F4F8" w:val="clear"/>
          </w:tcPr>
          <w:p>
            <w:r>
              <w:rPr>
                <w:rFonts w:ascii="Calibri" w:hAnsi="Calibri"/>
                <w:color w:val="333333"/>
                <w:sz w:val="18"/>
              </w:rPr>
              <w:t>Income taxes paid (supplemental)</w:t>
            </w:r>
          </w:p>
        </w:tc>
        <w:tc>
          <w:tcPr>
            <w:tcW w:type="dxa" w:w="2520"/>
            <w:shd w:fill="F2F4F8" w:val="clear"/>
          </w:tcPr>
          <w:p>
            <w:r>
              <w:rPr>
                <w:rFonts w:ascii="Calibri" w:hAnsi="Calibri"/>
                <w:color w:val="333333"/>
                <w:sz w:val="18"/>
              </w:rPr>
              <w:t>$26.1B</w:t>
            </w:r>
          </w:p>
        </w:tc>
        <w:tc>
          <w:tcPr>
            <w:tcW w:type="dxa" w:w="2520"/>
            <w:shd w:fill="F2F4F8" w:val="clear"/>
          </w:tcPr>
          <w:p>
            <w:r>
              <w:rPr>
                <w:rFonts w:ascii="Calibri" w:hAnsi="Calibri"/>
                <w:color w:val="333333"/>
                <w:sz w:val="18"/>
              </w:rPr>
              <w:t>$43.4B</w:t>
            </w:r>
          </w:p>
        </w:tc>
        <w:tc>
          <w:tcPr>
            <w:tcW w:type="dxa" w:w="2520"/>
            <w:shd w:fill="F2F4F8" w:val="clear"/>
            <w:shd w:fill="DCEEF8" w:val="clear"/>
          </w:tcPr>
          <w:p>
            <w:r>
              <w:rPr>
                <w:rFonts w:ascii="Calibri" w:hAnsi="Calibri"/>
                <w:color w:val="333333"/>
                <w:sz w:val="18"/>
              </w:rPr>
              <w:t>66.2%</w:t>
            </w:r>
          </w:p>
        </w:tc>
      </w:tr>
      <w:tr>
        <w:tc>
          <w:tcPr>
            <w:tcW w:type="dxa" w:w="2520"/>
          </w:tcPr>
          <w:p>
            <w:r>
              <w:rPr>
                <w:rFonts w:ascii="Calibri" w:hAnsi="Calibri"/>
                <w:color w:val="333333"/>
                <w:sz w:val="18"/>
              </w:rPr>
              <w:t>Stock-based compensation (cash flow adjustment)</w:t>
            </w:r>
          </w:p>
        </w:tc>
        <w:tc>
          <w:tcPr>
            <w:tcW w:type="dxa" w:w="2520"/>
          </w:tcPr>
          <w:p>
            <w:r>
              <w:rPr>
                <w:rFonts w:ascii="Calibri" w:hAnsi="Calibri"/>
                <w:color w:val="333333"/>
                <w:sz w:val="18"/>
              </w:rPr>
              <w:t>$11.7B</w:t>
            </w:r>
          </w:p>
        </w:tc>
        <w:tc>
          <w:tcPr>
            <w:tcW w:type="dxa" w:w="2520"/>
          </w:tcPr>
          <w:p>
            <w:r>
              <w:rPr>
                <w:rFonts w:ascii="Calibri" w:hAnsi="Calibri"/>
                <w:color w:val="333333"/>
                <w:sz w:val="18"/>
              </w:rPr>
              <w:t>$12.9B</w:t>
            </w:r>
          </w:p>
        </w:tc>
        <w:tc>
          <w:tcPr>
            <w:tcW w:type="dxa" w:w="2520"/>
            <w:shd w:fill="DCEEF8" w:val="clear"/>
          </w:tcPr>
          <w:p>
            <w:r>
              <w:rPr>
                <w:rFonts w:ascii="Calibri" w:hAnsi="Calibri"/>
                <w:color w:val="333333"/>
                <w:sz w:val="18"/>
              </w:rPr>
              <w:t>10.1%</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$-794.0M</w:t>
            </w:r>
          </w:p>
        </w:tc>
        <w:tc>
          <w:tcPr>
            <w:tcW w:type="dxa" w:w="2520"/>
            <w:shd w:fill="F2F4F8" w:val="clear"/>
          </w:tcPr>
          <w:p>
            <w:r>
              <w:rPr>
                <w:rFonts w:ascii="Calibri" w:hAnsi="Calibri"/>
                <w:color w:val="333333"/>
                <w:sz w:val="18"/>
              </w:rPr>
              <w:t>$6.0B</w:t>
            </w:r>
          </w:p>
        </w:tc>
        <w:tc>
          <w:tcPr>
            <w:tcW w:type="dxa" w:w="2520"/>
            <w:shd w:fill="F2F4F8" w:val="clear"/>
            <w:shd w:fill="DCEEF8" w:val="clear"/>
          </w:tcPr>
          <w:p>
            <w:r>
              <w:rPr>
                <w:rFonts w:ascii="Calibri" w:hAnsi="Calibri"/>
                <w:color w:val="333333"/>
                <w:sz w:val="18"/>
              </w:rPr>
              <w:t>854.5%</w:t>
            </w:r>
          </w:p>
        </w:tc>
      </w:tr>
      <w:tr>
        <w:tc>
          <w:tcPr>
            <w:tcW w:type="dxa" w:w="2520"/>
          </w:tcPr>
          <w:p>
            <w:r>
              <w:rPr>
                <w:rFonts w:ascii="Calibri" w:hAnsi="Calibri"/>
                <w:color w:val="333333"/>
                <w:sz w:val="18"/>
              </w:rPr>
              <w:t>Purchases of investments</w:t>
            </w:r>
          </w:p>
        </w:tc>
        <w:tc>
          <w:tcPr>
            <w:tcW w:type="dxa" w:w="2520"/>
          </w:tcPr>
          <w:p>
            <w:r>
              <w:rPr>
                <w:rFonts w:ascii="Calibri" w:hAnsi="Calibri"/>
                <w:color w:val="333333"/>
                <w:sz w:val="18"/>
              </w:rPr>
              <w:t>$48.7B</w:t>
            </w:r>
          </w:p>
        </w:tc>
        <w:tc>
          <w:tcPr>
            <w:tcW w:type="dxa" w:w="2520"/>
          </w:tcPr>
          <w:p>
            <w:r>
              <w:rPr>
                <w:rFonts w:ascii="Calibri" w:hAnsi="Calibri"/>
                <w:color w:val="333333"/>
                <w:sz w:val="18"/>
              </w:rPr>
              <w:t>$24.4B</w:t>
            </w:r>
          </w:p>
        </w:tc>
        <w:tc>
          <w:tcPr>
            <w:tcW w:type="dxa" w:w="2520"/>
            <w:shd w:fill="FCE8E6" w:val="clear"/>
          </w:tcPr>
          <w:p>
            <w:r>
              <w:rPr>
                <w:rFonts w:ascii="Calibri" w:hAnsi="Calibri"/>
                <w:color w:val="333333"/>
                <w:sz w:val="18"/>
              </w:rPr>
              <w:t>-49.8%</w:t>
            </w:r>
          </w:p>
        </w:tc>
      </w:tr>
      <w:tr>
        <w:tc>
          <w:tcPr>
            <w:tcW w:type="dxa" w:w="2520"/>
            <w:shd w:fill="F2F4F8" w:val="clear"/>
          </w:tcPr>
          <w:p>
            <w:r>
              <w:rPr>
                <w:rFonts w:ascii="Calibri" w:hAnsi="Calibri"/>
                <w:color w:val="333333"/>
                <w:sz w:val="18"/>
              </w:rPr>
              <w:t>Proceeds from sale/maturity of investments</w:t>
            </w:r>
          </w:p>
        </w:tc>
        <w:tc>
          <w:tcPr>
            <w:tcW w:type="dxa" w:w="2520"/>
            <w:shd w:fill="F2F4F8" w:val="clear"/>
          </w:tcPr>
          <w:p>
            <w:r>
              <w:rPr>
                <w:rFonts w:ascii="Calibri" w:hAnsi="Calibri"/>
                <w:color w:val="333333"/>
                <w:sz w:val="18"/>
              </w:rPr>
              <w:t>$11.1B</w:t>
            </w:r>
          </w:p>
        </w:tc>
        <w:tc>
          <w:tcPr>
            <w:tcW w:type="dxa" w:w="2520"/>
            <w:shd w:fill="F2F4F8" w:val="clear"/>
          </w:tcPr>
          <w:p>
            <w:r>
              <w:rPr>
                <w:rFonts w:ascii="Calibri" w:hAnsi="Calibri"/>
                <w:color w:val="333333"/>
                <w:sz w:val="18"/>
              </w:rPr>
              <w:t>$12.9B</w:t>
            </w:r>
          </w:p>
        </w:tc>
        <w:tc>
          <w:tcPr>
            <w:tcW w:type="dxa" w:w="2520"/>
            <w:shd w:fill="F2F4F8" w:val="clear"/>
            <w:shd w:fill="DCEEF8" w:val="clear"/>
          </w:tcPr>
          <w:p>
            <w:r>
              <w:rPr>
                <w:rFonts w:ascii="Calibri" w:hAnsi="Calibri"/>
                <w:color w:val="333333"/>
                <w:sz w:val="18"/>
              </w:rPr>
              <w:t>15.8%</w:t>
            </w:r>
          </w:p>
        </w:tc>
      </w:tr>
      <w:tr>
        <w:tc>
          <w:tcPr>
            <w:tcW w:type="dxa" w:w="2520"/>
          </w:tcPr>
          <w:p>
            <w:r>
              <w:rPr>
                <w:rFonts w:ascii="Calibri" w:hAnsi="Calibri"/>
                <w:color w:val="333333"/>
                <w:sz w:val="18"/>
              </w:rPr>
              <w:t>Change in accounts receivable</w:t>
            </w:r>
          </w:p>
        </w:tc>
        <w:tc>
          <w:tcPr>
            <w:tcW w:type="dxa" w:w="2520"/>
          </w:tcPr>
          <w:p>
            <w:r>
              <w:rPr>
                <w:rFonts w:ascii="Calibri" w:hAnsi="Calibri"/>
                <w:color w:val="333333"/>
                <w:sz w:val="18"/>
              </w:rPr>
              <w:t>$3.8B</w:t>
            </w:r>
          </w:p>
        </w:tc>
        <w:tc>
          <w:tcPr>
            <w:tcW w:type="dxa" w:w="2520"/>
          </w:tcPr>
          <w:p>
            <w:r>
              <w:rPr>
                <w:rFonts w:ascii="Calibri" w:hAnsi="Calibri"/>
                <w:color w:val="333333"/>
                <w:sz w:val="18"/>
              </w:rPr>
              <w:t>$6.7B</w:t>
            </w:r>
          </w:p>
        </w:tc>
        <w:tc>
          <w:tcPr>
            <w:tcW w:type="dxa" w:w="2520"/>
            <w:shd w:fill="DCEEF8" w:val="clear"/>
          </w:tcPr>
          <w:p>
            <w:r>
              <w:rPr>
                <w:rFonts w:ascii="Calibri" w:hAnsi="Calibri"/>
                <w:color w:val="333333"/>
                <w:sz w:val="18"/>
              </w:rPr>
              <w:t>76.4%</w:t>
            </w:r>
          </w:p>
        </w:tc>
      </w:tr>
      <w:tr>
        <w:tc>
          <w:tcPr>
            <w:tcW w:type="dxa" w:w="2520"/>
            <w:shd w:fill="F2F4F8" w:val="clear"/>
          </w:tcPr>
          <w:p>
            <w:r>
              <w:rPr>
                <w:rFonts w:ascii="Calibri" w:hAnsi="Calibri"/>
                <w:color w:val="333333"/>
                <w:sz w:val="18"/>
              </w:rPr>
              <w:t>Change in inventory</w:t>
            </w:r>
          </w:p>
        </w:tc>
        <w:tc>
          <w:tcPr>
            <w:tcW w:type="dxa" w:w="2520"/>
            <w:shd w:fill="F2F4F8" w:val="clear"/>
          </w:tcPr>
          <w:p>
            <w:r>
              <w:rPr>
                <w:rFonts w:ascii="Calibri" w:hAnsi="Calibri"/>
                <w:color w:val="333333"/>
                <w:sz w:val="18"/>
              </w:rPr>
              <w:t>$1.0B</w:t>
            </w:r>
          </w:p>
        </w:tc>
        <w:tc>
          <w:tcPr>
            <w:tcW w:type="dxa" w:w="2520"/>
            <w:shd w:fill="F2F4F8" w:val="clear"/>
          </w:tcPr>
          <w:p>
            <w:r>
              <w:rPr>
                <w:rFonts w:ascii="Calibri" w:hAnsi="Calibri"/>
                <w:color w:val="333333"/>
                <w:sz w:val="18"/>
              </w:rPr>
              <w:t>$-1.4B</w:t>
            </w:r>
          </w:p>
        </w:tc>
        <w:tc>
          <w:tcPr>
            <w:tcW w:type="dxa" w:w="2520"/>
            <w:shd w:fill="F2F4F8" w:val="clear"/>
            <w:shd w:fill="FCE8E6" w:val="clear"/>
          </w:tcPr>
          <w:p>
            <w:r>
              <w:rPr>
                <w:rFonts w:ascii="Calibri" w:hAnsi="Calibri"/>
                <w:color w:val="333333"/>
                <w:sz w:val="18"/>
              </w:rPr>
              <w:t>-233.8%</w:t>
            </w:r>
          </w:p>
        </w:tc>
      </w:tr>
      <w:tr>
        <w:tc>
          <w:tcPr>
            <w:tcW w:type="dxa" w:w="2520"/>
          </w:tcPr>
          <w:p>
            <w:r>
              <w:rPr>
                <w:rFonts w:ascii="Calibri" w:hAnsi="Calibri"/>
                <w:color w:val="333333"/>
                <w:sz w:val="18"/>
              </w:rPr>
              <w:t>Change in accounts payable</w:t>
            </w:r>
          </w:p>
        </w:tc>
        <w:tc>
          <w:tcPr>
            <w:tcW w:type="dxa" w:w="2520"/>
          </w:tcPr>
          <w:p>
            <w:r>
              <w:rPr>
                <w:rFonts w:ascii="Calibri" w:hAnsi="Calibri"/>
                <w:color w:val="333333"/>
                <w:sz w:val="18"/>
              </w:rPr>
              <w:t>$6.0B</w:t>
            </w:r>
          </w:p>
        </w:tc>
        <w:tc>
          <w:tcPr>
            <w:tcW w:type="dxa" w:w="2520"/>
          </w:tcPr>
          <w:p>
            <w:r>
              <w:rPr>
                <w:rFonts w:ascii="Calibri" w:hAnsi="Calibri"/>
                <w:color w:val="333333"/>
                <w:sz w:val="18"/>
              </w:rPr>
              <w:t>$902.0M</w:t>
            </w:r>
          </w:p>
        </w:tc>
        <w:tc>
          <w:tcPr>
            <w:tcW w:type="dxa" w:w="2520"/>
            <w:shd w:fill="FCE8E6" w:val="clear"/>
          </w:tcPr>
          <w:p>
            <w:r>
              <w:rPr>
                <w:rFonts w:ascii="Calibri" w:hAnsi="Calibri"/>
                <w:color w:val="333333"/>
                <w:sz w:val="18"/>
              </w:rPr>
              <w:t>-85.0%</w:t>
            </w:r>
          </w:p>
        </w:tc>
      </w:tr>
      <w:tr>
        <w:tc>
          <w:tcPr>
            <w:tcW w:type="dxa" w:w="2520"/>
            <w:shd w:fill="F2F4F8" w:val="clear"/>
          </w:tcPr>
          <w:p>
            <w:r>
              <w:rPr>
                <w:rFonts w:ascii="Calibri" w:hAnsi="Calibri"/>
                <w:color w:val="333333"/>
                <w:sz w:val="18"/>
              </w:rPr>
              <w:t>Free cash flow</w:t>
            </w:r>
          </w:p>
        </w:tc>
        <w:tc>
          <w:tcPr>
            <w:tcW w:type="dxa" w:w="2520"/>
            <w:shd w:fill="F2F4F8" w:val="clear"/>
          </w:tcPr>
          <w:p>
            <w:r>
              <w:rPr>
                <w:rFonts w:ascii="Calibri" w:hAnsi="Calibri"/>
                <w:color w:val="333333"/>
                <w:sz w:val="18"/>
              </w:rPr>
              <w:t>$108.8B</w:t>
            </w:r>
          </w:p>
        </w:tc>
        <w:tc>
          <w:tcPr>
            <w:tcW w:type="dxa" w:w="2520"/>
            <w:shd w:fill="F2F4F8" w:val="clear"/>
          </w:tcPr>
          <w:p>
            <w:r>
              <w:rPr>
                <w:rFonts w:ascii="Calibri" w:hAnsi="Calibri"/>
                <w:color w:val="333333"/>
                <w:sz w:val="18"/>
              </w:rPr>
              <w:t>$98.8B</w:t>
            </w:r>
          </w:p>
        </w:tc>
        <w:tc>
          <w:tcPr>
            <w:tcW w:type="dxa" w:w="2520"/>
            <w:shd w:fill="F2F4F8" w:val="clear"/>
            <w:shd w:fill="FFF3CD" w:val="clear"/>
          </w:tcPr>
          <w:p>
            <w:r>
              <w:rPr>
                <w:rFonts w:ascii="Calibri" w:hAnsi="Calibri"/>
                <w:color w:val="333333"/>
                <w:sz w:val="18"/>
              </w:rPr>
              <w:t>-9.2%</w:t>
            </w:r>
          </w:p>
        </w:tc>
      </w:tr>
      <w:tr>
        <w:tc>
          <w:tcPr>
            <w:tcW w:type="dxa" w:w="2520"/>
          </w:tcPr>
          <w:p>
            <w:r>
              <w:rPr>
                <w:rFonts w:ascii="Calibri" w:hAnsi="Calibri"/>
                <w:color w:val="333333"/>
                <w:sz w:val="18"/>
              </w:rPr>
              <w:t>FCF-to-revenue ratio</w:t>
            </w:r>
          </w:p>
        </w:tc>
        <w:tc>
          <w:tcPr>
            <w:tcW w:type="dxa" w:w="2520"/>
          </w:tcPr>
          <w:p>
            <w:r>
              <w:rPr>
                <w:rFonts w:ascii="Calibri" w:hAnsi="Calibri"/>
                <w:color w:val="333333"/>
                <w:sz w:val="18"/>
              </w:rPr>
              <w:t>$28</w:t>
            </w:r>
          </w:p>
        </w:tc>
        <w:tc>
          <w:tcPr>
            <w:tcW w:type="dxa" w:w="2520"/>
          </w:tcPr>
          <w:p>
            <w:r>
              <w:rPr>
                <w:rFonts w:ascii="Calibri" w:hAnsi="Calibri"/>
                <w:color w:val="333333"/>
                <w:sz w:val="18"/>
              </w:rPr>
              <w:t>$24</w:t>
            </w:r>
          </w:p>
        </w:tc>
        <w:tc>
          <w:tcPr>
            <w:tcW w:type="dxa" w:w="2520"/>
            <w:shd w:fill="FCE8E6" w:val="clear"/>
          </w:tcPr>
          <w:p>
            <w:r>
              <w:rPr>
                <w:rFonts w:ascii="Calibri" w:hAnsi="Calibri"/>
                <w:color w:val="333333"/>
                <w:sz w:val="18"/>
              </w:rPr>
              <w:t>-14.7%</w:t>
            </w:r>
          </w:p>
        </w:tc>
      </w:tr>
      <w:tr>
        <w:tc>
          <w:tcPr>
            <w:tcW w:type="dxa" w:w="2520"/>
            <w:shd w:fill="F2F4F8" w:val="clear"/>
          </w:tcPr>
          <w:p>
            <w:r>
              <w:rPr>
                <w:rFonts w:ascii="Calibri" w:hAnsi="Calibri"/>
                <w:color w:val="333333"/>
                <w:sz w:val="18"/>
              </w:rPr>
              <w:t>Capex-to-revenue ratio</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$3</w:t>
            </w:r>
          </w:p>
        </w:tc>
        <w:tc>
          <w:tcPr>
            <w:tcW w:type="dxa" w:w="2520"/>
            <w:shd w:fill="F2F4F8" w:val="clear"/>
            <w:shd w:fill="DCEEF8" w:val="clear"/>
          </w:tcPr>
          <w:p>
            <w:r>
              <w:rPr>
                <w:rFonts w:ascii="Calibri" w:hAnsi="Calibri"/>
                <w:color w:val="333333"/>
                <w:sz w:val="18"/>
              </w:rPr>
              <w:t>26.4%</w:t>
            </w:r>
          </w:p>
        </w:tc>
      </w:tr>
      <w:tr>
        <w:tc>
          <w:tcPr>
            <w:tcW w:type="dxa" w:w="2520"/>
          </w:tcPr>
          <w:p>
            <w:r>
              <w:rPr>
                <w:rFonts w:ascii="Calibri" w:hAnsi="Calibri"/>
                <w:color w:val="333333"/>
                <w:sz w:val="18"/>
              </w:rPr>
              <w:t>Capex-to-depreciation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DCEEF8" w:val="clear"/>
          </w:tcPr>
          <w:p>
            <w:r>
              <w:rPr>
                <w:rFonts w:ascii="Calibri" w:hAnsi="Calibri"/>
                <w:color w:val="333333"/>
                <w:sz w:val="18"/>
              </w:rPr>
              <w:t>31.7%</w:t>
            </w:r>
          </w:p>
        </w:tc>
      </w:tr>
      <w:tr>
        <w:tc>
          <w:tcPr>
            <w:tcW w:type="dxa" w:w="2520"/>
            <w:shd w:fill="F2F4F8" w:val="clear"/>
          </w:tcPr>
          <w:p>
            <w:r>
              <w:rPr>
                <w:rFonts w:ascii="Calibri" w:hAnsi="Calibri"/>
                <w:color w:val="333333"/>
                <w:sz w:val="18"/>
              </w:rPr>
              <w:t>Dividend payout ratio</w:t>
            </w:r>
          </w:p>
        </w:tc>
        <w:tc>
          <w:tcPr>
            <w:tcW w:type="dxa" w:w="2520"/>
            <w:shd w:fill="F2F4F8" w:val="clear"/>
          </w:tcPr>
          <w:p>
            <w:r>
              <w:rPr>
                <w:rFonts w:ascii="Calibri" w:hAnsi="Calibri"/>
                <w:color w:val="333333"/>
                <w:sz w:val="18"/>
              </w:rPr>
              <w:t>$16</w:t>
            </w:r>
          </w:p>
        </w:tc>
        <w:tc>
          <w:tcPr>
            <w:tcW w:type="dxa" w:w="2520"/>
            <w:shd w:fill="F2F4F8" w:val="clear"/>
          </w:tcPr>
          <w:p>
            <w:r>
              <w:rPr>
                <w:rFonts w:ascii="Calibri" w:hAnsi="Calibri"/>
                <w:color w:val="333333"/>
                <w:sz w:val="18"/>
              </w:rPr>
              <w:t>$14</w:t>
            </w:r>
          </w:p>
        </w:tc>
        <w:tc>
          <w:tcPr>
            <w:tcW w:type="dxa" w:w="2520"/>
            <w:shd w:fill="F2F4F8" w:val="clear"/>
            <w:shd w:fill="FCE8E6" w:val="clear"/>
          </w:tcPr>
          <w:p>
            <w:r>
              <w:rPr>
                <w:rFonts w:ascii="Calibri" w:hAnsi="Calibri"/>
                <w:color w:val="333333"/>
                <w:sz w:val="18"/>
              </w:rPr>
              <w:t>-15.3%</w:t>
            </w:r>
          </w:p>
        </w:tc>
      </w:tr>
      <w:tr>
        <w:tc>
          <w:tcPr>
            <w:tcW w:type="dxa" w:w="2520"/>
          </w:tcPr>
          <w:p>
            <w:r>
              <w:rPr>
                <w:rFonts w:ascii="Calibri" w:hAnsi="Calibri"/>
                <w:color w:val="333333"/>
                <w:sz w:val="18"/>
              </w:rPr>
              <w:t>Free cash flow per share</w:t>
            </w:r>
          </w:p>
        </w:tc>
        <w:tc>
          <w:tcPr>
            <w:tcW w:type="dxa" w:w="2520"/>
          </w:tcPr>
          <w:p>
            <w:r>
              <w:rPr>
                <w:rFonts w:ascii="Calibri" w:hAnsi="Calibri"/>
                <w:color w:val="333333"/>
                <w:sz w:val="18"/>
              </w:rPr>
              <w:t>$7.20</w:t>
            </w:r>
          </w:p>
        </w:tc>
        <w:tc>
          <w:tcPr>
            <w:tcW w:type="dxa" w:w="2520"/>
          </w:tcPr>
          <w:p>
            <w:r>
              <w:rPr>
                <w:rFonts w:ascii="Calibri" w:hAnsi="Calibri"/>
                <w:color w:val="333333"/>
                <w:sz w:val="18"/>
              </w:rPr>
              <w:t>$6.69</w:t>
            </w:r>
          </w:p>
        </w:tc>
        <w:tc>
          <w:tcPr>
            <w:tcW w:type="dxa" w:w="2520"/>
            <w:shd w:fill="FFF3CD" w:val="clear"/>
          </w:tcPr>
          <w:p>
            <w:r>
              <w:rPr>
                <w:rFonts w:ascii="Calibri" w:hAnsi="Calibri"/>
                <w:color w:val="333333"/>
                <w:sz w:val="18"/>
              </w:rPr>
              <w:t>-7.1%</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0.89</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0.86</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1.23</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33.8x</w:t>
            </w:r>
          </w:p>
        </w:tc>
      </w:tr>
    </w:tbl>
    <w:p>
      <w:pPr>
        <w:pStyle w:val="DOHeading2"/>
      </w:pPr>
      <w:r>
        <w:t>Distress Indicators</w:t>
      </w:r>
    </w:p>
    <w:p>
      <w:pPr>
        <w:pStyle w:val="DOBody"/>
      </w:pPr>
      <w:r>
        <w:t>Financial Integrity: No concerns identified. All distress models in safe zone. Earnings quality metrics within normal ranges.</w:t>
      </w:r>
    </w:p>
    <w:p>
      <w:pPr>
        <w:pStyle w:val="DOBody"/>
      </w:pPr>
      <w:r>
        <w:t>Leverage: Ranks at the 84th percentile among 0 peers (peer median: 2.0x).</w:t>
      </w:r>
    </w:p>
    <w:p>
      <w:pPr>
        <w:pStyle w:val="DOHeading2"/>
      </w:pPr>
      <w:r>
        <w:t>Audit Risk Assessment</w:t>
      </w:r>
    </w:p>
    <w:p>
      <w:pPr>
        <w:pStyle w:val="DOBody"/>
      </w:pPr>
      <w:r>
        <w:t>Audit Risk: No concerns. Ernst &amp; Young, 17 year tenure, unqualified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1.23</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0.63</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33.83</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15.6%</w:t>
            </w:r>
          </w:p>
        </w:tc>
        <w:tc>
          <w:tcPr>
            <w:tcW w:type="dxa" w:w="3360"/>
          </w:tcPr>
          <w:p>
            <w:r>
              <w:rPr>
                <w:rFonts w:ascii="Calibri" w:hAnsi="Calibri"/>
                <w:color w:val="333333"/>
                <w:sz w:val="18"/>
              </w:rPr>
              <w:t>Normal range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$2.7T</w:t>
            </w:r>
          </w:p>
        </w:tc>
        <w:tc>
          <w:tcPr>
            <w:tcW w:type="dxa" w:w="2016"/>
          </w:tcPr>
          <w:p>
            <w:r>
              <w:rPr>
                <w:rFonts w:ascii="Calibri" w:hAnsi="Calibri"/>
                <w:color w:val="333333"/>
                <w:sz w:val="18"/>
              </w:rPr>
              <w:t>$305.5B</w:t>
            </w:r>
          </w:p>
        </w:tc>
        <w:tc>
          <w:tcPr>
            <w:tcW w:type="dxa" w:w="2016"/>
          </w:tcPr>
          <w:p>
            <w:r>
              <w:rPr>
                <w:rFonts w:ascii="Calibri" w:hAnsi="Calibri"/>
                <w:color w:val="333333"/>
                <w:sz w:val="18"/>
              </w:rPr>
              <w:t>34</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$402.8B</w:t>
            </w:r>
          </w:p>
        </w:tc>
        <w:tc>
          <w:tcPr>
            <w:tcW w:type="dxa" w:w="2016"/>
            <w:shd w:fill="F2F4F8" w:val="clear"/>
          </w:tcPr>
          <w:p>
            <w:r>
              <w:rPr>
                <w:rFonts w:ascii="Calibri" w:hAnsi="Calibri"/>
                <w:color w:val="333333"/>
                <w:sz w:val="18"/>
              </w:rPr>
              <w:t>38</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$716.9B</w:t>
            </w:r>
          </w:p>
        </w:tc>
        <w:tc>
          <w:tcPr>
            <w:tcW w:type="dxa" w:w="2016"/>
          </w:tcPr>
          <w:p>
            <w:r>
              <w:rPr>
                <w:rFonts w:ascii="Calibri" w:hAnsi="Calibri"/>
                <w:color w:val="333333"/>
                <w:sz w:val="18"/>
              </w:rPr>
              <w:t>16</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$201.0B</w:t>
            </w:r>
          </w:p>
        </w:tc>
        <w:tc>
          <w:tcPr>
            <w:tcW w:type="dxa" w:w="2016"/>
            <w:shd w:fill="F2F4F8" w:val="clear"/>
          </w:tcPr>
          <w:p>
            <w:r>
              <w:rPr>
                <w:rFonts w:ascii="Calibri" w:hAnsi="Calibri"/>
                <w:color w:val="333333"/>
                <w:sz w:val="18"/>
              </w:rPr>
              <w:t>8</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$215.9B</w:t>
            </w:r>
          </w:p>
        </w:tc>
        <w:tc>
          <w:tcPr>
            <w:tcW w:type="dxa" w:w="2016"/>
          </w:tcPr>
          <w:p>
            <w:r>
              <w:rPr>
                <w:rFonts w:ascii="Calibri" w:hAnsi="Calibri"/>
                <w:color w:val="333333"/>
                <w:sz w:val="18"/>
              </w:rPr>
              <w:t>40</w:t>
            </w:r>
          </w:p>
        </w:tc>
      </w:tr>
      <w:tr>
        <w:tc>
          <w:tcPr>
            <w:tcW w:type="dxa" w:w="2016"/>
            <w:shd w:fill="F2F4F8" w:val="clear"/>
          </w:tcPr>
          <w:p>
            <w:r>
              <w:rPr>
                <w:rFonts w:ascii="Calibri" w:hAnsi="Calibri"/>
                <w:color w:val="333333"/>
                <w:sz w:val="18"/>
              </w:rPr>
              <w:t>CRM</w:t>
            </w:r>
          </w:p>
        </w:tc>
        <w:tc>
          <w:tcPr>
            <w:tcW w:type="dxa" w:w="2016"/>
            <w:shd w:fill="F2F4F8" w:val="clear"/>
          </w:tcPr>
          <w:p>
            <w:r>
              <w:rPr>
                <w:rFonts w:ascii="Calibri" w:hAnsi="Calibri"/>
                <w:color w:val="333333"/>
                <w:sz w:val="18"/>
              </w:rPr>
              <w:t>Salesforce, Inc.</w:t>
            </w:r>
          </w:p>
        </w:tc>
        <w:tc>
          <w:tcPr>
            <w:tcW w:type="dxa" w:w="2016"/>
            <w:shd w:fill="F2F4F8" w:val="clear"/>
          </w:tcPr>
          <w:p>
            <w:r>
              <w:rPr>
                <w:rFonts w:ascii="Calibri" w:hAnsi="Calibri"/>
                <w:color w:val="333333"/>
                <w:sz w:val="18"/>
              </w:rPr>
              <w:t>$174.5B</w:t>
            </w:r>
          </w:p>
        </w:tc>
        <w:tc>
          <w:tcPr>
            <w:tcW w:type="dxa" w:w="2016"/>
            <w:shd w:fill="F2F4F8" w:val="clear"/>
          </w:tcPr>
          <w:p>
            <w:r>
              <w:rPr>
                <w:rFonts w:ascii="Calibri" w:hAnsi="Calibri"/>
                <w:color w:val="333333"/>
                <w:sz w:val="18"/>
              </w:rPr>
              <w:t>$41.5B</w:t>
            </w:r>
          </w:p>
        </w:tc>
        <w:tc>
          <w:tcPr>
            <w:tcW w:type="dxa" w:w="2016"/>
            <w:shd w:fill="F2F4F8" w:val="clear"/>
          </w:tcPr>
          <w:p>
            <w:r>
              <w:rPr>
                <w:rFonts w:ascii="Calibri" w:hAnsi="Calibri"/>
                <w:color w:val="333333"/>
                <w:sz w:val="18"/>
              </w:rPr>
              <w:t>12</w:t>
            </w:r>
          </w:p>
        </w:tc>
      </w:tr>
      <w:tr>
        <w:tc>
          <w:tcPr>
            <w:tcW w:type="dxa" w:w="2016"/>
          </w:tcPr>
          <w:p>
            <w:r>
              <w:rPr>
                <w:rFonts w:ascii="Calibri" w:hAnsi="Calibri"/>
                <w:color w:val="333333"/>
                <w:sz w:val="18"/>
              </w:rPr>
              <w:t>ADBE</w:t>
            </w:r>
          </w:p>
        </w:tc>
        <w:tc>
          <w:tcPr>
            <w:tcW w:type="dxa" w:w="2016"/>
          </w:tcPr>
          <w:p>
            <w:r>
              <w:rPr>
                <w:rFonts w:ascii="Calibri" w:hAnsi="Calibri"/>
                <w:color w:val="333333"/>
                <w:sz w:val="18"/>
              </w:rPr>
              <w:t>Adobe Inc.</w:t>
            </w:r>
          </w:p>
        </w:tc>
        <w:tc>
          <w:tcPr>
            <w:tcW w:type="dxa" w:w="2016"/>
          </w:tcPr>
          <w:p>
            <w:r>
              <w:rPr>
                <w:rFonts w:ascii="Calibri" w:hAnsi="Calibri"/>
                <w:color w:val="333333"/>
                <w:sz w:val="18"/>
              </w:rPr>
              <w:t>$98.4B</w:t>
            </w:r>
          </w:p>
        </w:tc>
        <w:tc>
          <w:tcPr>
            <w:tcW w:type="dxa" w:w="2016"/>
          </w:tcPr>
          <w:p>
            <w:r>
              <w:rPr>
                <w:rFonts w:ascii="Calibri" w:hAnsi="Calibri"/>
                <w:color w:val="333333"/>
                <w:sz w:val="18"/>
              </w:rPr>
              <w:t>$24.5B</w:t>
            </w:r>
          </w:p>
        </w:tc>
        <w:tc>
          <w:tcPr>
            <w:tcW w:type="dxa" w:w="2016"/>
          </w:tcPr>
          <w:p>
            <w:r>
              <w:rPr>
                <w:rFonts w:ascii="Calibri" w:hAnsi="Calibri"/>
                <w:color w:val="333333"/>
                <w:sz w:val="18"/>
              </w:rPr>
              <w:t>13</w:t>
            </w:r>
          </w:p>
        </w:tc>
      </w:tr>
      <w:tr>
        <w:tc>
          <w:tcPr>
            <w:tcW w:type="dxa" w:w="2016"/>
            <w:shd w:fill="F2F4F8" w:val="clear"/>
          </w:tcPr>
          <w:p>
            <w:r>
              <w:rPr>
                <w:rFonts w:ascii="Calibri" w:hAnsi="Calibri"/>
                <w:color w:val="333333"/>
                <w:sz w:val="18"/>
              </w:rPr>
              <w:t>ORCL</w:t>
            </w:r>
          </w:p>
        </w:tc>
        <w:tc>
          <w:tcPr>
            <w:tcW w:type="dxa" w:w="2016"/>
            <w:shd w:fill="F2F4F8" w:val="clear"/>
          </w:tcPr>
          <w:p>
            <w:r>
              <w:rPr>
                <w:rFonts w:ascii="Calibri" w:hAnsi="Calibri"/>
                <w:color w:val="333333"/>
                <w:sz w:val="18"/>
              </w:rPr>
              <w:t>Oracle Corporation</w:t>
            </w:r>
          </w:p>
        </w:tc>
        <w:tc>
          <w:tcPr>
            <w:tcW w:type="dxa" w:w="2016"/>
            <w:shd w:fill="F2F4F8" w:val="clear"/>
          </w:tcPr>
          <w:p>
            <w:r>
              <w:rPr>
                <w:rFonts w:ascii="Calibri" w:hAnsi="Calibri"/>
                <w:color w:val="333333"/>
                <w:sz w:val="18"/>
              </w:rPr>
              <w:t>$417.7B</w:t>
            </w:r>
          </w:p>
        </w:tc>
        <w:tc>
          <w:tcPr>
            <w:tcW w:type="dxa" w:w="2016"/>
            <w:shd w:fill="F2F4F8" w:val="clear"/>
          </w:tcPr>
          <w:p>
            <w:r>
              <w:rPr>
                <w:rFonts w:ascii="Calibri" w:hAnsi="Calibri"/>
                <w:color w:val="333333"/>
                <w:sz w:val="18"/>
              </w:rPr>
              <w:t>$64.1B</w:t>
            </w:r>
          </w:p>
        </w:tc>
        <w:tc>
          <w:tcPr>
            <w:tcW w:type="dxa" w:w="2016"/>
            <w:shd w:fill="F2F4F8" w:val="clear"/>
          </w:tcPr>
          <w:p>
            <w:r>
              <w:rPr>
                <w:rFonts w:ascii="Calibri" w:hAnsi="Calibri"/>
                <w:color w:val="333333"/>
                <w:sz w:val="18"/>
              </w:rPr>
              <w:t>14</w:t>
            </w:r>
          </w:p>
        </w:tc>
      </w:tr>
      <w:tr>
        <w:tc>
          <w:tcPr>
            <w:tcW w:type="dxa" w:w="2016"/>
          </w:tcPr>
          <w:p>
            <w:r>
              <w:rPr>
                <w:rFonts w:ascii="Calibri" w:hAnsi="Calibri"/>
                <w:color w:val="333333"/>
                <w:sz w:val="18"/>
              </w:rPr>
              <w:t>CSCO</w:t>
            </w:r>
          </w:p>
        </w:tc>
        <w:tc>
          <w:tcPr>
            <w:tcW w:type="dxa" w:w="2016"/>
          </w:tcPr>
          <w:p>
            <w:r>
              <w:rPr>
                <w:rFonts w:ascii="Calibri" w:hAnsi="Calibri"/>
                <w:color w:val="333333"/>
                <w:sz w:val="18"/>
              </w:rPr>
              <w:t>Cisco Systems, Inc.</w:t>
            </w:r>
          </w:p>
        </w:tc>
        <w:tc>
          <w:tcPr>
            <w:tcW w:type="dxa" w:w="2016"/>
          </w:tcPr>
          <w:p>
            <w:r>
              <w:rPr>
                <w:rFonts w:ascii="Calibri" w:hAnsi="Calibri"/>
                <w:color w:val="333333"/>
                <w:sz w:val="18"/>
              </w:rPr>
              <w:t>$307.9B</w:t>
            </w:r>
          </w:p>
        </w:tc>
        <w:tc>
          <w:tcPr>
            <w:tcW w:type="dxa" w:w="2016"/>
          </w:tcPr>
          <w:p>
            <w:r>
              <w:rPr>
                <w:rFonts w:ascii="Calibri" w:hAnsi="Calibri"/>
                <w:color w:val="333333"/>
                <w:sz w:val="18"/>
              </w:rPr>
              <w:t>$59.1B</w:t>
            </w:r>
          </w:p>
        </w:tc>
        <w:tc>
          <w:tcPr>
            <w:tcW w:type="dxa" w:w="2016"/>
          </w:tcPr>
          <w:p>
            <w:r>
              <w:rPr>
                <w:rFonts w:ascii="Calibri" w:hAnsi="Calibri"/>
                <w:color w:val="333333"/>
                <w:sz w:val="18"/>
              </w:rPr>
              <w:t>13</w:t>
            </w:r>
          </w:p>
        </w:tc>
      </w:tr>
      <w:tr>
        <w:tc>
          <w:tcPr>
            <w:tcW w:type="dxa" w:w="2016"/>
            <w:shd w:fill="F2F4F8" w:val="clear"/>
          </w:tcPr>
          <w:p>
            <w:r>
              <w:rPr>
                <w:rFonts w:ascii="Calibri" w:hAnsi="Calibri"/>
                <w:color w:val="333333"/>
                <w:sz w:val="18"/>
              </w:rPr>
              <w:t>INTC</w:t>
            </w:r>
          </w:p>
        </w:tc>
        <w:tc>
          <w:tcPr>
            <w:tcW w:type="dxa" w:w="2016"/>
            <w:shd w:fill="F2F4F8" w:val="clear"/>
          </w:tcPr>
          <w:p>
            <w:r>
              <w:rPr>
                <w:rFonts w:ascii="Calibri" w:hAnsi="Calibri"/>
                <w:color w:val="333333"/>
                <w:sz w:val="18"/>
              </w:rPr>
              <w:t>Intel Corporation</w:t>
            </w:r>
          </w:p>
        </w:tc>
        <w:tc>
          <w:tcPr>
            <w:tcW w:type="dxa" w:w="2016"/>
            <w:shd w:fill="F2F4F8" w:val="clear"/>
          </w:tcPr>
          <w:p>
            <w:r>
              <w:rPr>
                <w:rFonts w:ascii="Calibri" w:hAnsi="Calibri"/>
                <w:color w:val="333333"/>
                <w:sz w:val="18"/>
              </w:rPr>
              <w:t>$241.2B</w:t>
            </w:r>
          </w:p>
        </w:tc>
        <w:tc>
          <w:tcPr>
            <w:tcW w:type="dxa" w:w="2016"/>
            <w:shd w:fill="F2F4F8" w:val="clear"/>
          </w:tcPr>
          <w:p>
            <w:r>
              <w:rPr>
                <w:rFonts w:ascii="Calibri" w:hAnsi="Calibri"/>
                <w:color w:val="333333"/>
                <w:sz w:val="18"/>
              </w:rPr>
              <w:t>$52.9B</w:t>
            </w:r>
          </w:p>
        </w:tc>
        <w:tc>
          <w:tcPr>
            <w:tcW w:type="dxa" w:w="2016"/>
            <w:shd w:fill="F2F4F8" w:val="clear"/>
          </w:tcPr>
          <w:p>
            <w:r>
              <w:rPr>
                <w:rFonts w:ascii="Calibri" w:hAnsi="Calibri"/>
                <w:color w:val="333333"/>
                <w:sz w:val="18"/>
              </w:rPr>
              <w:t>13</w:t>
            </w:r>
          </w:p>
        </w:tc>
      </w:tr>
    </w:tbl>
    <w:p>
      <w:pPr>
        <w:pStyle w:val="DOBody"/>
      </w:pPr>
      <w:r>
        <w:t>Revenue: Ranks at the 80th percentile among 10 peers. Leverage: Ranks at the 84th percentile among 0 peers (peer median: 2.0x).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Apple’s governance narrative is dominated by a single, long-tenured director with a 26-year average tenure, creating a documented lack of board diversity with only 1 director and an oversight challenge. CEO Tim Cook’s dual role as Chair concentrates authority, a structure that amplifies exposure under *Caremark* for any strategic missteps given the board’s minimal documented oversight capacity. The board’s $74.3 million CEO pay package, despite a 92% say-on-pay vote, presents a persistent target for shareholder derivative suits alleging waste, a risk heightened by the $1.3 million in deducted governance scoring points. The primary risk is a duty of candor breach in proxy disclosures, where the minimal board detail fails to substantiate rigorous oversight of Cook’s operational decisions against 6 triggered governance checks.</w:t>
      </w:r>
    </w:p>
    <w:p>
      <w:pPr>
        <w:pStyle w:val="DOHeading1"/>
      </w:pPr>
      <w:r>
        <w:t>Section 5: Governance &amp; Leadership</w:t>
      </w:r>
    </w:p>
    <w:p>
      <w:pPr>
        <w:pStyle w:val="DOBody"/>
      </w:pPr>
      <w:r>
        <w:rPr>
          <w:rFonts w:ascii="Calibri" w:hAnsi="Calibri"/>
          <w:color w:val="333333"/>
          <w:sz w:val="20"/>
        </w:rPr>
        <w:t>Board governance scores well (70/100) across 1 directors. Compensation concerns include: elevated CEO pay ratio (533:1).</w:t>
      </w:r>
      <w:r>
        <w:rPr>
          <w:rFonts w:ascii="Consolas" w:hAnsi="Consolas"/>
          <w:color w:val="666666"/>
          <w:sz w:val="16"/>
        </w:rPr>
        <w:t xml:space="preserve">  [Rule-based synthesis of governance extraction results, 2026-04-02, LOW]</w:t>
      </w:r>
    </w:p>
    <w:p>
      <w:pPr>
        <w:pStyle w:val="DOBody"/>
      </w:pPr>
      <w:r>
        <w:rPr>
          <w:rFonts w:ascii="Calibri" w:hAnsi="Calibri"/>
          <w:color w:val="333333"/>
          <w:sz w:val="20"/>
        </w:rPr>
        <w:t>Governance Quality Score: 70.1/10</w:t>
      </w:r>
      <w:r>
        <w:rPr>
          <w:rFonts w:ascii="Consolas" w:hAnsi="Consolas"/>
          <w:color w:val="666666"/>
          <w:sz w:val="16"/>
        </w:rPr>
        <w:t xml:space="preserve">  [Computed from governance dimensions, 2026-04-02,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Mr. Timothy D. Cook</w:t>
            </w:r>
          </w:p>
        </w:tc>
        <w:tc>
          <w:tcPr>
            <w:tcW w:type="dxa" w:w="1680"/>
          </w:tcPr>
          <w:p>
            <w:r>
              <w:rPr>
                <w:rFonts w:ascii="Calibri" w:hAnsi="Calibri"/>
                <w:color w:val="333333"/>
                <w:sz w:val="18"/>
              </w:rPr>
              <w:t>CEO &amp; Director</w:t>
            </w:r>
          </w:p>
        </w:tc>
        <w:tc>
          <w:tcPr>
            <w:tcW w:type="dxa" w:w="1680"/>
          </w:tcPr>
          <w:p>
            <w:r>
              <w:rPr>
                <w:rFonts w:ascii="Calibri" w:hAnsi="Calibri"/>
                <w:color w:val="333333"/>
                <w:sz w:val="18"/>
              </w:rPr>
              <w:t>N/A</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Mr. Kevan  Parekh</w:t>
            </w:r>
          </w:p>
        </w:tc>
        <w:tc>
          <w:tcPr>
            <w:tcW w:type="dxa" w:w="1680"/>
            <w:shd w:fill="F2F4F8" w:val="clear"/>
          </w:tcPr>
          <w:p>
            <w:r>
              <w:rPr>
                <w:rFonts w:ascii="Calibri" w:hAnsi="Calibri"/>
                <w:color w:val="333333"/>
                <w:sz w:val="18"/>
              </w:rPr>
              <w:t>Senior VP &amp; CFO</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Mr. Sabih  Khan</w:t>
            </w:r>
          </w:p>
        </w:tc>
        <w:tc>
          <w:tcPr>
            <w:tcW w:type="dxa" w:w="1680"/>
          </w:tcPr>
          <w:p>
            <w:r>
              <w:rPr>
                <w:rFonts w:ascii="Calibri" w:hAnsi="Calibri"/>
                <w:color w:val="333333"/>
                <w:sz w:val="18"/>
              </w:rPr>
              <w:t>Senior VP &amp; Chief Operating Officer</w:t>
            </w:r>
          </w:p>
        </w:tc>
        <w:tc>
          <w:tcPr>
            <w:tcW w:type="dxa" w:w="1680"/>
          </w:tcPr>
          <w:p>
            <w:r>
              <w:rPr>
                <w:rFonts w:ascii="Calibri" w:hAnsi="Calibri"/>
                <w:color w:val="333333"/>
                <w:sz w:val="18"/>
              </w:rPr>
              <w:t>N/A</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Ms. Katherine L. Adams</w:t>
            </w:r>
          </w:p>
        </w:tc>
        <w:tc>
          <w:tcPr>
            <w:tcW w:type="dxa" w:w="1680"/>
            <w:shd w:fill="F2F4F8" w:val="clear"/>
          </w:tcPr>
          <w:p>
            <w:r>
              <w:rPr>
                <w:rFonts w:ascii="Calibri" w:hAnsi="Calibri"/>
                <w:color w:val="333333"/>
                <w:sz w:val="18"/>
              </w:rPr>
              <w:t>Senior VP of Government Affairs &amp; Secretary</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Ms. Jennifer G. Newstead J.D.</w:t>
            </w:r>
          </w:p>
        </w:tc>
        <w:tc>
          <w:tcPr>
            <w:tcW w:type="dxa" w:w="1680"/>
          </w:tcPr>
          <w:p>
            <w:r>
              <w:rPr>
                <w:rFonts w:ascii="Calibri" w:hAnsi="Calibri"/>
                <w:color w:val="333333"/>
                <w:sz w:val="18"/>
              </w:rPr>
              <w:t>Senior VP &amp; General Counsel</w:t>
            </w:r>
          </w:p>
        </w:tc>
        <w:tc>
          <w:tcPr>
            <w:tcW w:type="dxa" w:w="1680"/>
          </w:tcPr>
          <w:p>
            <w:r>
              <w:rPr>
                <w:rFonts w:ascii="Calibri" w:hAnsi="Calibri"/>
                <w:color w:val="333333"/>
                <w:sz w:val="18"/>
              </w:rPr>
              <w:t>N/A</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bl>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2026-04-02,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Apple</w:t>
            </w:r>
          </w:p>
        </w:tc>
        <w:tc>
          <w:tcPr>
            <w:tcW w:type="dxa" w:w="1680"/>
          </w:tcPr>
          <w:p>
            <w:r>
              <w:rPr>
                <w:rFonts w:ascii="Calibri" w:hAnsi="Calibri"/>
                <w:color w:val="333333"/>
                <w:sz w:val="18"/>
              </w:rPr>
              <w:t>26.0 yrs</w:t>
            </w:r>
          </w:p>
        </w:tc>
        <w:tc>
          <w:tcPr>
            <w:tcW w:type="dxa" w:w="1680"/>
          </w:tcPr>
          <w:p>
            <w:r>
              <w:rPr>
                <w:rFonts w:ascii="Calibri" w:hAnsi="Calibri"/>
                <w:color w:val="333333"/>
                <w:sz w:val="18"/>
              </w:rPr>
              <w:t>Yes</w:t>
            </w:r>
          </w:p>
        </w:tc>
        <w:tc>
          <w:tcPr>
            <w:tcW w:type="dxa" w:w="1680"/>
          </w:tcPr>
          <w:p>
            <w:r>
              <w:rPr>
                <w:rFonts w:ascii="Calibri" w:hAnsi="Calibri"/>
                <w:color w:val="333333"/>
                <w:sz w:val="18"/>
              </w:rPr>
              <w:t>Audit, Compensation, Nominating/Governance</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Body"/>
        <w:shd w:fill="FFF3CD" w:val="clear"/>
      </w:pPr>
      <w:r>
        <w:rPr>
          <w:b/>
          <w:color w:val="EAB308"/>
          <w:sz w:val="18"/>
        </w:rPr>
        <w:t xml:space="preserve">[ELEVATED] </w:t>
      </w:r>
      <w:r>
        <w:rPr>
          <w:b/>
          <w:sz w:val="20"/>
        </w:rPr>
        <w:t>CEO/Chair Duality</w:t>
      </w:r>
      <w:r>
        <w:rPr>
          <w:color w:val="666666"/>
          <w:sz w:val="16"/>
        </w:rPr>
        <w:t xml:space="preserve"> -- Single individual holds both CEO and Board Chair roles</w:t>
      </w:r>
    </w:p>
    <w:p>
      <w:pPr>
        <w:pStyle w:val="DOCaption"/>
        <w:ind w:left="360"/>
      </w:pPr>
      <w:r>
        <w:rPr>
          <w:i/>
          <w:color w:val="666666"/>
          <w:sz w:val="18"/>
        </w:rPr>
        <w:t>Context: Companies with CEO/Chair duality face 1.8x higher derivative suit filing rates due to governance concentration.</w:t>
      </w:r>
    </w:p>
    <w:p>
      <w:pPr>
        <w:pStyle w:val="DOBody"/>
      </w:pPr>
      <w:r>
        <w:rPr>
          <w:i/>
          <w:color w:val="FFD000"/>
          <w:sz w:val="18"/>
        </w:rPr>
        <w:t>See Meeting Prep: Governance Structure</w:t>
      </w:r>
    </w:p>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Body"/>
      </w:pPr>
      <w:r>
        <w:rPr>
          <w:i/>
          <w:sz w:val="16"/>
        </w:rPr>
        <w:t>D&amp;O Context: CEO/Chair duality reduces board independence in oversight of management, increasing derivative suit risk.</w:t>
      </w:r>
      <w:r>
        <w:rPr>
          <w:b/>
          <w:color w:val="EAB308"/>
          <w:sz w:val="18"/>
        </w:rPr>
        <w:t xml:space="preserve"> [ELEVATED]</w:t>
      </w:r>
    </w:p>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$74.3M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533:1</w:t>
            </w:r>
          </w:p>
        </w:tc>
      </w:tr>
    </w:tbl>
    <w:p>
      <w:pPr>
        <w:pStyle w:val="DOBody"/>
      </w:pPr>
      <w:r>
        <w:t>CEO Pay Ratio (533:1): Extremely high pay ratios increase Section 14A proxy disclosure litigation risk and shareholder proposal activity. Ratios above 500:1 are material governance concerns for D&amp;O underwriting.</w:t>
      </w:r>
      <w:r>
        <w:rPr>
          <w:b/>
          <w:color w:val="EA580C"/>
          <w:sz w:val="18"/>
        </w:rPr>
        <w:t xml:space="preserve"> [HIGH]</w:t>
      </w:r>
    </w:p>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No tax gross-ups on perquisites We do not provide tax gross-ups for the limited perquisites provided to our named executive officers, Cook recognizes imputed taxable income and is not provided a tax reimbursement for personal use of private aircraft, " Other Personal Benefits We provide risk-based security services for our employees, including our named executive officers, as determined to be necessary by our security team: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65.2%</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1.6%</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33.2%</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Geode Capital Management, LLC</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FMR, LLC</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Apple faces one active securities class action (SCA) with a specific class period from June 10, 2024, to June 9, 2025, led by the elite plaintiff firm Bernstein Litowitz Berger &amp; Grossmann LLP. The company's adjusted SCA filing rate of 3.31% is below the 5.0% sector average, but its historical settlement pattern, averaging $92 million per resolution, presents a high-severity benchmark critical for loss modeling. Six open shareholder lawsuits, coupled with a "MODERATE" defense strength rating, indicate significant defense cost exposure ahead, directly impacting Side C retention layers. The absence of an SEC investigation is a positive for entity coverage, but the litigation themes of revenue recognition and supply chain disclosure are persistent, data-supported industry vulnerabilities for Apple. The lead counsel's tier suggests a high probability of a multimillion-dollar settlement, aligning with past resolutions, which elevates anticipated claim severity. Underwriting must weigh the low 3.31% filing frequency against the high severity history and the plaintiff bar's focus on Apple's complex global operations, a key driver of disclosure-related litigation risk.</w:t>
      </w:r>
    </w:p>
    <w:p>
      <w:pPr>
        <w:pStyle w:val="DOHeading1"/>
      </w:pPr>
      <w:r>
        <w:t>Section 6: Litigation &amp; Regulatory Exposure</w:t>
      </w:r>
    </w:p>
    <w:p>
      <w:pPr>
        <w:pStyle w:val="DOBody"/>
      </w:pPr>
      <w:r>
        <w:rPr>
          <w:rFonts w:ascii="Calibri" w:hAnsi="Calibri"/>
          <w:color w:val="333333"/>
          <w:sz w:val="20"/>
        </w:rPr>
        <w:t>The company faces 1 active securities class action(s). The primary case, {}, covers a class period from 2024-06-10 to 2025-06-09. Lead counsel: Bernstein Litowitz Berger &amp; Grossmann LLP. Industry claim exposure: revenue_recognition, supply_chain_disclosure, ip_misrepresentation.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3 historical matter(s)</w:t>
      </w:r>
    </w:p>
    <w:p>
      <w:pPr>
        <w:pStyle w:val="DOHeading3"/>
      </w:pPr>
      <w:r>
        <w:t>Litigation Timeline</w:t>
      </w:r>
    </w:p>
    <w:p>
      <w:r>
        <w:drawing>
          <wp:inline xmlns:a="http://schemas.openxmlformats.org/drawingml/2006/main" xmlns:pic="http://schemas.openxmlformats.org/drawingml/2006/picture">
            <wp:extent cx="5943600" cy="2932276"/>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932276"/>
                    </a:xfrm>
                    <a:prstGeom prst="rect"/>
                  </pic:spPr>
                </pic:pic>
              </a:graphicData>
            </a:graphic>
          </wp:inline>
        </w:drawing>
      </w:r>
    </w:p>
    <w:p>
      <w:pPr>
        <w:pStyle w:val="DOCaption"/>
      </w:pPr>
      <w:r>
        <w:t>Figure: Chronological litigation and regulatory events overlaid with corporate events for pattern recognition</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Apple Inc. Securities (2025)</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N.D. Cal.</w:t>
            </w:r>
          </w:p>
        </w:tc>
        <w:tc>
          <w:tcPr>
            <w:tcW w:type="dxa" w:w="1008"/>
          </w:tcPr>
          <w:p>
            <w:r>
              <w:rPr>
                <w:rFonts w:ascii="Calibri" w:hAnsi="Calibri"/>
                <w:color w:val="333333"/>
                <w:sz w:val="18"/>
              </w:rPr>
              <w:t>2025-06-20</w:t>
            </w:r>
          </w:p>
        </w:tc>
        <w:tc>
          <w:tcPr>
            <w:tcW w:type="dxa" w:w="1008"/>
          </w:tcPr>
          <w:p>
            <w:r>
              <w:rPr>
                <w:rFonts w:ascii="Calibri" w:hAnsi="Calibri"/>
                <w:color w:val="333333"/>
                <w:sz w:val="18"/>
              </w:rPr>
              <w:t>UNKNOWN</w:t>
            </w:r>
          </w:p>
        </w:tc>
        <w:tc>
          <w:tcPr>
            <w:tcW w:type="dxa" w:w="1008"/>
          </w:tcPr>
          <w:p>
            <w:r>
              <w:rPr>
                <w:rFonts w:ascii="Calibri" w:hAnsi="Calibri"/>
                <w:color w:val="333333"/>
                <w:sz w:val="18"/>
              </w:rPr>
              <w:t>N/A</w:t>
            </w:r>
          </w:p>
        </w:tc>
        <w:tc>
          <w:tcPr>
            <w:tcW w:type="dxa" w:w="1008"/>
          </w:tcPr>
          <w:p>
            <w:r>
              <w:rPr>
                <w:rFonts w:ascii="Calibri" w:hAnsi="Calibri"/>
                <w:color w:val="333333"/>
                <w:sz w:val="18"/>
              </w:rPr>
              <w:t>Bernstein Litowitz Berger &amp; Grossmann LLP</w:t>
            </w:r>
          </w:p>
        </w:tc>
        <w:tc>
          <w:tcPr>
            <w:tcW w:type="dxa" w:w="1008"/>
          </w:tcPr>
          <w:p>
            <w:r>
              <w:rPr>
                <w:rFonts w:ascii="Calibri" w:hAnsi="Calibri"/>
                <w:color w:val="333333"/>
                <w:sz w:val="18"/>
              </w:rPr>
              <w:t>N/A</w:t>
            </w:r>
          </w:p>
        </w:tc>
        <w:tc>
          <w:tcPr>
            <w:tcW w:type="dxa" w:w="1008"/>
          </w:tcPr>
          <w:p>
            <w:r>
              <w:rPr>
                <w:rFonts w:ascii="Calibri" w:hAnsi="Calibri"/>
                <w:color w:val="333333"/>
                <w:sz w:val="18"/>
              </w:rPr>
              <w:t>[web search, 2026-04-02, LOW]</w:t>
            </w:r>
          </w:p>
        </w:tc>
      </w:tr>
      <w:tr>
        <w:tc>
          <w:tcPr>
            <w:tcW w:type="dxa" w:w="1008"/>
            <w:shd w:fill="F2F4F8" w:val="clear"/>
          </w:tcPr>
          <w:p>
            <w:r>
              <w:rPr>
                <w:rFonts w:ascii="Calibri" w:hAnsi="Calibri"/>
                <w:color w:val="333333"/>
                <w:sz w:val="18"/>
              </w:rPr>
              <w:t>In re Apple Inc. Securities Litigation (2019)</w:t>
            </w:r>
          </w:p>
        </w:tc>
        <w:tc>
          <w:tcPr>
            <w:tcW w:type="dxa" w:w="1008"/>
            <w:shd w:fill="F2F4F8" w:val="clear"/>
          </w:tcPr>
          <w:p>
            <w:r>
              <w:rPr>
                <w:rFonts w:ascii="Calibri" w:hAnsi="Calibri"/>
                <w:color w:val="333333"/>
                <w:sz w:val="18"/>
              </w:rPr>
              <w:t>Rule 10b-5, Section 11</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2019-04-16</w:t>
            </w:r>
          </w:p>
        </w:tc>
        <w:tc>
          <w:tcPr>
            <w:tcW w:type="dxa" w:w="1008"/>
            <w:shd w:fill="F2F4F8" w:val="clear"/>
          </w:tcPr>
          <w:p>
            <w:r>
              <w:rPr>
                <w:rFonts w:ascii="Calibri" w:hAnsi="Calibri"/>
                <w:color w:val="333333"/>
                <w:sz w:val="18"/>
              </w:rPr>
              <w:t>SETTLED</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$490.0M</w:t>
            </w:r>
          </w:p>
        </w:tc>
        <w:tc>
          <w:tcPr>
            <w:tcW w:type="dxa" w:w="1008"/>
            <w:shd w:fill="F2F4F8" w:val="clear"/>
          </w:tcPr>
          <w:p>
            <w:r>
              <w:rPr>
                <w:rFonts w:ascii="Calibri" w:hAnsi="Calibri"/>
                <w:color w:val="333333"/>
                <w:sz w:val="18"/>
              </w:rPr>
              <w:t>[Supabase SCA database, 2026-04-02, MEDIUM]</w:t>
            </w:r>
          </w:p>
        </w:tc>
      </w:tr>
      <w:tr>
        <w:tc>
          <w:tcPr>
            <w:tcW w:type="dxa" w:w="1008"/>
          </w:tcPr>
          <w:p>
            <w:r>
              <w:rPr>
                <w:rFonts w:ascii="Calibri" w:hAnsi="Calibri"/>
                <w:color w:val="333333"/>
                <w:sz w:val="18"/>
              </w:rPr>
              <w:t>In re Apple Computer, Inc. Securities Litigation (2006)</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N/A</w:t>
            </w:r>
          </w:p>
        </w:tc>
        <w:tc>
          <w:tcPr>
            <w:tcW w:type="dxa" w:w="1008"/>
          </w:tcPr>
          <w:p>
            <w:r>
              <w:rPr>
                <w:rFonts w:ascii="Calibri" w:hAnsi="Calibri"/>
                <w:color w:val="333333"/>
                <w:sz w:val="18"/>
              </w:rPr>
              <w:t>2006-08-24</w:t>
            </w:r>
          </w:p>
        </w:tc>
        <w:tc>
          <w:tcPr>
            <w:tcW w:type="dxa" w:w="1008"/>
          </w:tcPr>
          <w:p>
            <w:r>
              <w:rPr>
                <w:rFonts w:ascii="Calibri" w:hAnsi="Calibri"/>
                <w:color w:val="333333"/>
                <w:sz w:val="18"/>
              </w:rPr>
              <w:t>SETTLED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$6.7M</w:t>
            </w:r>
          </w:p>
        </w:tc>
        <w:tc>
          <w:tcPr>
            <w:tcW w:type="dxa" w:w="1008"/>
          </w:tcPr>
          <w:p>
            <w:r>
              <w:rPr>
                <w:rFonts w:ascii="Calibri" w:hAnsi="Calibri"/>
                <w:color w:val="333333"/>
                <w:sz w:val="18"/>
              </w:rPr>
              <w:t>[Supabase SCA database, 2026-04-02, MEDIUM]</w:t>
            </w:r>
          </w:p>
        </w:tc>
      </w:tr>
      <w:tr>
        <w:tc>
          <w:tcPr>
            <w:tcW w:type="dxa" w:w="1008"/>
            <w:shd w:fill="F2F4F8" w:val="clear"/>
          </w:tcPr>
          <w:p>
            <w:r>
              <w:rPr>
                <w:rFonts w:ascii="Calibri" w:hAnsi="Calibri"/>
                <w:color w:val="333333"/>
                <w:sz w:val="18"/>
              </w:rPr>
              <w:t>In re Apple Computer, Inc. Securities Litigation (2001)</w:t>
            </w:r>
          </w:p>
        </w:tc>
        <w:tc>
          <w:tcPr>
            <w:tcW w:type="dxa" w:w="1008"/>
            <w:shd w:fill="F2F4F8" w:val="clear"/>
          </w:tcPr>
          <w:p>
            <w:r>
              <w:rPr>
                <w:rFonts w:ascii="Calibri" w:hAnsi="Calibri"/>
                <w:color w:val="333333"/>
                <w:sz w:val="18"/>
              </w:rPr>
              <w:t>Rule 10b-5</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2001-09-27</w:t>
            </w:r>
          </w:p>
        </w:tc>
        <w:tc>
          <w:tcPr>
            <w:tcW w:type="dxa" w:w="1008"/>
            <w:shd w:fill="F2F4F8" w:val="clear"/>
          </w:tcPr>
          <w:p>
            <w:r>
              <w:rPr>
                <w:rFonts w:ascii="Calibri" w:hAnsi="Calibri"/>
                <w:color w:val="333333"/>
                <w:sz w:val="18"/>
              </w:rPr>
              <w:t>DISMISSED</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[Supabase SCA database, 2026-04-02, MEDIUM]</w:t>
            </w:r>
          </w:p>
        </w:tc>
      </w:tr>
    </w:tbl>
    <w:p>
      <w:pPr>
        <w:pStyle w:val="DOBody"/>
      </w:pPr>
      <w:r>
        <w:rPr>
          <w:i/>
          <w:sz w:val="16"/>
        </w:rPr>
        <w:t>D&amp;O Context: Historical settlements total $496.7M. Settlement history establishes severity baseline for pricing.</w:t>
      </w:r>
      <w:r>
        <w:rPr>
          <w:b/>
          <w:color w:val="EAB308"/>
          <w:sz w:val="18"/>
        </w:rPr>
        <w:t xml:space="preserve"> [ELEVATED]</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2026-04-02, LOW]</w:t>
      </w:r>
    </w:p>
    <w:p>
      <w:pPr>
        <w:pStyle w:val="DOHeading3"/>
      </w:pPr>
      <w:r>
        <w:t>Derivative Suits</w:t>
      </w:r>
    </w:p>
    <w:p>
      <w:pPr>
        <w:pStyle w:val="DOBody"/>
      </w:pPr>
      <w:r>
        <w:t>No derivative suit history found.</w:t>
      </w:r>
    </w:p>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DOJ</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FTC</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r>
        <w:tc>
          <w:tcPr>
            <w:tcW w:type="dxa" w:w="3360"/>
          </w:tcPr>
          <w:p>
            <w:r>
              <w:rPr>
                <w:rFonts w:ascii="Calibri" w:hAnsi="Calibri"/>
                <w:color w:val="333333"/>
                <w:sz w:val="18"/>
              </w:rPr>
              <w:t>DOJ_FCPA</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bl>
    <w:p>
      <w:pPr>
        <w:pStyle w:val="DOHeading3"/>
      </w:pPr>
      <w:r>
        <w:t>Industry Claim Patterns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Legal Theory</w:t>
            </w:r>
          </w:p>
        </w:tc>
        <w:tc>
          <w:tcPr>
            <w:tcW w:type="dxa" w:w="2520"/>
            <w:shd w:fill="1A1446" w:val="clear"/>
          </w:tcPr>
          <w:p>
            <w:r>
              <w:rPr>
                <w:rFonts w:ascii="Calibri" w:hAnsi="Calibri"/>
                <w:b/>
                <w:color w:val="FFFFFF"/>
                <w:sz w:val="18"/>
              </w:rPr>
              <w:t>Exposed</w:t>
            </w:r>
          </w:p>
        </w:tc>
        <w:tc>
          <w:tcPr>
            <w:tcW w:type="dxa" w:w="2520"/>
            <w:shd w:fill="1A1446" w:val="clear"/>
          </w:tcPr>
          <w:p>
            <w:r>
              <w:rPr>
                <w:rFonts w:ascii="Calibri" w:hAnsi="Calibri"/>
                <w:b/>
                <w:color w:val="FFFFFF"/>
                <w:sz w:val="18"/>
              </w:rPr>
              <w:t>Contagion Risk</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Revenue Recognition</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[Technology Hardware] Premature or fraudulent revenue recogn</w:t>
            </w:r>
          </w:p>
        </w:tc>
      </w:tr>
      <w:tr>
        <w:tc>
          <w:tcPr>
            <w:tcW w:type="dxa" w:w="2520"/>
            <w:shd w:fill="F2F4F8" w:val="clear"/>
          </w:tcPr>
          <w:p>
            <w:r>
              <w:rPr>
                <w:rFonts w:ascii="Calibri" w:hAnsi="Calibri"/>
                <w:color w:val="333333"/>
                <w:sz w:val="18"/>
              </w:rPr>
              <w:t>Supply Chain Disclosure</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[Technology Hardware] Failure to disclose supply chain disru</w:t>
            </w:r>
          </w:p>
        </w:tc>
      </w:tr>
      <w:tr>
        <w:tc>
          <w:tcPr>
            <w:tcW w:type="dxa" w:w="2520"/>
          </w:tcPr>
          <w:p>
            <w:r>
              <w:rPr>
                <w:rFonts w:ascii="Calibri" w:hAnsi="Calibri"/>
                <w:color w:val="333333"/>
                <w:sz w:val="18"/>
              </w:rPr>
              <w:t>Ip Misrepresentation</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[Technology Hardware] Overstating IP portfolio value or prot</w:t>
            </w:r>
          </w:p>
        </w:tc>
      </w:tr>
    </w:tbl>
    <w:p>
      <w:pPr>
        <w:pStyle w:val="DOBody"/>
      </w:pPr>
      <w:r>
        <w:rPr>
          <w:i/>
          <w:sz w:val="16"/>
        </w:rPr>
        <w:t>D&amp;O Context: Company exposed to 3 industry claim pattern(s). Peer lawsuits create contagion risk -- plaintiff firms often file similar claims across the industry.</w:t>
      </w:r>
      <w:r>
        <w:rPr>
          <w:b/>
          <w:color w:val="EAB308"/>
          <w:sz w:val="18"/>
        </w:rPr>
        <w:t xml:space="preserve"> [ELEVATED]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2025-10-31</w:t>
            </w:r>
          </w:p>
        </w:tc>
        <w:tc>
          <w:tcPr>
            <w:tcW w:type="dxa" w:w="2016"/>
          </w:tcPr>
          <w:p>
            <w:r>
              <w:rPr>
                <w:rFonts w:ascii="Calibri" w:hAnsi="Calibri"/>
                <w:color w:val="333333"/>
                <w:sz w:val="18"/>
              </w:rPr>
              <w:t>2027-10-31</w:t>
            </w:r>
          </w:p>
        </w:tc>
        <w:tc>
          <w:tcPr>
            <w:tcW w:type="dxa" w:w="2016"/>
          </w:tcPr>
          <w:p>
            <w:r>
              <w:rPr>
                <w:rFonts w:ascii="Calibri" w:hAnsi="Calibri"/>
                <w:color w:val="333333"/>
                <w:sz w:val="18"/>
              </w:rPr>
              <w:t>2027-10-31</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2025-10-31</w:t>
            </w:r>
          </w:p>
        </w:tc>
        <w:tc>
          <w:tcPr>
            <w:tcW w:type="dxa" w:w="2016"/>
            <w:shd w:fill="F2F4F8" w:val="clear"/>
          </w:tcPr>
          <w:p>
            <w:r>
              <w:rPr>
                <w:rFonts w:ascii="Calibri" w:hAnsi="Calibri"/>
                <w:color w:val="333333"/>
                <w:sz w:val="18"/>
              </w:rPr>
              <w:t>2029-10-30</w:t>
            </w:r>
          </w:p>
        </w:tc>
        <w:tc>
          <w:tcPr>
            <w:tcW w:type="dxa" w:w="2016"/>
            <w:shd w:fill="F2F4F8" w:val="clear"/>
          </w:tcPr>
          <w:p>
            <w:r>
              <w:rPr>
                <w:rFonts w:ascii="Calibri" w:hAnsi="Calibri"/>
                <w:color w:val="333333"/>
                <w:sz w:val="18"/>
              </w:rPr>
              <w:t>2029-10-30</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2025-10-31</w:t>
            </w:r>
          </w:p>
        </w:tc>
        <w:tc>
          <w:tcPr>
            <w:tcW w:type="dxa" w:w="2016"/>
          </w:tcPr>
          <w:p>
            <w:r>
              <w:rPr>
                <w:rFonts w:ascii="Calibri" w:hAnsi="Calibri"/>
                <w:color w:val="333333"/>
                <w:sz w:val="18"/>
              </w:rPr>
              <w:t>2030-10-30</w:t>
            </w:r>
          </w:p>
        </w:tc>
        <w:tc>
          <w:tcPr>
            <w:tcW w:type="dxa" w:w="2016"/>
          </w:tcPr>
          <w:p>
            <w:r>
              <w:rPr>
                <w:rFonts w:ascii="Calibri" w:hAnsi="Calibri"/>
                <w:color w:val="333333"/>
                <w:sz w:val="18"/>
              </w:rPr>
              <w:t>2030-10-30</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2025-10-31</w:t>
            </w:r>
          </w:p>
        </w:tc>
        <w:tc>
          <w:tcPr>
            <w:tcW w:type="dxa" w:w="2016"/>
            <w:shd w:fill="F2F4F8" w:val="clear"/>
          </w:tcPr>
          <w:p>
            <w:r>
              <w:rPr>
                <w:rFonts w:ascii="Calibri" w:hAnsi="Calibri"/>
                <w:color w:val="333333"/>
                <w:sz w:val="18"/>
              </w:rPr>
              <w:t>2030-10-30</w:t>
            </w:r>
          </w:p>
        </w:tc>
        <w:tc>
          <w:tcPr>
            <w:tcW w:type="dxa" w:w="2016"/>
            <w:shd w:fill="F2F4F8" w:val="clear"/>
          </w:tcPr>
          <w:p>
            <w:r>
              <w:rPr>
                <w:rFonts w:ascii="Calibri" w:hAnsi="Calibri"/>
                <w:color w:val="333333"/>
                <w:sz w:val="18"/>
              </w:rPr>
              <w:t>2030-10-30</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2025-10-31</w:t>
            </w:r>
          </w:p>
        </w:tc>
        <w:tc>
          <w:tcPr>
            <w:tcW w:type="dxa" w:w="2016"/>
          </w:tcPr>
          <w:p>
            <w:r>
              <w:rPr>
                <w:rFonts w:ascii="Calibri" w:hAnsi="Calibri"/>
                <w:color w:val="333333"/>
                <w:sz w:val="18"/>
              </w:rPr>
              <w:t>2028-10-30</w:t>
            </w:r>
          </w:p>
        </w:tc>
        <w:tc>
          <w:tcPr>
            <w:tcW w:type="dxa" w:w="2016"/>
          </w:tcPr>
          <w:p>
            <w:r>
              <w:rPr>
                <w:rFonts w:ascii="Calibri" w:hAnsi="Calibri"/>
                <w:color w:val="333333"/>
                <w:sz w:val="18"/>
              </w:rPr>
              <w:t>2031-10-30</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2025-10-31</w:t>
            </w:r>
          </w:p>
        </w:tc>
        <w:tc>
          <w:tcPr>
            <w:tcW w:type="dxa" w:w="2016"/>
            <w:shd w:fill="F2F4F8" w:val="clear"/>
          </w:tcPr>
          <w:p>
            <w:r>
              <w:rPr>
                <w:rFonts w:ascii="Calibri" w:hAnsi="Calibri"/>
                <w:color w:val="333333"/>
                <w:sz w:val="18"/>
              </w:rPr>
              <w:t>2028-10-30</w:t>
            </w:r>
          </w:p>
        </w:tc>
        <w:tc>
          <w:tcPr>
            <w:tcW w:type="dxa" w:w="2016"/>
            <w:shd w:fill="F2F4F8" w:val="clear"/>
          </w:tcPr>
          <w:p>
            <w:r>
              <w:rPr>
                <w:rFonts w:ascii="Calibri" w:hAnsi="Calibri"/>
                <w:color w:val="333333"/>
                <w:sz w:val="18"/>
              </w:rPr>
              <w:t>2031-10-30</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2001-09-27</w:t>
            </w:r>
          </w:p>
        </w:tc>
        <w:tc>
          <w:tcPr>
            <w:tcW w:type="dxa" w:w="2016"/>
          </w:tcPr>
          <w:p>
            <w:r>
              <w:rPr>
                <w:rFonts w:ascii="Calibri" w:hAnsi="Calibri"/>
                <w:color w:val="333333"/>
                <w:sz w:val="18"/>
              </w:rPr>
              <w:t>2002-09-27</w:t>
            </w:r>
          </w:p>
        </w:tc>
        <w:tc>
          <w:tcPr>
            <w:tcW w:type="dxa" w:w="2016"/>
          </w:tcPr>
          <w:p>
            <w:r>
              <w:rPr>
                <w:rFonts w:ascii="Calibri" w:hAnsi="Calibri"/>
                <w:color w:val="333333"/>
                <w:sz w:val="18"/>
              </w:rPr>
              <w:t>2004-09-26</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2001-09-27</w:t>
            </w:r>
          </w:p>
        </w:tc>
        <w:tc>
          <w:tcPr>
            <w:tcW w:type="dxa" w:w="2016"/>
            <w:shd w:fill="F2F4F8" w:val="clear"/>
          </w:tcPr>
          <w:p>
            <w:r>
              <w:rPr>
                <w:rFonts w:ascii="Calibri" w:hAnsi="Calibri"/>
                <w:color w:val="333333"/>
                <w:sz w:val="18"/>
              </w:rPr>
              <w:t>2002-09-27</w:t>
            </w:r>
          </w:p>
        </w:tc>
        <w:tc>
          <w:tcPr>
            <w:tcW w:type="dxa" w:w="2016"/>
            <w:shd w:fill="F2F4F8" w:val="clear"/>
          </w:tcPr>
          <w:p>
            <w:r>
              <w:rPr>
                <w:rFonts w:ascii="Calibri" w:hAnsi="Calibri"/>
                <w:color w:val="333333"/>
                <w:sz w:val="18"/>
              </w:rPr>
              <w:t>2004-09-26</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2001-09-27</w:t>
            </w:r>
          </w:p>
        </w:tc>
        <w:tc>
          <w:tcPr>
            <w:tcW w:type="dxa" w:w="2016"/>
          </w:tcPr>
          <w:p>
            <w:r>
              <w:rPr>
                <w:rFonts w:ascii="Calibri" w:hAnsi="Calibri"/>
                <w:color w:val="333333"/>
                <w:sz w:val="18"/>
              </w:rPr>
              <w:t>2003-09-27</w:t>
            </w:r>
          </w:p>
        </w:tc>
        <w:tc>
          <w:tcPr>
            <w:tcW w:type="dxa" w:w="2016"/>
          </w:tcPr>
          <w:p>
            <w:r>
              <w:rPr>
                <w:rFonts w:ascii="Calibri" w:hAnsi="Calibri"/>
                <w:color w:val="333333"/>
                <w:sz w:val="18"/>
              </w:rPr>
              <w:t>2006-09-26</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STRONG</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NOT_APPLICABLE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STRONG with explicit PSLRA citation and specific cautionary language.</w:t>
      </w:r>
      <w:r>
        <w:rPr>
          <w:rFonts w:ascii="Consolas" w:hAnsi="Consolas"/>
          <w:color w:val="666666"/>
          <w:sz w:val="16"/>
        </w:rPr>
        <w:t xml:space="preserve">  [DEF 14A; 10-K, 2026-04-02,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nties in a manner inconsistent with management's expectation</w:t>
            </w:r>
          </w:p>
        </w:tc>
        <w:tc>
          <w:tcPr>
            <w:tcW w:type="dxa" w:w="2520"/>
          </w:tcPr>
          <w:p>
            <w:r>
              <w:rPr>
                <w:rFonts w:ascii="Calibri" w:hAnsi="Calibri"/>
                <w:color w:val="333333"/>
                <w:sz w:val="18"/>
              </w:rPr>
              <w:t>probable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Department of Justice Lawsuit On March 21, 2024, the DOJ and</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The DOJ is seeking equitable relief to redress the alleged a</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 addition, various civil litigation matters have been file</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 xml:space="preserve">The California District Court found that certain provisions </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On January 16, 2024, the Company implemented a plan to compl</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On September 30, 2024, the Company filed a motion with the C</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The Company will continue to vigorously defend its actions a</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 xml:space="preserve">Although the Company's request to stay the decision pending </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Other Legal Proceedings The Company is subject to other lega</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bl>
    <w:p>
      <w:pPr>
        <w:pStyle w:val="DOBody"/>
      </w:pPr>
      <w:r>
        <w:rPr>
          <w:i/>
          <w:sz w:val="16"/>
        </w:rPr>
        <w:t>D&amp;O Context: 1 probable contingenc(y/ies). ASC 450 probable classification indicates management believes loss is likely. Direct impact on D&amp;O exposure.</w:t>
      </w:r>
      <w:r>
        <w:rPr>
          <w:b/>
          <w:color w:val="EA580C"/>
          <w:sz w:val="18"/>
        </w:rPr>
        <w:t xml:space="preserve"> [HIGH]</w:t>
      </w:r>
    </w:p>
    <w:p>
      <w:pPr>
        <w:pStyle w:val="DOHeading3"/>
      </w:pPr>
      <w:r>
        <w:t>Workforce, Product &amp; Environmental Matters</w:t>
      </w:r>
    </w:p>
    <w:p>
      <w:pPr>
        <w:pStyle w:val="DOBody"/>
      </w:pPr>
      <w:r>
        <w:rPr>
          <w:b/>
          <w:sz w:val="20"/>
        </w:rPr>
        <w:t>Cybersecurity Incidents:</w:t>
      </w:r>
    </w:p>
    <w:p>
      <w:pPr>
        <w:pStyle w:val="DOBody"/>
      </w:pPr>
      <w:r>
        <w:t xml:space="preserve">  - [data_breach] k disruptions caused by natural disasters, accidents, power disruptions, telecommunications failures, acts of terrorism or war, computer viruses, physical or electronic break-ins, ransomware or other cybersecurity incidents, or other events or disruptions.</w:t>
      </w:r>
    </w:p>
    <w:p>
      <w:pPr>
        <w:pStyle w:val="DOBody"/>
      </w:pPr>
      <w:r>
        <w:t xml:space="preserve">  - [data_breach] Losses or unauthorized access to or releases of confidential information, including personal information, could subject the Company to significant reputational, financial, legal and operational consequences.</w:t>
      </w:r>
    </w:p>
    <w:p>
      <w:pPr>
        <w:pStyle w:val="DOBody"/>
      </w:pPr>
      <w:r>
        <w:t xml:space="preserve">  - [data_breach] But these measures cannot provide absolute security, and losses or unauthorized access to or releases of confidential information occur and could materially adversely affect the Company's business, reputation, results of operations, financial condition and stock price.</w:t>
      </w:r>
    </w:p>
    <w:p>
      <w:pPr>
        <w:pStyle w:val="DOBody"/>
      </w:pPr>
      <w:r>
        <w:t xml:space="preserve">  - [data_breach] ugh the Company takes steps to secure confidential information that is provided to or accessible by third parties working on the Company's behalf, such measures are not always effective and losses or unauthorized access to, or releases of, confidential information occur.</w:t>
      </w:r>
    </w:p>
    <w:p>
      <w:pPr>
        <w:pStyle w:val="DOBody"/>
      </w:pPr>
      <w:r>
        <w:t xml:space="preserve">  - [data_breach] The Company experiences malicious attacks and other attempts to gain unauthorized access to its systems on a regular basis.</w:t>
      </w:r>
    </w:p>
    <w:p>
      <w:pPr>
        <w:pStyle w:val="DOBody"/>
      </w:pPr>
      <w:r>
        <w:t xml:space="preserve">  - [data_breach] raudulently induce the Company's or its suppliers' and other third parties' employees or customers into disclosing usernames, passwords or other sensitive information, which can, in turn, be used for unauthorized access to the Company's or such suppliers' or third parties' systems and services.</w:t>
      </w:r>
    </w:p>
    <w:p>
      <w:pPr>
        <w:pStyle w:val="DOBody"/>
      </w:pPr>
      <w:r>
        <w:t xml:space="preserve">  - [cyber_attack] retail stores and facilities are subject to the risk of interruption by fire, power shortages, nuclear power plant accidents and other industrial accidents, terrorist attacks and other hostile acts, ransomware and other cybersecurity attacks, labor disputes, public health issues and other events beyond the Company's control.</w:t>
      </w:r>
    </w:p>
    <w:p>
      <w:pPr>
        <w:pStyle w:val="DOBody"/>
      </w:pPr>
      <w:r>
        <w:t xml:space="preserve">  - [cyber_attack] m failures or network disruptions caused by natural disasters, accidents, power disruptions, telecommunications failures, acts of terrorism or war, computer viruses, physical or electronic break-ins, ransomware or other cybersecurity incidents, or other events or disruptions.</w:t>
      </w:r>
    </w:p>
    <w:p>
      <w:pPr>
        <w:pStyle w:val="DOBody"/>
      </w:pPr>
      <w:r>
        <w:t xml:space="preserve">  - [cyber_attack] The Company relies on global suppliers that are also exposed to ransomware and other malicious attacks that can disrupt business operations.</w:t>
      </w:r>
    </w:p>
    <w:p>
      <w:pPr>
        <w:pStyle w:val="DOBody"/>
      </w:pPr>
      <w:r>
        <w:t xml:space="preserve">  - [cyber_attack] | 2025 Form 10-K | 11 As with all companies, the security the Company has implemented may not be sufficient for all eventualities and are vulnerable to hacking, ransomware attacks, employee error, malfeasance, system error, faulty password management or other irregularities.</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Apple's exceptional 91.3 quality score and WIN tier classification are anchored by its operational strength, yet its ELEVATED claim band of 5.2-7.4% is driven by a Prior Litigation factor that deducted 2.46 points from a possible 20, based on 70 identified signals. The sheer volume of shareholder suits and antitrust challenges, coupled with an IPO/SPAC/M&amp;A factor deducting 2.19 points, creates a predictable, high-frequency D&amp;O claims environment atypical for a company of this caliber. Short interest, a secondary factor deducting 1.31 points, adds consistent speculative pressure that can fuel shareholder allegations of misleading statements. Underwrite to the litigation cadence, not the balance sheet; this is a premium account where pricing must reflect the 5.18-7.4% claim probability range, not just the severity.</w:t>
      </w:r>
    </w:p>
    <w:p>
      <w:pPr>
        <w:pStyle w:val="DOHeading1"/>
      </w:pPr>
      <w:r>
        <w:t>Section 7: Risk Scoring &amp; Synthesis</w:t>
      </w:r>
    </w:p>
    <w:p>
      <w:pPr>
        <w:pStyle w:val="DOBody"/>
      </w:pPr>
      <w:r>
        <w:rPr>
          <w:rFonts w:ascii="Calibri" w:hAnsi="Calibri"/>
          <w:color w:val="333333"/>
          <w:sz w:val="20"/>
        </w:rPr>
        <w:t>Underwriting tier: **WIN** (quality score: 91.3/100). Recommended action: Must-have account, compete aggressively. Expected claim probability band: 5.2-7.4%. Top risk contributors: Prior Litigation (F1: -2.5 pts); IPO/SPAC/M&amp;A (F4: -2.2 pts); Short Interest (F6: -1.3 pts). Claim probability band: ELEVATED (5.2%-7.4%).</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91.3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91.3</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8.7</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WIN</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86 - 100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Must-have account, compete aggressively</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5.2-7.4%</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0.5-0.7x</w:t>
            </w:r>
          </w:p>
        </w:tc>
      </w:tr>
    </w:tbl>
    <w:p>
      <w:pPr>
        <w:pStyle w:val="DOBody"/>
      </w:pPr>
      <w:r>
        <w:rPr>
          <w:b/>
        </w:rPr>
        <w:t>Risk Assessment: LOW</w:t>
      </w:r>
      <w:r>
        <w:rPr>
          <w:b/>
          <w:color w:val="2563EB"/>
          <w:sz w:val="18"/>
        </w:rPr>
        <w:t xml:space="preserve"> [LOW]</w:t>
      </w:r>
    </w:p>
    <w:p>
      <w:pPr>
        <w:pStyle w:val="DOHeading3"/>
      </w:pPr>
      <w:r>
        <w:t>D&amp;O Claim Peril Assessment</w:t>
      </w:r>
    </w:p>
    <w:p>
      <w:pPr>
        <w:pStyle w:val="DOBody"/>
      </w:pPr>
      <w:r>
        <w:t>2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CCBC" w:val="clear"/>
          </w:tcPr>
          <w:p>
            <w:r>
              <w:rPr>
                <w:rFonts w:ascii="Calibri" w:hAnsi="Calibri"/>
                <w:b/>
                <w:color w:val="CC3300"/>
                <w:sz w:val="18"/>
              </w:rPr>
              <w:t>ELEVATED</w:t>
            </w:r>
          </w:p>
        </w:tc>
        <w:tc>
          <w:tcPr>
            <w:tcW w:type="dxa" w:w="2520"/>
          </w:tcPr>
          <w:p>
            <w:r>
              <w:rPr>
                <w:rFonts w:ascii="Calibri" w:hAnsi="Calibri"/>
                <w:sz w:val="18"/>
              </w:rPr>
              <w:t>1/5</w:t>
            </w:r>
          </w:p>
        </w:tc>
        <w:tc>
          <w:tcPr>
            <w:tcW w:type="dxa" w:w="2520"/>
          </w:tcPr>
          <w:p>
            <w:r>
              <w:rPr>
                <w:rFonts w:ascii="Calibri" w:hAnsi="Calibri"/>
                <w:color w:val="666666"/>
                <w:sz w:val="18"/>
              </w:rPr>
              <w:t>Qualitative: No non-GAAP measures detected in 10-K; Qualitative: 0</w:t>
            </w:r>
          </w:p>
        </w:tc>
      </w:tr>
      <w:tr>
        <w:tc>
          <w:tcPr>
            <w:tcW w:type="dxa" w:w="2520"/>
          </w:tcPr>
          <w:p>
            <w:r>
              <w:rPr>
                <w:rFonts w:ascii="Calibri" w:hAnsi="Calibri"/>
                <w:b/>
                <w:color w:val="333333"/>
                <w:sz w:val="18"/>
              </w:rPr>
              <w:t>Fiduciary Breach</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1/3</w:t>
            </w:r>
          </w:p>
        </w:tc>
        <w:tc>
          <w:tcPr>
            <w:tcW w:type="dxa" w:w="2520"/>
          </w:tcPr>
          <w:p>
            <w:r>
              <w:rPr>
                <w:rFonts w:ascii="Calibri" w:hAnsi="Calibri"/>
                <w:color w:val="666666"/>
                <w:sz w:val="18"/>
              </w:rPr>
              <w:t>Verified (value: 0); Detected (value). Limited corroborating data available.</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ELEVATED</w:t>
      </w:r>
      <w:r>
        <w:rPr>
          <w:b/>
          <w:color w:val="EAB308"/>
          <w:sz w:val="18"/>
        </w:rPr>
        <w:t xml:space="preserve"> [ELEVATED]</w:t>
      </w:r>
    </w:p>
    <w:p>
      <w:pPr>
        <w:pStyle w:val="DOBody"/>
      </w:pPr>
      <w:r>
        <w:rPr>
          <w:color w:val="666666"/>
          <w:sz w:val="16"/>
        </w:rPr>
        <w:t>Frequency: moderate | Severity: high | Typical range: $5M - $500M+</w:t>
      </w:r>
    </w:p>
    <w:p>
      <w:pPr>
        <w:pStyle w:val="DOBody"/>
      </w:pPr>
      <w:r>
        <w:t>1 of 5 causal chains active.</w:t>
      </w:r>
    </w:p>
    <w:p>
      <w:pPr>
        <w:pStyle w:val="DOBody"/>
      </w:pPr>
      <w:r>
        <w:rPr>
          <w:b/>
        </w:rPr>
        <w:t>Chain: Guidance Miss → Securities Fraud</w:t>
      </w:r>
      <w:r>
        <w:t xml:space="preserve"> [ELEVATED]</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b/>
          <w:sz w:val="20"/>
        </w:rPr>
        <w:t xml:space="preserve">  Amplifiers: </w:t>
      </w:r>
      <w:r>
        <w:br/>
        <w:t xml:space="preserve">    • EXEC.INSIDER.ceo_net_selling</w:t>
      </w:r>
      <w:r>
        <w:br/>
        <w:t xml:space="preserve">    • EXEC.INSIDER.cfo_net_selling</w:t>
      </w:r>
    </w:p>
    <w:p>
      <w:pPr>
        <w:pStyle w:val="DOBody"/>
      </w:pPr>
      <w:r>
        <w:rPr>
          <w:color w:val="666666"/>
          <w:sz w:val="16"/>
        </w:rPr>
        <w:t xml:space="preserve">  Historical filing rate: 8% | Median severity: $12M</w:t>
      </w:r>
    </w:p>
    <w:p>
      <w:pPr>
        <w:pStyle w:val="DOHeading3"/>
      </w:pPr>
      <w:r>
        <w:t>Fiduciary Breach: MODERATE</w:t>
      </w:r>
      <w:r>
        <w:rPr>
          <w:b/>
          <w:color w:val="2563EB"/>
          <w:sz w:val="18"/>
        </w:rPr>
        <w:t xml:space="preserve"> [MODERATE]</w:t>
      </w:r>
    </w:p>
    <w:p>
      <w:pPr>
        <w:pStyle w:val="DOBody"/>
      </w:pPr>
      <w:r>
        <w:rPr>
          <w:color w:val="666666"/>
          <w:sz w:val="16"/>
        </w:rPr>
        <w:t>Frequency: growing | Severity: variable | Typical range: $1M - $100M</w:t>
      </w:r>
    </w:p>
    <w:p>
      <w:pPr>
        <w:pStyle w:val="DOBody"/>
      </w:pPr>
      <w:r>
        <w:t>1 of 3 causal chains active.</w:t>
      </w:r>
    </w:p>
    <w:p>
      <w:pPr>
        <w:pStyle w:val="DOBody"/>
      </w:pPr>
      <w:r>
        <w:rPr>
          <w:b/>
        </w:rPr>
        <w:t>Chain: Governance Failure → Derivative Suit</w:t>
      </w:r>
      <w:r>
        <w:t xml:space="preserve"> [MODERATE]</w:t>
      </w:r>
    </w:p>
    <w:p>
      <w:pPr>
        <w:pStyle w:val="DOBody"/>
      </w:pPr>
      <w:r>
        <w:rPr>
          <w:i/>
          <w:sz w:val="16"/>
        </w:rPr>
        <w:t>Weak governance structure (low independence, CEO/Chair duality, poor say-on-pay) creates basis for Caremark duty of oversight claims and derivative suits.</w:t>
        <w:br/>
      </w:r>
    </w:p>
    <w:p>
      <w:pPr>
        <w:pStyle w:val="DOBody"/>
      </w:pPr>
      <w:r>
        <w:rPr>
          <w:b/>
          <w:sz w:val="20"/>
        </w:rPr>
        <w:t xml:space="preserve">  Triggers: </w:t>
      </w:r>
      <w:r>
        <w:br/>
        <w:t xml:space="preserve">    • GOV.BOARD.ceo_chair</w:t>
      </w:r>
    </w:p>
    <w:p>
      <w:pPr>
        <w:pStyle w:val="DOBody"/>
      </w:pPr>
      <w:r>
        <w:rPr>
          <w:color w:val="666666"/>
          <w:sz w:val="16"/>
        </w:rPr>
        <w:t xml:space="preserve">  Historical filing rate: 3% | Median severity: $8M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2.5</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0.3</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0.8</w:t>
            </w:r>
          </w:p>
        </w:tc>
        <w:tc>
          <w:tcPr>
            <w:tcW w:type="dxa" w:w="1680"/>
          </w:tcPr>
          <w:p>
            <w:r>
              <w:rPr>
                <w:rFonts w:ascii="Calibri" w:hAnsi="Calibri"/>
                <w:color w:val="333333"/>
                <w:sz w:val="18"/>
              </w:rPr>
              <w:t>7%</w:t>
            </w:r>
          </w:p>
        </w:tc>
        <w:tc>
          <w:tcPr>
            <w:tcW w:type="dxa" w:w="1680"/>
          </w:tcPr>
          <w:p>
            <w:r>
              <w:rPr>
                <w:rFonts w:ascii="Calibri" w:hAnsi="Calibri"/>
                <w:color w:val="333333"/>
                <w:sz w:val="18"/>
              </w:rPr>
              <w:t>Signal-driven scoring: 82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2.2</w:t>
            </w:r>
          </w:p>
        </w:tc>
        <w:tc>
          <w:tcPr>
            <w:tcW w:type="dxa" w:w="1680"/>
            <w:shd w:fill="F2F4F8" w:val="clear"/>
          </w:tcPr>
          <w:p>
            <w:r>
              <w:rPr>
                <w:rFonts w:ascii="Calibri" w:hAnsi="Calibri"/>
                <w:color w:val="333333"/>
                <w:sz w:val="18"/>
              </w:rPr>
              <w:t>22%</w:t>
            </w:r>
          </w:p>
        </w:tc>
        <w:tc>
          <w:tcPr>
            <w:tcW w:type="dxa" w:w="1680"/>
            <w:shd w:fill="F2F4F8" w:val="clear"/>
          </w:tcPr>
          <w:p>
            <w:r>
              <w:rPr>
                <w:rFonts w:ascii="Calibri" w:hAnsi="Calibri"/>
                <w:color w:val="333333"/>
                <w:sz w:val="18"/>
              </w:rPr>
              <w:t>Signal-driven scoring: 16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13</w:t>
            </w:r>
          </w:p>
        </w:tc>
        <w:tc>
          <w:tcPr>
            <w:tcW w:type="dxa" w:w="1680"/>
          </w:tcPr>
          <w:p>
            <w:r>
              <w:rPr>
                <w:rFonts w:ascii="Calibri" w:hAnsi="Calibri"/>
                <w:color w:val="333333"/>
                <w:sz w:val="18"/>
              </w:rPr>
              <w:t>0.4</w:t>
            </w:r>
          </w:p>
        </w:tc>
        <w:tc>
          <w:tcPr>
            <w:tcW w:type="dxa" w:w="1680"/>
          </w:tcPr>
          <w:p>
            <w:r>
              <w:rPr>
                <w:rFonts w:ascii="Calibri" w:hAnsi="Calibri"/>
                <w:color w:val="333333"/>
                <w:sz w:val="18"/>
              </w:rPr>
              <w:t>3%</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1.3</w:t>
            </w:r>
          </w:p>
        </w:tc>
        <w:tc>
          <w:tcPr>
            <w:tcW w:type="dxa" w:w="1680"/>
            <w:shd w:fill="F2F4F8" w:val="clear"/>
          </w:tcPr>
          <w:p>
            <w:r>
              <w:rPr>
                <w:rFonts w:ascii="Calibri" w:hAnsi="Calibri"/>
                <w:color w:val="333333"/>
                <w:sz w:val="18"/>
              </w:rPr>
              <w:t>16%</w:t>
            </w:r>
          </w:p>
        </w:tc>
        <w:tc>
          <w:tcPr>
            <w:tcW w:type="dxa" w:w="1680"/>
            <w:shd w:fill="F2F4F8" w:val="clear"/>
          </w:tcPr>
          <w:p>
            <w:r>
              <w:rPr>
                <w:rFonts w:ascii="Calibri" w:hAnsi="Calibri"/>
                <w:color w:val="333333"/>
                <w:sz w:val="18"/>
              </w:rPr>
              <w:t>Signal-driven scoring: 27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7</w:t>
            </w:r>
          </w:p>
        </w:tc>
        <w:tc>
          <w:tcPr>
            <w:tcW w:type="dxa" w:w="1680"/>
          </w:tcPr>
          <w:p>
            <w:r>
              <w:rPr>
                <w:rFonts w:ascii="Calibri" w:hAnsi="Calibri"/>
                <w:color w:val="333333"/>
                <w:sz w:val="18"/>
              </w:rPr>
              <w:t>0.3</w:t>
            </w:r>
          </w:p>
        </w:tc>
        <w:tc>
          <w:tcPr>
            <w:tcW w:type="dxa" w:w="1680"/>
          </w:tcPr>
          <w:p>
            <w:r>
              <w:rPr>
                <w:rFonts w:ascii="Calibri" w:hAnsi="Calibri"/>
                <w:color w:val="333333"/>
                <w:sz w:val="18"/>
              </w:rPr>
              <w:t>4%</w:t>
            </w:r>
          </w:p>
        </w:tc>
        <w:tc>
          <w:tcPr>
            <w:tcW w:type="dxa" w:w="1680"/>
          </w:tcPr>
          <w:p>
            <w:r>
              <w:rPr>
                <w:rFonts w:ascii="Calibri" w:hAnsi="Calibri"/>
                <w:color w:val="333333"/>
                <w:sz w:val="18"/>
              </w:rPr>
              <w:t>Signal-driven scoring: 31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0.7</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42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7%</w:t>
            </w:r>
          </w:p>
        </w:tc>
        <w:tc>
          <w:tcPr>
            <w:tcW w:type="dxa" w:w="1680"/>
            <w:shd w:fill="F2F4F8" w:val="clear"/>
          </w:tcPr>
          <w:p>
            <w:r>
              <w:rPr>
                <w:rFonts w:ascii="Calibri" w:hAnsi="Calibri"/>
                <w:color w:val="333333"/>
                <w:sz w:val="18"/>
              </w:rPr>
              <w:t>Signal-driven scoring: 93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2/20 points</w:t>
            </w:r>
          </w:p>
        </w:tc>
        <w:tc>
          <w:tcPr>
            <w:tcW w:type="dxa" w:w="2016"/>
          </w:tcPr>
          <w:p>
            <w:r>
              <w:rPr>
                <w:rFonts w:ascii="Calibri" w:hAnsi="Calibri"/>
                <w:color w:val="333333"/>
                <w:sz w:val="18"/>
              </w:rPr>
              <w:t>Signal-driven scoring: 70 signals, coverage=100%</w:t>
            </w:r>
          </w:p>
        </w:tc>
        <w:tc>
          <w:tcPr>
            <w:tcW w:type="dxa" w:w="2016"/>
          </w:tcPr>
          <w:p>
            <w:r>
              <w:rPr>
                <w:rFonts w:ascii="Calibri" w:hAnsi="Calibri"/>
                <w:color w:val="333333"/>
                <w:sz w:val="18"/>
              </w:rPr>
              <w:t>F1: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0/15 points</w:t>
            </w:r>
          </w:p>
        </w:tc>
        <w:tc>
          <w:tcPr>
            <w:tcW w:type="dxa" w:w="2016"/>
            <w:shd w:fill="F2F4F8" w:val="clear"/>
          </w:tcPr>
          <w:p>
            <w:r>
              <w:rPr>
                <w:rFonts w:ascii="Calibri" w:hAnsi="Calibri"/>
                <w:color w:val="333333"/>
                <w:sz w:val="18"/>
              </w:rPr>
              <w:t>Signal-driven scoring: 30 signals, coverage=100%; Drop contribution modifier: 0.25x (decay + company-specific + disclosure)</w:t>
            </w:r>
          </w:p>
        </w:tc>
        <w:tc>
          <w:tcPr>
            <w:tcW w:type="dxa" w:w="2016"/>
            <w:shd w:fill="F2F4F8" w:val="clear"/>
          </w:tcPr>
          <w:p>
            <w:r>
              <w:rPr>
                <w:rFonts w:ascii="Calibri" w:hAnsi="Calibri"/>
                <w:color w:val="333333"/>
                <w:sz w:val="18"/>
              </w:rPr>
              <w:t>F2: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1/12 points</w:t>
            </w:r>
          </w:p>
        </w:tc>
        <w:tc>
          <w:tcPr>
            <w:tcW w:type="dxa" w:w="2016"/>
          </w:tcPr>
          <w:p>
            <w:r>
              <w:rPr>
                <w:rFonts w:ascii="Calibri" w:hAnsi="Calibri"/>
                <w:color w:val="333333"/>
                <w:sz w:val="18"/>
              </w:rPr>
              <w:t>Signal-driven scoring: 82 signals, coverage=100%</w:t>
            </w:r>
          </w:p>
        </w:tc>
        <w:tc>
          <w:tcPr>
            <w:tcW w:type="dxa" w:w="2016"/>
          </w:tcPr>
          <w:p>
            <w:r>
              <w:rPr>
                <w:rFonts w:ascii="Calibri" w:hAnsi="Calibri"/>
                <w:color w:val="333333"/>
                <w:sz w:val="18"/>
              </w:rPr>
              <w:t>F3: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2/10 points</w:t>
            </w:r>
          </w:p>
        </w:tc>
        <w:tc>
          <w:tcPr>
            <w:tcW w:type="dxa" w:w="2016"/>
            <w:shd w:fill="F2F4F8" w:val="clear"/>
          </w:tcPr>
          <w:p>
            <w:r>
              <w:rPr>
                <w:rFonts w:ascii="Calibri" w:hAnsi="Calibri"/>
                <w:color w:val="333333"/>
                <w:sz w:val="18"/>
              </w:rPr>
              <w:t>Signal-driven scoring: 16 signals, coverage=100%</w:t>
            </w:r>
          </w:p>
        </w:tc>
        <w:tc>
          <w:tcPr>
            <w:tcW w:type="dxa" w:w="2016"/>
            <w:shd w:fill="F2F4F8" w:val="clear"/>
          </w:tcPr>
          <w:p>
            <w:r>
              <w:rPr>
                <w:rFonts w:ascii="Calibri" w:hAnsi="Calibri"/>
                <w:color w:val="333333"/>
                <w:sz w:val="18"/>
              </w:rPr>
              <w:t>F4: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Guidance Misses: 0/13 points</w:t>
            </w:r>
          </w:p>
        </w:tc>
        <w:tc>
          <w:tcPr>
            <w:tcW w:type="dxa" w:w="2016"/>
          </w:tcPr>
          <w:p>
            <w:r>
              <w:rPr>
                <w:rFonts w:ascii="Calibri" w:hAnsi="Calibri"/>
                <w:color w:val="333333"/>
                <w:sz w:val="18"/>
              </w:rPr>
              <w:t>Signal-driven scoring: 28 signals, coverage=100%</w:t>
            </w:r>
          </w:p>
        </w:tc>
        <w:tc>
          <w:tcPr>
            <w:tcW w:type="dxa" w:w="2016"/>
          </w:tcPr>
          <w:p>
            <w:r>
              <w:rPr>
                <w:rFonts w:ascii="Calibri" w:hAnsi="Calibri"/>
                <w:color w:val="333333"/>
                <w:sz w:val="18"/>
              </w:rPr>
              <w:t>F5: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1/8 points</w:t>
            </w:r>
          </w:p>
        </w:tc>
        <w:tc>
          <w:tcPr>
            <w:tcW w:type="dxa" w:w="2016"/>
            <w:shd w:fill="F2F4F8" w:val="clear"/>
          </w:tcPr>
          <w:p>
            <w:r>
              <w:rPr>
                <w:rFonts w:ascii="Calibri" w:hAnsi="Calibri"/>
                <w:color w:val="333333"/>
                <w:sz w:val="18"/>
              </w:rPr>
              <w:t>Signal-driven scoring: 27 signals, coverage=100%</w:t>
            </w:r>
          </w:p>
        </w:tc>
        <w:tc>
          <w:tcPr>
            <w:tcW w:type="dxa" w:w="2016"/>
            <w:shd w:fill="F2F4F8" w:val="clear"/>
          </w:tcPr>
          <w:p>
            <w:r>
              <w:rPr>
                <w:rFonts w:ascii="Calibri" w:hAnsi="Calibri"/>
                <w:color w:val="333333"/>
                <w:sz w:val="18"/>
              </w:rPr>
              <w:t>F6: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0/7 points</w:t>
            </w:r>
          </w:p>
        </w:tc>
        <w:tc>
          <w:tcPr>
            <w:tcW w:type="dxa" w:w="2016"/>
          </w:tcPr>
          <w:p>
            <w:r>
              <w:rPr>
                <w:rFonts w:ascii="Calibri" w:hAnsi="Calibri"/>
                <w:color w:val="333333"/>
                <w:sz w:val="18"/>
              </w:rPr>
              <w:t>Signal-driven scoring: 31 signals, coverage=100%</w:t>
            </w:r>
          </w:p>
        </w:tc>
        <w:tc>
          <w:tcPr>
            <w:tcW w:type="dxa" w:w="2016"/>
          </w:tcPr>
          <w:p>
            <w:r>
              <w:rPr>
                <w:rFonts w:ascii="Calibri" w:hAnsi="Calibri"/>
                <w:color w:val="333333"/>
                <w:sz w:val="18"/>
              </w:rPr>
              <w:t>F7: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1/6 points</w:t>
            </w:r>
          </w:p>
        </w:tc>
        <w:tc>
          <w:tcPr>
            <w:tcW w:type="dxa" w:w="2016"/>
            <w:shd w:fill="F2F4F8" w:val="clear"/>
          </w:tcPr>
          <w:p>
            <w:r>
              <w:rPr>
                <w:rFonts w:ascii="Calibri" w:hAnsi="Calibri"/>
                <w:color w:val="333333"/>
                <w:sz w:val="18"/>
              </w:rPr>
              <w:t>Signal-driven scoring: 42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93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bl>
    <w:p>
      <w:pPr>
        <w:pStyle w:val="DOBody"/>
      </w:pPr>
      <w:r>
        <w:t>Critical: 0, High: 0, Moderate: 0, Low: 9</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0.4018181818181818 points; Issues guidance (philosophy: CONSERVATIVE)</w:t>
            </w:r>
          </w:p>
        </w:tc>
      </w:tr>
    </w:tbl>
    <w:p>
      <w:pPr>
        <w:pStyle w:val="DOHeading3"/>
      </w:pPr>
      <w:r>
        <w:t>Severity Scenarios</w:t>
      </w:r>
    </w:p>
    <w:p>
      <w:pPr>
        <w:pStyle w:val="DOBody"/>
      </w:pPr>
      <w:r>
        <w:t>Analysis based on market cap: $3.8T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$124.3M</w:t>
            </w:r>
          </w:p>
        </w:tc>
        <w:tc>
          <w:tcPr>
            <w:tcW w:type="dxa" w:w="2016"/>
          </w:tcPr>
          <w:p>
            <w:r>
              <w:rPr>
                <w:rFonts w:ascii="Calibri" w:hAnsi="Calibri"/>
                <w:color w:val="333333"/>
                <w:sz w:val="18"/>
              </w:rPr>
              <w:t>$18.6M</w:t>
            </w:r>
          </w:p>
        </w:tc>
        <w:tc>
          <w:tcPr>
            <w:tcW w:type="dxa" w:w="2016"/>
          </w:tcPr>
          <w:p>
            <w:r>
              <w:rPr>
                <w:rFonts w:ascii="Calibri" w:hAnsi="Calibri"/>
                <w:color w:val="333333"/>
                <w:sz w:val="18"/>
              </w:rPr>
              <w:t>$143.0M</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$248.6M</w:t>
            </w:r>
          </w:p>
        </w:tc>
        <w:tc>
          <w:tcPr>
            <w:tcW w:type="dxa" w:w="2016"/>
            <w:shd w:fill="F2F4F8" w:val="clear"/>
          </w:tcPr>
          <w:p>
            <w:r>
              <w:rPr>
                <w:rFonts w:ascii="Calibri" w:hAnsi="Calibri"/>
                <w:color w:val="333333"/>
                <w:sz w:val="18"/>
              </w:rPr>
              <w:t>$49.7M</w:t>
            </w:r>
          </w:p>
        </w:tc>
        <w:tc>
          <w:tcPr>
            <w:tcW w:type="dxa" w:w="2016"/>
            <w:shd w:fill="F2F4F8" w:val="clear"/>
          </w:tcPr>
          <w:p>
            <w:r>
              <w:rPr>
                <w:rFonts w:ascii="Calibri" w:hAnsi="Calibri"/>
                <w:color w:val="333333"/>
                <w:sz w:val="18"/>
              </w:rPr>
              <w:t>$298.3M</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$497.2M</w:t>
            </w:r>
          </w:p>
        </w:tc>
        <w:tc>
          <w:tcPr>
            <w:tcW w:type="dxa" w:w="2016"/>
          </w:tcPr>
          <w:p>
            <w:r>
              <w:rPr>
                <w:rFonts w:ascii="Calibri" w:hAnsi="Calibri"/>
                <w:color w:val="333333"/>
                <w:sz w:val="18"/>
              </w:rPr>
              <w:t>$124.3M</w:t>
            </w:r>
          </w:p>
        </w:tc>
        <w:tc>
          <w:tcPr>
            <w:tcW w:type="dxa" w:w="2016"/>
          </w:tcPr>
          <w:p>
            <w:r>
              <w:rPr>
                <w:rFonts w:ascii="Calibri" w:hAnsi="Calibri"/>
                <w:color w:val="333333"/>
                <w:sz w:val="18"/>
              </w:rPr>
              <w:t>$621.5M</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$994.5M</w:t>
            </w:r>
          </w:p>
        </w:tc>
        <w:tc>
          <w:tcPr>
            <w:tcW w:type="dxa" w:w="2016"/>
            <w:shd w:fill="F2F4F8" w:val="clear"/>
          </w:tcPr>
          <w:p>
            <w:r>
              <w:rPr>
                <w:rFonts w:ascii="Calibri" w:hAnsi="Calibri"/>
                <w:color w:val="333333"/>
                <w:sz w:val="18"/>
              </w:rPr>
              <w:t>$298.3M</w:t>
            </w:r>
          </w:p>
        </w:tc>
        <w:tc>
          <w:tcPr>
            <w:tcW w:type="dxa" w:w="2016"/>
            <w:shd w:fill="F2F4F8" w:val="clear"/>
          </w:tcPr>
          <w:p>
            <w:r>
              <w:rPr>
                <w:rFonts w:ascii="Calibri" w:hAnsi="Calibri"/>
                <w:color w:val="333333"/>
                <w:sz w:val="18"/>
              </w:rPr>
              <w:t>$1.3B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2.5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0.3</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0.25x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0.8</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82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2.2</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16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0.4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28 signals, coverage=100%</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1.3</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27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0.3</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31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42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93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2.46</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2.46</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2.46</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1.36</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0.25</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0.34</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0.34</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0.99</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0.99</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0.99</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2.19</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2.19</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2.19</w:t>
            </w:r>
          </w:p>
        </w:tc>
      </w:tr>
      <w:tr>
        <w:tc>
          <w:tcPr>
            <w:tcW w:type="dxa" w:w="3360"/>
          </w:tcPr>
          <w:p>
            <w:r>
              <w:rPr>
                <w:rFonts w:ascii="Calibri" w:hAnsi="Calibri"/>
                <w:color w:val="333333"/>
                <w:sz w:val="18"/>
              </w:rPr>
              <w:t>F5</w:t>
            </w:r>
          </w:p>
        </w:tc>
        <w:tc>
          <w:tcPr>
            <w:tcW w:type="dxa" w:w="3360"/>
          </w:tcPr>
          <w:p>
            <w:r>
              <w:rPr>
                <w:rFonts w:ascii="Calibri" w:hAnsi="Calibri"/>
                <w:color w:val="333333"/>
                <w:sz w:val="18"/>
              </w:rPr>
              <w:t>base</w:t>
            </w:r>
          </w:p>
        </w:tc>
        <w:tc>
          <w:tcPr>
            <w:tcW w:type="dxa" w:w="3360"/>
          </w:tcPr>
          <w:p>
            <w:r>
              <w:rPr>
                <w:rFonts w:ascii="Calibri" w:hAnsi="Calibri"/>
                <w:color w:val="333333"/>
                <w:sz w:val="18"/>
              </w:rPr>
              <w:t>0.47</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0.47</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0.47</w:t>
            </w:r>
          </w:p>
        </w:tc>
      </w:tr>
      <w:tr>
        <w:tc>
          <w:tcPr>
            <w:tcW w:type="dxa" w:w="3360"/>
          </w:tcPr>
          <w:p>
            <w:r>
              <w:rPr>
                <w:rFonts w:ascii="Calibri" w:hAnsi="Calibri"/>
                <w:color w:val="333333"/>
                <w:sz w:val="18"/>
              </w:rPr>
              <w:t>F5</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1.54</w:t>
            </w:r>
          </w:p>
        </w:tc>
      </w:tr>
      <w:tr>
        <w:tc>
          <w:tcPr>
            <w:tcW w:type="dxa" w:w="3360"/>
          </w:tcPr>
          <w:p>
            <w:r>
              <w:rPr>
                <w:rFonts w:ascii="Calibri" w:hAnsi="Calibri"/>
                <w:color w:val="333333"/>
                <w:sz w:val="18"/>
              </w:rPr>
              <w:t>F6</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1.54</w:t>
            </w:r>
          </w:p>
        </w:tc>
      </w:tr>
      <w:tr>
        <w:tc>
          <w:tcPr>
            <w:tcW w:type="dxa" w:w="3360"/>
          </w:tcPr>
          <w:p>
            <w:r>
              <w:rPr>
                <w:rFonts w:ascii="Calibri" w:hAnsi="Calibri"/>
                <w:color w:val="333333"/>
                <w:sz w:val="18"/>
              </w:rPr>
              <w:t>F6</w:t>
            </w:r>
          </w:p>
        </w:tc>
        <w:tc>
          <w:tcPr>
            <w:tcW w:type="dxa" w:w="3360"/>
          </w:tcPr>
          <w:p>
            <w:r>
              <w:rPr>
                <w:rFonts w:ascii="Calibri" w:hAnsi="Calibri"/>
                <w:color w:val="333333"/>
                <w:sz w:val="18"/>
              </w:rPr>
              <w:t>capped</w:t>
            </w:r>
          </w:p>
        </w:tc>
        <w:tc>
          <w:tcPr>
            <w:tcW w:type="dxa" w:w="3360"/>
          </w:tcPr>
          <w:p>
            <w:r>
              <w:rPr>
                <w:rFonts w:ascii="Calibri" w:hAnsi="Calibri"/>
                <w:color w:val="333333"/>
                <w:sz w:val="18"/>
              </w:rPr>
              <w:t>1.54</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F7</w:t>
            </w:r>
          </w:p>
        </w:tc>
        <w:tc>
          <w:tcPr>
            <w:tcW w:type="dxa" w:w="3360"/>
          </w:tcPr>
          <w:p>
            <w:r>
              <w:rPr>
                <w:rFonts w:ascii="Calibri" w:hAnsi="Calibri"/>
                <w:color w:val="333333"/>
                <w:sz w:val="18"/>
              </w:rPr>
              <w:t>base</w:t>
            </w:r>
          </w:p>
        </w:tc>
        <w:tc>
          <w:tcPr>
            <w:tcW w:type="dxa" w:w="3360"/>
          </w:tcPr>
          <w:p>
            <w:r>
              <w:rPr>
                <w:rFonts w:ascii="Calibri" w:hAnsi="Calibri"/>
                <w:color w:val="333333"/>
                <w:sz w:val="18"/>
              </w:rPr>
              <w:t>0.34</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0.34</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0.34</w:t>
            </w:r>
          </w:p>
        </w:tc>
      </w:tr>
      <w:tr>
        <w:tc>
          <w:tcPr>
            <w:tcW w:type="dxa" w:w="3360"/>
          </w:tcPr>
          <w:p>
            <w:r>
              <w:rPr>
                <w:rFonts w:ascii="Calibri" w:hAnsi="Calibri"/>
                <w:color w:val="333333"/>
                <w:sz w:val="18"/>
              </w:rPr>
              <w:t>F7</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0.88</w:t>
            </w:r>
          </w:p>
        </w:tc>
      </w:tr>
      <w:tr>
        <w:tc>
          <w:tcPr>
            <w:tcW w:type="dxa" w:w="3360"/>
          </w:tcPr>
          <w:p>
            <w:r>
              <w:rPr>
                <w:rFonts w:ascii="Calibri" w:hAnsi="Calibri"/>
                <w:color w:val="333333"/>
                <w:sz w:val="18"/>
              </w:rPr>
              <w:t>F9</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0.88</w:t>
            </w:r>
          </w:p>
        </w:tc>
      </w:tr>
      <w:tr>
        <w:tc>
          <w:tcPr>
            <w:tcW w:type="dxa" w:w="3360"/>
          </w:tcPr>
          <w:p>
            <w:r>
              <w:rPr>
                <w:rFonts w:ascii="Calibri" w:hAnsi="Calibri"/>
                <w:color w:val="333333"/>
                <w:sz w:val="18"/>
              </w:rPr>
              <w:t>F9</w:t>
            </w:r>
          </w:p>
        </w:tc>
        <w:tc>
          <w:tcPr>
            <w:tcW w:type="dxa" w:w="3360"/>
          </w:tcPr>
          <w:p>
            <w:r>
              <w:rPr>
                <w:rFonts w:ascii="Calibri" w:hAnsi="Calibri"/>
                <w:color w:val="333333"/>
                <w:sz w:val="18"/>
              </w:rPr>
              <w:t>capped</w:t>
            </w:r>
          </w:p>
        </w:tc>
        <w:tc>
          <w:tcPr>
            <w:tcW w:type="dxa" w:w="3360"/>
          </w:tcPr>
          <w:p>
            <w:r>
              <w:rPr>
                <w:rFonts w:ascii="Calibri" w:hAnsi="Calibri"/>
                <w:color w:val="333333"/>
                <w:sz w:val="18"/>
              </w:rPr>
              <w:t>0.88</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F10</w:t>
            </w:r>
          </w:p>
        </w:tc>
        <w:tc>
          <w:tcPr>
            <w:tcW w:type="dxa" w:w="3360"/>
          </w:tcPr>
          <w:p>
            <w:r>
              <w:rPr>
                <w:rFonts w:ascii="Calibri" w:hAnsi="Calibri"/>
                <w:color w:val="333333"/>
                <w:sz w:val="18"/>
              </w:rPr>
              <w:t>base</w:t>
            </w:r>
          </w:p>
        </w:tc>
        <w:tc>
          <w:tcPr>
            <w:tcW w:type="dxa" w:w="3360"/>
          </w:tcPr>
          <w:p>
            <w:r>
              <w:rPr>
                <w:rFonts w:ascii="Calibri" w:hAnsi="Calibri"/>
                <w:color w:val="333333"/>
                <w:sz w:val="18"/>
              </w:rPr>
              <w:t>0.15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0.15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0.15</w:t>
            </w:r>
          </w:p>
        </w:tc>
      </w:tr>
    </w:tbl>
    <w:p>
      <w:pPr>
        <w:pStyle w:val="DOHeading3"/>
      </w:pPr>
      <w:r>
        <w:t>Pattern Detection Results</w:t>
      </w:r>
    </w:p>
    <w:p>
      <w:pPr>
        <w:pStyle w:val="DOBody"/>
      </w:pPr>
      <w:r>
        <w:t>No composite patterns detected.</w:t>
      </w:r>
    </w:p>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70 signals, coverage=100%; F3: Signal-driven scoring: 82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0.25x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31 signals, coverage=100%; 3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42 signals, coverage=100%; F10: Signal-driven scoring: 93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16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5.2% - 7.4%</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 xml:space="preserve">Industry base rate: 5.0%. Tier WIN (0-2%): Below base rate. Strong risk profile </w:t>
            </w:r>
          </w:p>
        </w:tc>
      </w:tr>
    </w:tbl>
    <w:p>
      <w:pPr>
        <w:pStyle w:val="DOBody"/>
      </w:pPr>
      <w:r>
        <w:rPr>
          <w:b/>
        </w:rPr>
        <w:t>Claim probability: ELEVATED</w:t>
      </w:r>
      <w:r>
        <w:rPr>
          <w:b/>
          <w:color w:val="EA580C"/>
          <w:sz w:val="18"/>
        </w:rPr>
        <w:t xml:space="preserve"> [HIGH]</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$248.6M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2</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[Apple Inc (Director)]: Prior litigation: Apple Inc: 'securities litigation' found in bio</w:t>
      </w:r>
    </w:p>
    <w:p>
      <w:pPr>
        <w:pStyle w:val="DOBody"/>
      </w:pPr>
      <w:r>
        <w:t>- [Apple Inc (Director)]: Prior litigation: Apple Inc: 'restatement' found in bio</w:t>
      </w:r>
    </w:p>
    <w:p>
      <w:pPr>
        <w:pStyle w:val="DOBody"/>
      </w:pPr>
      <w:r>
        <w:t>- [Apple Inc (Director)]: Prior litigation: Apple Inc: 'fraud' found in bio</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20.95, 'prior_fog': None, 'fog_change': None, 'current_flesch': 17.15, 'prior_flesch': None, 'classification': 'CURRENT_ONLY', 'evidence': 'Current Fog Index: 20.9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Government</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bl>
    <w:p>
      <w:pPr>
        <w:pStyle w:val="DOBody"/>
      </w:pPr>
      <w:r>
        <w:rPr>
          <w:color w:val="666666"/>
          <w:sz w:val="16"/>
        </w:rPr>
        <w:t>Shareholders: 41 triggered checks. Key: Litigation History Profile: 4 (elevated vs benchmark of 0)</w:t>
      </w:r>
    </w:p>
    <w:p>
      <w:pPr>
        <w:pStyle w:val="DOBody"/>
      </w:pPr>
      <w:r>
        <w:rPr>
          <w:color w:val="666666"/>
          <w:sz w:val="16"/>
        </w:rPr>
        <w:t>Regulators: 15 triggered checks. Key: Disclosure Complexity Score: 29 (elevated vs benchmark of 25)</w:t>
      </w:r>
    </w:p>
    <w:p>
      <w:pPr>
        <w:pStyle w:val="DOBody"/>
      </w:pPr>
      <w:r>
        <w:rPr>
          <w:color w:val="666666"/>
          <w:sz w:val="16"/>
        </w:rPr>
        <w:t>Government: 4 triggered checks. Key: Product Concentration: 4 (elevated vs benchmark of 3)</w:t>
      </w:r>
    </w:p>
    <w:p>
      <w:pPr>
        <w:pStyle w:val="DOHeading3"/>
      </w:pPr>
      <w:r>
        <w:t>Bear Cases</w:t>
      </w:r>
    </w:p>
    <w:p>
      <w:pPr>
        <w:pStyle w:val="DOHeading3"/>
      </w:pPr>
      <w:r>
        <w:t>Bear Case: A Disclosure</w:t>
      </w:r>
    </w:p>
    <w:p>
      <w:pPr>
        <w:pStyle w:val="DOBody"/>
      </w:pPr>
      <w:r>
        <w:rPr>
          <w:b/>
        </w:rPr>
        <w:t>Apple Inc.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[BIZ.DEPEND.macro_sensitivity] Supply Chain Complexity (Source: macro_sensitivity_count)</w:t>
      </w:r>
    </w:p>
    <w:p>
      <w:pPr>
        <w:pStyle w:val="DOBody"/>
      </w:pPr>
      <w:r>
        <w:rPr>
          <w:sz w:val="16"/>
        </w:rPr>
        <w:t>4. [BIZ.DEPEND.distribution] Product Concentration (Source: distribution_channels_count)</w:t>
      </w:r>
    </w:p>
    <w:p>
      <w:pPr>
        <w:pStyle w:val="DOBody"/>
      </w:pPr>
      <w:r>
        <w:rPr>
          <w:sz w:val="16"/>
        </w:rPr>
        <w:t>5. [BIZ.EVENT.ipo_exposure] IPO/Offering Exposure Window (Source: event_ipo_exposure_score)</w:t>
      </w:r>
    </w:p>
    <w:p>
      <w:pPr>
        <w:pStyle w:val="DOBody"/>
      </w:pPr>
      <w:r>
        <w:rPr>
          <w:sz w:val="16"/>
        </w:rPr>
        <w:t>6. [BIZ.OPS.workforce] Workforce Distribution (Source: workforce_distribution)</w:t>
      </w:r>
    </w:p>
    <w:p>
      <w:pPr>
        <w:pStyle w:val="DOBody"/>
      </w:pPr>
      <w:r>
        <w:rPr>
          <w:sz w:val="16"/>
        </w:rPr>
        <w:t>7. [BIZ.STRUC.obs_exposure] Off-Balance-Sheet Exposure (Source: obs_exposure_score)</w:t>
      </w:r>
    </w:p>
    <w:p>
      <w:pPr>
        <w:pStyle w:val="DOBody"/>
      </w:pPr>
      <w:r>
        <w:rPr>
          <w:sz w:val="16"/>
        </w:rPr>
        <w:t>8. [EXEC.INSIDER.ceo_net_selling] CEO Net Seller of Stock (Source: value)</w:t>
      </w:r>
    </w:p>
    <w:p>
      <w:pPr>
        <w:pStyle w:val="DOBody"/>
      </w:pPr>
      <w:r>
        <w:rPr>
          <w:sz w:val="16"/>
        </w:rPr>
        <w:t>9. [EXEC.INSIDER.cfo_net_selling] CFO Net Seller of Stock (Source: value)</w:t>
      </w:r>
    </w:p>
    <w:p>
      <w:pPr>
        <w:pStyle w:val="DOBody"/>
      </w:pPr>
      <w:r>
        <w:rPr>
          <w:sz w:val="16"/>
        </w:rPr>
        <w:t>10. [FIN.LIQ.trend] Liquidity Trend (Source: xbrl_current_ratio)</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BIZ.MA.goodwill_balance (Goodwill Balance): Required data not available from filings</w:t>
      </w:r>
    </w:p>
    <w:p>
      <w:pPr>
        <w:pStyle w:val="DOBody"/>
      </w:pPr>
      <w:r>
        <w:rPr>
          <w:b/>
          <w:sz w:val="16"/>
        </w:rPr>
        <w:t xml:space="preserve">  [REQUIRED] </w:t>
      </w:r>
      <w:r>
        <w:rPr>
          <w:sz w:val="16"/>
        </w:rPr>
        <w:t>BIZ.MA.acquisition_spend (Acquisition Spend Magnitude):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EXEC.PROFILE.avg_tenure (Average Executive Tenure):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FIN.ASSET.goodwill_equity_ratio (Goodwill/Intangible as % of Equity): Required data not available from filings</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FIN.DERIV.fair_value_risk (Derivative Fair Value Risk):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FIN.FORENSIC.goodwill_impairment_risk (Goodwill Impairment Risk): Data mapping not configured for this check</w:t>
      </w:r>
    </w:p>
    <w:p>
      <w:pPr>
        <w:pStyle w:val="DOBody"/>
      </w:pPr>
      <w:r>
        <w:rPr>
          <w:b/>
          <w:sz w:val="16"/>
        </w:rPr>
        <w:t xml:space="preserve">  [EVALUATIVE] </w:t>
      </w:r>
      <w:r>
        <w:rPr>
          <w:sz w:val="16"/>
        </w:rPr>
        <w:t>FIN.FORENSIC.intangible_concentration (Intangible Asset Concentration): Data mapping not configured for this check</w:t>
      </w:r>
    </w:p>
    <w:p>
      <w:pPr>
        <w:pStyle w:val="DOBody"/>
      </w:pPr>
      <w:r>
        <w:rPr>
          <w:b/>
          <w:sz w:val="16"/>
        </w:rPr>
        <w:t xml:space="preserve">  [EVALUATIVE] </w:t>
      </w:r>
      <w:r>
        <w:rPr>
          <w:sz w:val="16"/>
        </w:rPr>
        <w:t>FIN.FORENSIC.acquisition_effectiveness (Acquisition Effectiveness):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FIN.FORENSIC.deferred_tax_growth (Deferred Tax Liability Growth):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FIN.RESTRUCT.charges (Restructuring Charges):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[EVALUATIVE] </w:t>
      </w:r>
      <w:r>
        <w:rPr>
          <w:sz w:val="16"/>
        </w:rPr>
        <w:t>FIN.IMPAIR.intangible_writedown (Intangible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11 | Evaluative checks: 102</w:t>
      </w:r>
    </w:p>
    <w:p>
      <w:pPr>
        <w:pStyle w:val="DOBody"/>
      </w:pPr>
      <w:r>
        <w:rPr>
          <w:b/>
        </w:rPr>
        <w:t>Total: 113 checks data-unavailable out of 576 total checks (80%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TECH_DEVELOPMENT_VS_MARKETING_HYPE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AI_PROMISE_DISCONNECT</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TECH_DEVELOPMENT_RISK_DISCLOSURE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TECH_PROTOTYPE_READINESS</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AI_PROMISE_VS_DELIVERY_GAP</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PRODUCT_DEV_AI_DEPENDENCY</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TECH_PRODUCT_SALES_IMPACT</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AI_PRODUCT_TIMELINE_DISCLOSURE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2026-04-01</w:t>
            </w:r>
          </w:p>
        </w:tc>
        <w:tc>
          <w:tcPr>
            <w:tcW w:type="dxa" w:w="2520"/>
          </w:tcPr>
          <w:p>
            <w:r>
              <w:rPr>
                <w:sz w:val="18"/>
              </w:rPr>
              <w:t>EMERGING_TECH_DISCLOSURE_GAP</w:t>
            </w:r>
          </w:p>
        </w:tc>
        <w:tc>
          <w:tcPr>
            <w:tcW w:type="dxa" w:w="2520"/>
          </w:tcPr>
          <w:p>
            <w:r>
              <w:rPr>
                <w:sz w:val="18"/>
              </w:rPr>
              <w:t>Proposed by ingestion of 'blind_spot:NVDA:Whistleblower News</w:t>
            </w:r>
          </w:p>
        </w:tc>
        <w:tc>
          <w:tcPr>
            <w:tcW w:type="dxa" w:w="2520"/>
          </w:tcPr>
          <w:p>
            <w:r>
              <w:rPr>
                <w:sz w:val="18"/>
              </w:rPr>
              <w:t>ingestion_pipeline</w:t>
            </w:r>
          </w:p>
        </w:tc>
      </w:tr>
    </w:tbl>
    <w:p>
      <w:pPr>
        <w:pStyle w:val="DOHeading3"/>
      </w:pPr>
      <w:r>
        <w:t>Discovery Findings</w:t>
      </w:r>
    </w:p>
    <w:p>
      <w:pPr>
        <w:pStyle w:val="DOBody"/>
      </w:pPr>
      <w:r>
        <w:t>4 document(s) analyzed, 6 proposal(s) generated, from blind spot search</w:t>
      </w:r>
    </w:p>
    <w:p>
      <w:pPr>
        <w:pStyle w:val="DOHeading3"/>
      </w:pPr>
      <w:r>
        <w:t>Feedback for AAPL</w:t>
      </w:r>
    </w:p>
    <w:p>
      <w:pPr>
        <w:pStyle w:val="DOBody"/>
      </w:pPr>
      <w:r>
        <w:t>No pending feedback for AAPL.</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Apple Inc. (AAPL)</w:t>
    </w:r>
    <w:r>
      <w:rPr>
        <w:color w:val="999999"/>
        <w:sz w:val="16"/>
      </w:rPr>
      <w:t xml:space="preserve">  |  Generated: 2026-04-02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