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PROFESIONAL DE [NOMBRE DE LA ESCUELA]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INFORME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"[ESCRIBA AQUÍ EL TÍTULO DE LA TESIS]"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[INGENIERO DE ...]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AUTOR: 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 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2026</w:t>
        <w:br/>
        <w:t>PERÚ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realidad de cada variable independiente y dependiente de los últimos 5 a 10 años.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Árbol de problemas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Estructure formalmente la idea de investigación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propósito, meta o fin a lograr (General y Específicos).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la naturaleza, magnitud y trascendencia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las fronteras del estudio para asegurar su viabilidad: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límites Teóricos, Temporales y Espaciales.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Estado del arte. Se recomiendan 20 a 30 investigaciones afines.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Análisis sistemático de las principales teorías existentes.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Elaboración de nuevos constructos fundamentados.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Glosario funcional a la investigación.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Enunciado presumible de la relación entre dos o más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Definición conceptual y operacional, dimensiones e indicadores.</w:t>
            </w:r>
          </w:p>
        </w:tc>
      </w:tr>
    </w:tbl>
    <w:p/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Categorización Apriorística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Categoría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Subcategorías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Códigos</w:t>
            </w:r>
          </w:p>
        </w:tc>
        <w:tc>
          <w:tcPr>
            <w:tcW w:type="dxa" w:w="2914"/>
            <w:shd w:val="clear" w:fill="D9E2F3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Técnica/Instrumento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A]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1.2]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B]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Observación participante</w:t>
            </w:r>
          </w:p>
        </w:tc>
      </w:tr>
      <w:tr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[Categoría 2]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según autor, año]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2.1]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C]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Análisis documental</w:t>
            </w:r>
          </w:p>
        </w:tc>
      </w:tr>
      <w:tr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[Subcategoría 2.2]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[Código D]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Entrevista semi-estructurada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Conjunto de métodos y procedimientos para recopilar y analizar variables.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Procedimientos para lograr los objetivos (Inductivo, Deductivo, etc.).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Universo y subconjunto seleccionado.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Ubicación geográfica e institucional.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Mecanismos para registrar información (Validar por expertos).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Transformación de datos en información utilizable.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Cumplimiento de la Conducta Responsable en Investigación (CRI).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Tablas y figuras simples.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 la categorización cualitativa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Subcategoría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Código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Fragmento representativo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 (participantes)</w:t>
            </w:r>
          </w:p>
        </w:tc>
      </w:tr>
      <w:tr>
        <w:tc>
          <w:tcPr>
            <w:tcW w:type="dxa" w:w="170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1]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A]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Merge/>
            <w:vAlign w:val="center"/>
          </w:tcPr>
          <w:p/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1.2]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B]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[Categoría 2]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[Subcategoría 2.1]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[Código C]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[Cita textual del informante]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[n]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Contrastación de hipótesis.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Confrontación con la experiencia y evidencia empírica.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Comparación con antecedentes.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Responsabilidad por la información emitida.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Sugerencias de acción basadas en las conclusiones. Deben ser viables y concretas.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8.1 Recomendaciones metodológicas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futuros investigadores:</w:t>
            </w:r>
            <w:r>
              <w:rPr>
                <w:sz w:val="20"/>
              </w:rPr>
              <w:t xml:space="preserve"> ampliar muestra, cambiar variables, profundizar en aspectos específicos.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8.2 Recomendaciones académicas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Para la universidad o línea de investigación.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8.3 Recomendaciones prácticas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Dirigidas a la empresa o institución:</w:t>
            </w:r>
            <w:r>
              <w:rPr>
                <w:sz w:val="20"/>
              </w:rPr>
              <w:t xml:space="preserve"> implementar el plan diseñado, realizar mantenimientos periódicos, capacitar al personal. Deben ser acciones concretas y realizables.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Hernández-Sampieri, R., &amp; Mendoza, C. (2018). Metodología de la investigación: las rutas cuantitativa, cualitativa y mixta. McGraw-Hill Education.</w:t>
      </w:r>
    </w:p>
    <w:p>
      <w:pPr>
        <w:ind w:left="720" w:hanging="720"/>
      </w:pPr>
      <w:r>
        <w:t>Creswell, J. W. (2014). Research design: Qualitative, quantitative, and mixed methods approaches (4th ed.). Sage Publications.</w:t>
      </w:r>
    </w:p>
    <w:p>
      <w:pPr>
        <w:ind w:left="720" w:hanging="720"/>
      </w:pPr>
      <w:r>
        <w:t>Ministerio de Educación del Perú. (2020). Orientaciones para la investigación universitaria. MINEDU.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significativamente el tiempo perdido.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Criticidad, AMEF, Programación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Disponibilidad, Confiabilidad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¿Cuál es el diagnóstico inicial midiendo el tiempo perdido?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¿De qué manera realizar un análisis de criticidad?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¿Cómo desarrollar un análisis de modos y efectos de fallas?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AMEF.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diagnóstico permite identificar causas raíz.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El análisis de criticidad prioriza equipos clave.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