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2026</w:t>
        <w:br/>
        <w:t>PERÚ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realidad de cada variable independiente y dependiente de los últimos 5 a 10 años.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Estructure formalmente la idea de investigación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propósito, meta o fin a lograr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la naturaleza, magnitud y trascendencia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límites Teóricos, Temporales y Espaciales.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Estado del arte. Se recomiendan 20 a 30 investigaciones afines.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Análisis sistemático de las principales teorías existentes.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Elaboración de nuevos constructos fundamentados.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Glosario funcional a la investigación.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Enunciado presumible de la relación entre dos o más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Definición conceptual y operacional, dimensiones e indicadores.</w:t>
            </w:r>
          </w:p>
        </w:tc>
      </w:tr>
    </w:tbl>
    <w:p/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Categorización Apriorística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Categoría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Subcategorías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Códigos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Técnica/Instrumento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A]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B]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Observación participante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2]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C]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Análisis documental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D]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Conjunto de métodos y procedimientos para recopilar y analizar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Procedimientos para lograr los objetivos (Inductivo, Deductivo, etc.).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Universo y subconjunto seleccionado.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Ubicación geográfica e institucional.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Mecanismos para registrar información (Validar por expertos).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Transformación de datos en información utilizable.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Cumplimiento de la Conducta Responsable en Investigación (CRI).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Tablas y figuras simples.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 la categorización cualitativa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Fragmento representativo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 (participantes)</w:t>
            </w:r>
          </w:p>
        </w:tc>
      </w:tr>
      <w:tr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A]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B]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2.1]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C]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Contrastación de hipótesis.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Confrontación con la experiencia y evidencia empírica.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Comparación con antecedentes.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Responsabilidad por la información emitida.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