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TEORICO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2.2 Bases teoricas</w:t>
      </w:r>
    </w:p>
    <w:p>
      <w:pPr>
        <w:pStyle w:val="Heading3"/>
        <w:pageBreakBefore w:val="0"/>
        <w:spacing w:before="160" w:after="160"/>
        <w:jc w:val="left"/>
      </w:pPr>
      <w:r>
        <w:rPr>
          <w:rFonts w:ascii="Arial" w:hAnsi="Arial"/>
          <w:b/>
          <w:color w:val="000000"/>
          <w:sz w:val="24"/>
        </w:rPr>
        <w:t>2.2.1 Mantenimiento Centrado en Confiabilidad (RCM)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RCM es una metodologia que identifica fallas funcionales.</w:t>
      </w:r>
    </w:p>
    <w:p>
      <w:pPr>
        <w:pStyle w:val="Heading3"/>
        <w:pageBreakBefore w:val="0"/>
        <w:spacing w:before="160" w:after="160"/>
        <w:jc w:val="left"/>
      </w:pPr>
      <w:r>
        <w:rPr>
          <w:rFonts w:ascii="Arial" w:hAnsi="Arial"/>
          <w:b/>
          <w:color w:val="000000"/>
          <w:sz w:val="24"/>
        </w:rPr>
        <w:t>2.2.2 Analisis de Modos de Fallo y Efectos (AMFE)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El AMFE permite identificar los modos de falla del sistema.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