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spacing w:before="240" w:after="240"/>
        <w:jc w:val="center"/>
      </w:pPr>
      <w:r>
        <w:rPr>
          <w:rFonts w:ascii="Arial" w:hAnsi="Arial"/>
          <w:b/>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ESCENARIO Y PARTICIPANTES:</w:t>
            </w:r>
          </w:p>
        </w:tc>
        <w:tc>
          <w:tcPr>
            <w:tcW w:type="dxa" w:w="6236"/>
          </w:tcPr>
          <w:p>
            <w:r>
              <w:t>[Lugar y personas claves]</w:t>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REVISIÓN DE LITERATURA</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Se recomienda buscar tesis o artículos con enfoque CUALITATIVO o MIXTO que aborden el mismo fenómeno de estudio.</w:t>
            </w:r>
          </w:p>
          <w:p>
            <w:pPr>
              <w:spacing w:after="120"/>
              <w:jc w:val="left"/>
            </w:pPr>
            <w:r>
              <w:rPr>
                <w:b/>
                <w:sz w:val="20"/>
              </w:rPr>
              <w:t>En cada antecedente, resalta:</w:t>
            </w:r>
            <w:r>
              <w:rPr>
                <w:sz w:val="20"/>
              </w:rPr>
            </w:r>
          </w:p>
          <w:p>
            <w:pPr>
              <w:spacing w:after="120"/>
              <w:ind w:left="425" w:hanging="283"/>
              <w:jc w:val="left"/>
            </w:pPr>
            <w:r>
              <w:rPr>
                <w:sz w:val="20"/>
              </w:rPr>
              <w:t xml:space="preserve">• </w:t>
            </w:r>
            <w:r>
              <w:rPr>
                <w:sz w:val="20"/>
              </w:rPr>
              <w:t>El objetivo de comprensión (no de medición).</w:t>
            </w:r>
          </w:p>
          <w:p>
            <w:pPr>
              <w:spacing w:after="120"/>
              <w:ind w:left="425" w:hanging="283"/>
              <w:jc w:val="left"/>
            </w:pPr>
            <w:r>
              <w:rPr>
                <w:sz w:val="20"/>
              </w:rPr>
              <w:t xml:space="preserve">• </w:t>
            </w:r>
            <w:r>
              <w:rPr>
                <w:sz w:val="20"/>
              </w:rPr>
              <w:t>La metodología cualitativa usada (fenomenología, etnografía, etc.).</w:t>
            </w:r>
          </w:p>
          <w:p>
            <w:pPr>
              <w:spacing w:after="120"/>
              <w:ind w:left="425" w:hanging="283"/>
              <w:jc w:val="left"/>
            </w:pPr>
            <w:r>
              <w:rPr>
                <w:sz w:val="20"/>
              </w:rPr>
              <w:t xml:space="preserve">• </w:t>
            </w:r>
            <w:r>
              <w:rPr>
                <w:sz w:val="20"/>
              </w:rPr>
              <w:t>Los hallazgos descriptivos o interpretativos más relevantes (categorías emergentes).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Nacionales e Internacionales (priorizar estudios cualitativos).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Desarrolla las teorías o enfoques que permiten interpretar el fenómeno estudiado.</w:t>
            </w:r>
          </w:p>
          <w:p>
            <w:pPr>
              <w:spacing w:after="120"/>
              <w:jc w:val="left"/>
            </w:pPr>
            <w:r>
              <w:rPr>
                <w:b/>
                <w:sz w:val="20"/>
              </w:rPr>
              <w:t>Diferencia clave:</w:t>
            </w:r>
            <w:r>
              <w:rPr>
                <w:sz w:val="20"/>
              </w:rPr>
              <w:t xml:space="preserve"> No se busca una teoría para 'medir variables', sino marcos interpretativos (ej. Teoría de la Motivación, Interaccionismo Simbólico, Gestión por Procesos) que ayuden a entender las **Categorías de estudio** y sus relaciones.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Teorías sustantivas que fundamentan el fenómeno.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conceptualmente las **CATEGORÍAS** y **SUBCATEGORÍAS** que guiarán la investigación inicial.</w:t>
            </w:r>
          </w:p>
          <w:p>
            <w:pPr>
              <w:spacing w:after="120"/>
              <w:jc w:val="left"/>
            </w:pPr>
            <w:r>
              <w:rPr>
                <w:b/>
                <w:sz w:val="20"/>
              </w:rPr>
              <w:t>Instrucción:</w:t>
            </w:r>
            <w:r>
              <w:rPr>
                <w:sz w:val="20"/>
              </w:rPr>
              <w:t xml:space="preserve"> A diferencia de las variables (que se operacionalizan en números), aquí debes definir el concepto abstracto de la categoría tal como se entiende en tu contexto (ej. 'Percepción de seguridad', 'Cultura organizacional', 'Vivencia del duelo').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Definición de las Categorías Apriorísticas.</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términos técnicos o propios del contexto (jerga de la empresa, términos técnicos específicos) para evitar ambigüedades en la lectura de las entrevistas o resultados.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Glosario funcional.</w:t>
            </w:r>
          </w:p>
        </w:tc>
      </w:tr>
    </w:tbl>
    <w:p/>
    <w:p>
      <w:r>
        <w:br w:type="page"/>
      </w:r>
    </w:p>
    <w:p>
      <w:pPr>
        <w:pStyle w:val="Heading1"/>
        <w:spacing w:before="240" w:after="240"/>
        <w:jc w:val="left"/>
      </w:pPr>
      <w:r>
        <w:rPr>
          <w:rFonts w:ascii="Arial" w:hAnsi="Arial"/>
          <w:b/>
          <w:color w:val="000000"/>
          <w:sz w:val="28"/>
        </w:rPr>
        <w:t>III. HIPÓTESIS Y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capítulo se detalla el abordaje cualitativo para comprender el fenómeno.</w:t>
            </w:r>
          </w:p>
        </w:tc>
      </w:tr>
    </w:tbl>
    <w:p/>
    <w:p>
      <w:pPr>
        <w:pStyle w:val="Heading2"/>
      </w:pPr>
      <w:r>
        <w:rPr>
          <w:rFonts w:ascii="Arial" w:hAnsi="Arial"/>
          <w:color w:val="000000"/>
          <w:sz w:val="24"/>
        </w:rPr>
        <w:t>3.1 Enfoque y Diseño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el enfoque (Cualitativo) y el diseño específico (Fenomenológico, Etnográfico, Teoría Fundamentada, Estudio de Caso, etc.). Justifica por qué este diseño es el más adecuado para responder a tu problema.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Escenario de Estudio y Participantes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contexto (lugar, área, empresa) y quiénes son los informantes clave (Participantes). No se usa fórmula de muestra, sino criterios de inclusión (ej. 'trabajadores con más de 5 años de experiencia').</w:t>
            </w:r>
          </w:p>
        </w:tc>
      </w:tr>
    </w:tbl>
    <w:p/>
    <w:p>
      <w:pPr>
        <w:pStyle w:val="Heading2"/>
      </w:pPr>
      <w:r>
        <w:rPr>
          <w:rFonts w:ascii="Arial" w:hAnsi="Arial"/>
          <w:color w:val="000000"/>
          <w:sz w:val="24"/>
        </w:rPr>
        <w:t>3.3 Matriz de Categorización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Tabla que organiza las Categorías Apriorísticas (conceptos clave a investigar) y sus Subcategorías. Reemplaza a la operacionalización de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CATEGORÍA</w:t>
            </w:r>
          </w:p>
        </w:tc>
        <w:tc>
          <w:tcPr>
            <w:tcW w:type="dxa" w:w="2126"/>
            <w:shd w:val="clear" w:fill="D9D9D9"/>
            <w:vAlign w:val="center"/>
          </w:tcPr>
          <w:p>
            <w:pPr>
              <w:spacing w:before="20" w:after="20" w:line="240" w:lineRule="auto"/>
              <w:jc w:val="center"/>
            </w:pPr>
            <w:r/>
            <w:r>
              <w:rPr>
                <w:rFonts w:ascii="Arial" w:hAnsi="Arial"/>
                <w:b/>
                <w:sz w:val="20"/>
              </w:rPr>
              <w:t>DEFINICIÓN CONCEPTUAL</w:t>
            </w:r>
          </w:p>
        </w:tc>
        <w:tc>
          <w:tcPr>
            <w:tcW w:type="dxa" w:w="2126"/>
            <w:shd w:val="clear" w:fill="D9D9D9"/>
            <w:vAlign w:val="center"/>
          </w:tcPr>
          <w:p>
            <w:pPr>
              <w:spacing w:before="20" w:after="20" w:line="240" w:lineRule="auto"/>
              <w:jc w:val="center"/>
            </w:pPr>
            <w:r/>
            <w:r>
              <w:rPr>
                <w:rFonts w:ascii="Arial" w:hAnsi="Arial"/>
                <w:b/>
                <w:sz w:val="20"/>
              </w:rPr>
              <w:t>SUBCATEGORÍAS</w:t>
            </w:r>
          </w:p>
        </w:tc>
        <w:tc>
          <w:tcPr>
            <w:tcW w:type="dxa" w:w="2126"/>
            <w:shd w:val="clear" w:fill="D9D9D9"/>
            <w:vAlign w:val="center"/>
          </w:tcPr>
          <w:p>
            <w:pPr>
              <w:spacing w:before="20" w:after="20" w:line="240" w:lineRule="auto"/>
              <w:jc w:val="center"/>
            </w:pPr>
            <w:r/>
            <w:r>
              <w:rPr>
                <w:rFonts w:ascii="Arial" w:hAnsi="Arial"/>
                <w:b/>
                <w:sz w:val="20"/>
              </w:rPr>
              <w:t>PREGUNTAS ORIENTADORAS (Instrumento)</w:t>
            </w:r>
          </w:p>
        </w:tc>
      </w:tr>
      <w:tr>
        <w:tc>
          <w:tcPr>
            <w:tcW w:type="dxa" w:w="2126"/>
            <w:vAlign w:val="center"/>
          </w:tcPr>
          <w:p>
            <w:pPr>
              <w:spacing w:before="20" w:after="20" w:line="240" w:lineRule="auto"/>
              <w:jc w:val="left"/>
            </w:pPr>
            <w:r/>
            <w:r>
              <w:rPr>
                <w:rFonts w:ascii="Arial" w:hAnsi="Arial"/>
                <w:b w:val="0"/>
                <w:sz w:val="20"/>
              </w:rPr>
              <w:t>GESTIÓN DEL CAMBIO (Ejemplo)</w:t>
            </w:r>
          </w:p>
        </w:tc>
        <w:tc>
          <w:tcPr>
            <w:tcW w:type="dxa" w:w="2126"/>
            <w:vAlign w:val="center"/>
          </w:tcPr>
          <w:p>
            <w:pPr>
              <w:spacing w:before="20" w:after="20" w:line="240" w:lineRule="auto"/>
              <w:jc w:val="left"/>
            </w:pPr>
            <w:r/>
            <w:r>
              <w:rPr>
                <w:rFonts w:ascii="Arial" w:hAnsi="Arial"/>
                <w:b w:val="0"/>
                <w:sz w:val="20"/>
              </w:rPr>
              <w:t>Proceso mediante el cual la organización transita de un estado actual a uno deseado (Autor, Año).</w:t>
            </w:r>
          </w:p>
        </w:tc>
        <w:tc>
          <w:tcPr>
            <w:tcW w:type="dxa" w:w="2126"/>
            <w:vAlign w:val="center"/>
          </w:tcPr>
          <w:p>
            <w:pPr>
              <w:spacing w:before="20" w:after="20" w:line="240" w:lineRule="auto"/>
              <w:jc w:val="left"/>
            </w:pPr>
            <w:r/>
            <w:r>
              <w:rPr>
                <w:rFonts w:ascii="Arial" w:hAnsi="Arial"/>
                <w:b w:val="0"/>
                <w:sz w:val="20"/>
              </w:rPr>
              <w:t>- Resistencia al cambio</w:t>
            </w:r>
          </w:p>
          <w:p>
            <w:pPr>
              <w:spacing w:before="20" w:after="20" w:line="240" w:lineRule="auto"/>
              <w:jc w:val="left"/>
            </w:pPr>
            <w:r>
              <w:rPr>
                <w:rFonts w:ascii="Arial" w:hAnsi="Arial"/>
                <w:b w:val="0"/>
                <w:sz w:val="20"/>
              </w:rPr>
              <w:t>- Adaptación tecnológica</w:t>
            </w:r>
          </w:p>
          <w:p>
            <w:pPr>
              <w:spacing w:before="20" w:after="20" w:line="240" w:lineRule="auto"/>
              <w:jc w:val="left"/>
            </w:pPr>
            <w:r>
              <w:rPr>
                <w:rFonts w:ascii="Arial" w:hAnsi="Arial"/>
                <w:b w:val="0"/>
                <w:sz w:val="20"/>
              </w:rPr>
              <w:t>- Comunicación interna</w:t>
            </w:r>
          </w:p>
        </w:tc>
        <w:tc>
          <w:tcPr>
            <w:tcW w:type="dxa" w:w="2126"/>
            <w:vAlign w:val="center"/>
          </w:tcPr>
          <w:p>
            <w:pPr>
              <w:spacing w:before="20" w:after="20" w:line="240" w:lineRule="auto"/>
              <w:jc w:val="left"/>
            </w:pPr>
            <w:r/>
            <w:r>
              <w:rPr>
                <w:rFonts w:ascii="Arial" w:hAnsi="Arial"/>
                <w:b w:val="0"/>
                <w:sz w:val="20"/>
              </w:rPr>
              <w:t>¿Cómo percibió el equipo la llegada de la nueva maquinaria?</w:t>
            </w:r>
          </w:p>
          <w:p>
            <w:pPr>
              <w:spacing w:before="20" w:after="20" w:line="240" w:lineRule="auto"/>
              <w:jc w:val="left"/>
            </w:pPr>
            <w:r>
              <w:rPr>
                <w:rFonts w:ascii="Arial" w:hAnsi="Arial"/>
                <w:b w:val="0"/>
                <w:sz w:val="20"/>
              </w:rPr>
              <w:t>¿Qué canales de comunicación fueron más efectivos?</w:t>
            </w:r>
          </w:p>
        </w:tc>
      </w:tr>
    </w:tbl>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E2F3"/>
            <w:vAlign w:val="center"/>
          </w:tcPr>
          <w:p>
            <w:pPr>
              <w:spacing w:before="20" w:after="20" w:line="240" w:lineRule="auto"/>
              <w:jc w:val="center"/>
            </w:pPr>
            <w:r/>
            <w:r>
              <w:rPr>
                <w:rFonts w:ascii="Arial" w:hAnsi="Arial"/>
                <w:b/>
                <w:sz w:val="18"/>
              </w:rPr>
              <w:t>Categoría</w:t>
            </w:r>
          </w:p>
        </w:tc>
        <w:tc>
          <w:tcPr>
            <w:tcW w:type="dxa" w:w="2914"/>
            <w:shd w:val="clear" w:fill="D9E2F3"/>
            <w:vAlign w:val="center"/>
          </w:tcPr>
          <w:p>
            <w:pPr>
              <w:spacing w:before="20" w:after="20" w:line="240" w:lineRule="auto"/>
              <w:jc w:val="center"/>
            </w:pPr>
            <w:r/>
            <w:r>
              <w:rPr>
                <w:rFonts w:ascii="Arial" w:hAnsi="Arial"/>
                <w:b/>
                <w:sz w:val="18"/>
              </w:rPr>
              <w:t>Definición Conceptual</w:t>
            </w:r>
          </w:p>
        </w:tc>
        <w:tc>
          <w:tcPr>
            <w:tcW w:type="dxa" w:w="2914"/>
            <w:shd w:val="clear" w:fill="D9E2F3"/>
            <w:vAlign w:val="center"/>
          </w:tcPr>
          <w:p>
            <w:pPr>
              <w:spacing w:before="20" w:after="20" w:line="240" w:lineRule="auto"/>
              <w:jc w:val="center"/>
            </w:pPr>
            <w:r/>
            <w:r>
              <w:rPr>
                <w:rFonts w:ascii="Arial" w:hAnsi="Arial"/>
                <w:b/>
                <w:sz w:val="18"/>
              </w:rPr>
              <w:t>Subcategorías</w:t>
            </w:r>
          </w:p>
        </w:tc>
        <w:tc>
          <w:tcPr>
            <w:tcW w:type="dxa" w:w="2914"/>
            <w:shd w:val="clear" w:fill="D9E2F3"/>
            <w:vAlign w:val="center"/>
          </w:tcPr>
          <w:p>
            <w:pPr>
              <w:spacing w:before="20" w:after="20" w:line="240" w:lineRule="auto"/>
              <w:jc w:val="center"/>
            </w:pPr>
            <w:r/>
            <w:r>
              <w:rPr>
                <w:rFonts w:ascii="Arial" w:hAnsi="Arial"/>
                <w:b/>
                <w:sz w:val="18"/>
              </w:rPr>
              <w:t>Códigos</w:t>
            </w:r>
          </w:p>
        </w:tc>
        <w:tc>
          <w:tcPr>
            <w:tcW w:type="dxa" w:w="2914"/>
            <w:shd w:val="clear" w:fill="D9E2F3"/>
            <w:vAlign w:val="center"/>
          </w:tcPr>
          <w:p>
            <w:pPr>
              <w:spacing w:before="20" w:after="20" w:line="240" w:lineRule="auto"/>
              <w:jc w:val="center"/>
            </w:pPr>
            <w:r/>
            <w:r>
              <w:rPr>
                <w:rFonts w:ascii="Arial" w:hAnsi="Arial"/>
                <w:b/>
                <w:sz w:val="18"/>
              </w:rPr>
              <w:t>Técnica/Instrumento</w:t>
            </w:r>
          </w:p>
        </w:tc>
      </w:tr>
      <w:tr>
        <w:tc>
          <w:tcPr>
            <w:tcW w:type="dxa" w:w="2914"/>
            <w:vMerge w:val="restart"/>
            <w:vAlign w:val="center"/>
          </w:tcPr>
          <w:p>
            <w:pPr>
              <w:spacing w:before="20" w:after="20" w:line="240" w:lineRule="auto"/>
              <w:jc w:val="left"/>
            </w:pPr>
            <w:r/>
            <w:r>
              <w:rPr>
                <w:rFonts w:ascii="Arial" w:hAnsi="Arial"/>
                <w:b w:val="0"/>
                <w:sz w:val="18"/>
              </w:rPr>
              <w:t>[Categoría 1]</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1.1]</w:t>
            </w:r>
          </w:p>
        </w:tc>
        <w:tc>
          <w:tcPr>
            <w:tcW w:type="dxa" w:w="2914"/>
            <w:vAlign w:val="center"/>
          </w:tcPr>
          <w:p>
            <w:pPr>
              <w:spacing w:before="20" w:after="20" w:line="240" w:lineRule="auto"/>
              <w:jc w:val="left"/>
            </w:pPr>
            <w:r/>
            <w:r>
              <w:rPr>
                <w:rFonts w:ascii="Arial" w:hAnsi="Arial"/>
                <w:b w:val="0"/>
                <w:sz w:val="18"/>
              </w:rPr>
              <w:t>[Código A]</w:t>
            </w:r>
          </w:p>
        </w:tc>
        <w:tc>
          <w:tcPr>
            <w:tcW w:type="dxa" w:w="2914"/>
            <w:vAlign w:val="center"/>
          </w:tcPr>
          <w:p>
            <w:pPr>
              <w:spacing w:before="20" w:after="20" w:line="240" w:lineRule="auto"/>
              <w:jc w:val="left"/>
            </w:pPr>
            <w:r/>
            <w:r>
              <w:rPr>
                <w:rFonts w:ascii="Arial" w:hAnsi="Arial"/>
                <w:b w:val="0"/>
                <w:sz w:val="18"/>
              </w:rPr>
              <w:t>Entrevista semi-estructurada</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1.2]</w:t>
            </w:r>
          </w:p>
        </w:tc>
        <w:tc>
          <w:tcPr>
            <w:tcW w:type="dxa" w:w="2914"/>
            <w:vAlign w:val="center"/>
          </w:tcPr>
          <w:p>
            <w:pPr>
              <w:spacing w:before="20" w:after="20" w:line="240" w:lineRule="auto"/>
              <w:jc w:val="left"/>
            </w:pPr>
            <w:r/>
            <w:r>
              <w:rPr>
                <w:rFonts w:ascii="Arial" w:hAnsi="Arial"/>
                <w:b w:val="0"/>
                <w:sz w:val="18"/>
              </w:rPr>
              <w:t>[Código B]</w:t>
            </w:r>
          </w:p>
        </w:tc>
        <w:tc>
          <w:tcPr>
            <w:tcW w:type="dxa" w:w="2914"/>
            <w:vAlign w:val="center"/>
          </w:tcPr>
          <w:p>
            <w:pPr>
              <w:spacing w:before="20" w:after="20" w:line="240" w:lineRule="auto"/>
              <w:jc w:val="left"/>
            </w:pPr>
            <w:r/>
            <w:r>
              <w:rPr>
                <w:rFonts w:ascii="Arial" w:hAnsi="Arial"/>
                <w:b w:val="0"/>
                <w:sz w:val="18"/>
              </w:rPr>
              <w:t>Observación participante</w:t>
            </w:r>
          </w:p>
        </w:tc>
      </w:tr>
      <w:tr>
        <w:tc>
          <w:tcPr>
            <w:tcW w:type="dxa" w:w="2914"/>
            <w:vMerge w:val="restart"/>
            <w:vAlign w:val="center"/>
          </w:tcPr>
          <w:p>
            <w:pPr>
              <w:spacing w:before="20" w:after="20" w:line="240" w:lineRule="auto"/>
              <w:jc w:val="left"/>
            </w:pPr>
            <w:r/>
            <w:r>
              <w:rPr>
                <w:rFonts w:ascii="Arial" w:hAnsi="Arial"/>
                <w:b w:val="0"/>
                <w:sz w:val="18"/>
              </w:rPr>
              <w:t>[Categoría 2]</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2.1]</w:t>
            </w:r>
          </w:p>
        </w:tc>
        <w:tc>
          <w:tcPr>
            <w:tcW w:type="dxa" w:w="2914"/>
            <w:vAlign w:val="center"/>
          </w:tcPr>
          <w:p>
            <w:pPr>
              <w:spacing w:before="20" w:after="20" w:line="240" w:lineRule="auto"/>
              <w:jc w:val="left"/>
            </w:pPr>
            <w:r/>
            <w:r>
              <w:rPr>
                <w:rFonts w:ascii="Arial" w:hAnsi="Arial"/>
                <w:b w:val="0"/>
                <w:sz w:val="18"/>
              </w:rPr>
              <w:t>[Código C]</w:t>
            </w:r>
          </w:p>
        </w:tc>
        <w:tc>
          <w:tcPr>
            <w:tcW w:type="dxa" w:w="2914"/>
            <w:vAlign w:val="center"/>
          </w:tcPr>
          <w:p>
            <w:pPr>
              <w:spacing w:before="20" w:after="20" w:line="240" w:lineRule="auto"/>
              <w:jc w:val="left"/>
            </w:pPr>
            <w:r/>
            <w:r>
              <w:rPr>
                <w:rFonts w:ascii="Arial" w:hAnsi="Arial"/>
                <w:b w:val="0"/>
                <w:sz w:val="18"/>
              </w:rPr>
              <w:t>Análisis documental</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2.2]</w:t>
            </w:r>
          </w:p>
        </w:tc>
        <w:tc>
          <w:tcPr>
            <w:tcW w:type="dxa" w:w="2914"/>
            <w:vAlign w:val="center"/>
          </w:tcPr>
          <w:p>
            <w:pPr>
              <w:spacing w:before="20" w:after="20" w:line="240" w:lineRule="auto"/>
              <w:jc w:val="left"/>
            </w:pPr>
            <w:r/>
            <w:r>
              <w:rPr>
                <w:rFonts w:ascii="Arial" w:hAnsi="Arial"/>
                <w:b w:val="0"/>
                <w:sz w:val="18"/>
              </w:rPr>
              <w:t>[Código D]</w:t>
            </w:r>
          </w:p>
        </w:tc>
        <w:tc>
          <w:tcPr>
            <w:tcW w:type="dxa" w:w="2914"/>
            <w:vAlign w:val="center"/>
          </w:tcPr>
          <w:p>
            <w:pPr>
              <w:spacing w:before="20" w:after="20" w:line="240" w:lineRule="auto"/>
              <w:jc w:val="left"/>
            </w:pPr>
            <w:r/>
            <w:r>
              <w:rPr>
                <w:rFonts w:ascii="Arial" w:hAnsi="Arial"/>
                <w:b w:val="0"/>
                <w:sz w:val="18"/>
              </w:rPr>
              <w:t>Entrevista semi-estructurada</w:t>
            </w:r>
          </w:p>
        </w:tc>
      </w:tr>
    </w:tbl>
    <w:p>
      <w:pPr>
        <w:spacing w:before="80" w:after="160"/>
      </w:pPr>
      <w:r>
        <w:rPr>
          <w:rFonts w:ascii="Arial" w:hAnsi="Arial"/>
          <w:i/>
          <w:sz w:val="18"/>
        </w:rPr>
        <w:t>Fuente: Elaboración propia</w:t>
      </w:r>
    </w:p>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2"/>
      </w:pPr>
      <w:r>
        <w:rPr>
          <w:rFonts w:ascii="Arial" w:hAnsi="Arial"/>
          <w:color w:val="000000"/>
          <w:sz w:val="24"/>
        </w:rPr>
        <w:t>3.4 Técnicas e instrumentos de recolección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Técnicas:</w:t>
            </w:r>
            <w:r>
              <w:rPr>
                <w:sz w:val="20"/>
              </w:rPr>
              <w:t xml:space="preserve"> Entrevista semiestructurada, Observación participante, Focus Group, Análisis documental.</w:t>
            </w:r>
          </w:p>
          <w:p>
            <w:pPr>
              <w:spacing w:after="120"/>
              <w:jc w:val="left"/>
            </w:pPr>
            <w:r>
              <w:rPr>
                <w:b/>
                <w:sz w:val="20"/>
              </w:rPr>
              <w:t>Instrumentos:</w:t>
            </w:r>
            <w:r>
              <w:rPr>
                <w:sz w:val="20"/>
              </w:rPr>
              <w:t xml:space="preserve"> Guía de entrevista (preguntas abiertas), Guía de observación, Ficha de bitácora.</w:t>
            </w:r>
          </w:p>
        </w:tc>
      </w:tr>
    </w:tbl>
    <w:p/>
    <w:p>
      <w:pPr>
        <w:pStyle w:val="Heading2"/>
      </w:pPr>
      <w:r>
        <w:rPr>
          <w:rFonts w:ascii="Arial" w:hAnsi="Arial"/>
          <w:color w:val="000000"/>
          <w:sz w:val="24"/>
        </w:rPr>
        <w:t>3.5 Procedimiento de recolección y análisis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Describe los pasos:</w:t>
            </w:r>
            <w:r>
              <w:rPr>
                <w:sz w:val="20"/>
              </w:rPr>
              <w:t xml:space="preserve"> 1. Inmersión en el campo. 2. Aplicación de entrevistas. 3. Transcripción. 4. Codificación (abierta, axial). 5. Triangulación de datos.</w:t>
            </w:r>
          </w:p>
        </w:tc>
      </w:tr>
    </w:tbl>
    <w:p/>
    <w:p>
      <w:pPr>
        <w:pStyle w:val="Heading2"/>
      </w:pPr>
      <w:r>
        <w:rPr>
          <w:rFonts w:ascii="Arial" w:hAnsi="Arial"/>
          <w:color w:val="000000"/>
          <w:sz w:val="24"/>
        </w:rPr>
        <w:t>3.6 Rigor Científico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Criterios de calidad que reemplazan a la validez y confiabilidad estadística:</w:t>
            </w:r>
          </w:p>
          <w:p>
            <w:pPr>
              <w:spacing w:after="120"/>
              <w:ind w:left="425" w:hanging="283"/>
              <w:jc w:val="left"/>
            </w:pPr>
            <w:r>
              <w:rPr>
                <w:sz w:val="20"/>
              </w:rPr>
              <w:t xml:space="preserve">• </w:t>
            </w:r>
            <w:r>
              <w:rPr>
                <w:sz w:val="20"/>
              </w:rPr>
              <w:t>Credibilidad (Validez interna)</w:t>
            </w:r>
          </w:p>
          <w:p>
            <w:pPr>
              <w:spacing w:after="120"/>
              <w:ind w:left="425" w:hanging="283"/>
              <w:jc w:val="left"/>
            </w:pPr>
            <w:r>
              <w:rPr>
                <w:sz w:val="20"/>
              </w:rPr>
              <w:t xml:space="preserve">• </w:t>
            </w:r>
            <w:r>
              <w:rPr>
                <w:sz w:val="20"/>
              </w:rPr>
              <w:t>Transferibilidad (Validez externa)</w:t>
            </w:r>
          </w:p>
          <w:p>
            <w:pPr>
              <w:spacing w:after="120"/>
              <w:ind w:left="425" w:hanging="283"/>
              <w:jc w:val="left"/>
            </w:pPr>
            <w:r>
              <w:rPr>
                <w:sz w:val="20"/>
              </w:rPr>
              <w:t xml:space="preserve">• </w:t>
            </w:r>
            <w:r>
              <w:rPr>
                <w:sz w:val="20"/>
              </w:rPr>
              <w:t>Dependencia (Consistencia)</w:t>
            </w:r>
          </w:p>
          <w:p>
            <w:pPr>
              <w:spacing w:after="120"/>
              <w:ind w:left="425" w:hanging="283"/>
              <w:jc w:val="left"/>
            </w:pPr>
            <w:r>
              <w:rPr>
                <w:sz w:val="20"/>
              </w:rPr>
              <w:t xml:space="preserve">• </w:t>
            </w:r>
            <w:r>
              <w:rPr>
                <w:sz w:val="20"/>
              </w:rPr>
              <w:t>Confirmabilidad (Objetividad)</w:t>
            </w:r>
          </w:p>
        </w:tc>
      </w:tr>
    </w:tbl>
    <w:p/>
    <w:p>
      <w:pPr>
        <w:pStyle w:val="Heading2"/>
      </w:pPr>
      <w:r>
        <w:rPr>
          <w:rFonts w:ascii="Arial" w:hAnsi="Arial"/>
          <w:color w:val="000000"/>
          <w:sz w:val="24"/>
        </w:rPr>
        <w:t>3.7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Consentimiento informado, confidencialidad de los participantes (uso de códigos en lugar de nombres) y honestidad en el manejo de la información.</w:t>
            </w:r>
          </w:p>
        </w:tc>
      </w:tr>
    </w:tbl>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Resumido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Detallado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CATEGORÍA PRINCIPAL</w:t>
            </w:r>
          </w:p>
          <w:p>
            <w:pPr>
              <w:spacing w:before="20" w:after="20" w:line="240" w:lineRule="auto"/>
              <w:jc w:val="left"/>
            </w:pPr>
            <w:r>
              <w:rPr>
                <w:rFonts w:ascii="Arial" w:hAnsi="Arial"/>
                <w:b w:val="0"/>
                <w:sz w:val="18"/>
              </w:rPr>
              <w:t>Dim: Subcategoría 1, Subcategoría 2</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CATEGORÍA SECUNDARIA (Si aplica)</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Cualitativo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