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descriptive-findings"/>
    <w:p>
      <w:pPr>
        <w:pStyle w:val="Heading1"/>
      </w:pPr>
      <w:r>
        <w:t xml:space="preserve">Descriptive Findings</w:t>
      </w:r>
    </w:p>
    <w:bookmarkStart w:id="20" w:name="narrative-summary"/>
    <w:p>
      <w:pPr>
        <w:pStyle w:val="Heading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Heading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2025-12-26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Heading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show varying availability: time of day was</w:t>
      </w:r>
      <w:r>
        <w:t xml:space="preserve"> </w:t>
      </w:r>
      <w:r>
        <w:t xml:space="preserve">reported for 46 of 50 reports (92%); flight phase was reported for 47 of</w:t>
      </w:r>
      <w:r>
        <w:t xml:space="preserve"> </w:t>
      </w:r>
      <w:r>
        <w:t xml:space="preserve">50 reports (94%), with 3 coded as</w:t>
      </w:r>
      <w:r>
        <w:t xml:space="preserve"> </w:t>
      </w:r>
      <w:r>
        <w:t xml:space="preserve">‘Unknown’</w:t>
      </w:r>
      <w:r>
        <w:t xml:space="preserve">; airspace class was reported</w:t>
      </w:r>
      <w:r>
        <w:t xml:space="preserve"> </w:t>
      </w:r>
      <w:r>
        <w:t xml:space="preserve">for 30 of 50 reports (60%), with 20 coded as</w:t>
      </w:r>
      <w:r>
        <w:t xml:space="preserve"> </w:t>
      </w:r>
      <w:r>
        <w:t xml:space="preserve">‘Unknown’</w:t>
      </w:r>
      <w:r>
        <w:t xml:space="preserve">; and light</w:t>
      </w:r>
      <w:r>
        <w:t xml:space="preserve"> </w:t>
      </w:r>
      <w:r>
        <w:t xml:space="preserve">conditions were reported for 26 of 50 reports (52%).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Heading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reported (46%). Four reports lacked time of day data.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47 reports with phase reported (49%), followed by Enroute (13 reports, 28%). Three reports were coded as</w:t>
      </w:r>
      <w:r>
        <w:t xml:space="preserve"> </w:t>
      </w:r>
      <w:r>
        <w:t xml:space="preserve">‘Unknown’</w:t>
      </w:r>
      <w:r>
        <w:t xml:space="preserve"> </w:t>
      </w:r>
      <w:r>
        <w:t xml:space="preserve">(missing/not reported).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30 reports with airspace class reported (43%). Twenty reports were coded as</w:t>
      </w:r>
      <w:r>
        <w:t xml:space="preserve"> </w:t>
      </w:r>
      <w:r>
        <w:t xml:space="preserve">‘Unknown’</w:t>
      </w:r>
      <w:r>
        <w:t xml:space="preserve"> </w:t>
      </w:r>
      <w:r>
        <w:t xml:space="preserve">(missing/not reported).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reported (73%). Twenty-four reports lacked light condition data.</w:t>
      </w:r>
    </w:p>
    <w:bookmarkEnd w:id="23"/>
    <w:bookmarkStart w:id="24" w:name="detection-and-reporting-patterns"/>
    <w:p>
      <w:pPr>
        <w:pStyle w:val="Heading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Heading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Heading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Heading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Heading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Heading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Heading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Heading2"/>
      </w:pPr>
      <w:r>
        <w:t xml:space="preserve">Dominant event and contributing-factor themes</w:t>
      </w:r>
    </w:p>
    <w:bookmarkStart w:id="31" w:name="top-anomaly-tags"/>
    <w:p>
      <w:pPr>
        <w:pStyle w:val="Heading3"/>
      </w:pPr>
      <w:r>
        <w:t xml:space="preserve">Top anomaly tags</w:t>
      </w:r>
    </w:p>
    <w:p>
      <w:pPr>
        <w:pStyle w:val="FirstParagraph"/>
      </w:pPr>
      <w:r>
        <w:t xml:space="preserve">Counts reflect report-level presence (each tag counted once per report,</w:t>
      </w:r>
      <w:r>
        <w:t xml:space="preserve"> </w:t>
      </w:r>
      <w:r>
        <w:t xml:space="preserve">regardless of how many times it appears within that report).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of 50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of 50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of 50 reports (82%)</w:t>
      </w:r>
    </w:p>
    <w:bookmarkEnd w:id="31"/>
    <w:bookmarkStart w:id="32" w:name="top-contributing-factors"/>
    <w:p>
      <w:pPr>
        <w:pStyle w:val="Heading3"/>
      </w:pPr>
      <w:r>
        <w:t xml:space="preserve">Top contributing factors</w:t>
      </w:r>
    </w:p>
    <w:p>
      <w:pPr>
        <w:pStyle w:val="FirstParagraph"/>
      </w:pPr>
      <w:r>
        <w:t xml:space="preserve">Counts reflect report-level presence (each tag counted once per report,</w:t>
      </w:r>
      <w:r>
        <w:t xml:space="preserve"> </w:t>
      </w:r>
      <w:r>
        <w:t xml:space="preserve">regardless of how many times it appears within that report).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of 50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of 50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of 50 reports (14%)</w:t>
      </w:r>
    </w:p>
    <w:bookmarkEnd w:id="32"/>
    <w:bookmarkStart w:id="33" w:name="co-occurring-contributing-factor-themes"/>
    <w:p>
      <w:pPr>
        <w:pStyle w:val="Heading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of 50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of 50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of 50 reports (10%)</w:t>
      </w:r>
    </w:p>
    <w:bookmarkEnd w:id="33"/>
    <w:bookmarkEnd w:id="34"/>
    <w:bookmarkStart w:id="35" w:name="Xfbd01dfaad1d4ae26d9e63c69b008cfca8469cc"/>
    <w:p>
      <w:pPr>
        <w:pStyle w:val="Heading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3960"/>
        <w:gridCol w:w="968"/>
        <w:gridCol w:w="704"/>
        <w:gridCol w:w="1056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range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2024-11-01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range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2025-03-01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2 -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2 -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2 -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2 -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2 -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1 -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1 -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1 -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1 -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Aircraft 1 -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text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text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text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text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text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- n_vars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- mean_pct_present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- median_pct_present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- min_pct_present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- max_pct_present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(92%)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(96%)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ac1__airspace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(60%)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environment__light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(52%)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environment__flight_conditions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(64%)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assessments__contributing_factors_situations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assessments__primary_problem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events__miss_distance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miss_horizontal_ft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(30%)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miss_vertical_ft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(30%)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(94%)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2"/>
        <w:gridCol w:w="2172"/>
        <w:gridCol w:w="560"/>
        <w:gridCol w:w="841"/>
        <w:gridCol w:w="210"/>
        <w:gridCol w:w="770"/>
        <w:gridCol w:w="11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n_available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pct_of_all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pct_of_available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0001-0600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airspace_class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Daylight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environment__flight_conditions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environment__flight_conditions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environment__flight_conditions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Air Traffic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Air Traffic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Carrier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Operator (UAS)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Recreational / Hobbyist (UAS)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Taxi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846"/>
        <w:gridCol w:w="1544"/>
        <w:gridCol w:w="647"/>
        <w:gridCol w:w="498"/>
        <w:gridCol w:w="398"/>
        <w:gridCol w:w="846"/>
        <w:gridCol w:w="846"/>
        <w:gridCol w:w="149"/>
        <w:gridCol w:w="398"/>
        <w:gridCol w:w="3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crosstab_name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row_var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col_var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col_level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n_available_rows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n_available_cols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Taxi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Operator (UAS)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Operator (UAS)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Operator (UAS)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0001-0600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Recreational / Hobbyist (UAS)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Recreational / Hobbyist (UAS)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reporter_org_by_time_block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reporter_org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0001-0600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Air Traffic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Air Traffic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detector_by_phase_simple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0"/>
        <w:gridCol w:w="3535"/>
        <w:gridCol w:w="565"/>
        <w:gridCol w:w="848"/>
        <w:gridCol w:w="424"/>
        <w:gridCol w:w="424"/>
        <w:gridCol w:w="495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n_available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x_yes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p_hat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NMAC tag present in events__anomaly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Evasive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Evasive Action in events__result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ATC assistance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ATC Assistance or Clarification in events__result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0"/>
        <w:gridCol w:w="2134"/>
        <w:gridCol w:w="550"/>
        <w:gridCol w:w="550"/>
        <w:gridCol w:w="482"/>
        <w:gridCol w:w="688"/>
        <w:gridCol w:w="688"/>
        <w:gridCol w:w="688"/>
        <w:gridCol w:w="9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context_var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context_level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x_nmac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p_hat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plot_included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0.6086957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0.2222222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Enroute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0.4615385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0.2320607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0.6576198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phase_simple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0.0614919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Automation Air Traffic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0.7934507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Air Traffic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0.6576198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Flight Crew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0.7586207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0.5789240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UAS Crew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0.2981653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events__detector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0001-0600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0.0614919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0601-1200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0.3571429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0.1634473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0.6123558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1201-1800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0.2446997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0.6345345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1801-2400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0.3057424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0.8631557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0.3006418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0.9544127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00:24:06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scripts/eda/10_build_inventory_captions.R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2025-12-27T05:29:11Z</dcterms:created>
  <dcterms:modified xsi:type="dcterms:W3CDTF">2025-12-27T05:29:11Z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