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10368"/>
      </w:tblGrid>
      <w:tr w:rsidR="00D4205C" w14:paraId="336A73DE" w14:textId="77777777">
        <w:trPr>
          <w:jc w:val="center"/>
        </w:trPr>
        <w:tc>
          <w:tcPr>
            <w:tcW w:w="10368" w:type="dxa"/>
            <w:tcBorders>
              <w:top w:val="nil"/>
              <w:left w:val="nil"/>
              <w:bottom w:val="nil"/>
              <w:right w:val="nil"/>
            </w:tcBorders>
            <w:shd w:val="clear" w:color="auto" w:fill="081A2B"/>
            <w:tcMar>
              <w:top w:w="450" w:type="dxa"/>
              <w:left w:w="420" w:type="dxa"/>
              <w:bottom w:w="450" w:type="dxa"/>
              <w:right w:w="420" w:type="dxa"/>
            </w:tcMar>
            <w:vAlign w:val="center"/>
          </w:tcPr>
          <w:p w14:paraId="4C838685" w14:textId="77777777" w:rsidR="00D4205C" w:rsidRDefault="005224D4">
            <w:pPr>
              <w:jc w:val="center"/>
            </w:pPr>
            <w:r>
              <w:rPr>
                <w:rFonts w:ascii="Aptos Display" w:eastAsia="Aptos Display" w:hAnsi="Aptos Display"/>
                <w:b/>
                <w:color w:val="FFFFFF"/>
                <w:sz w:val="56"/>
              </w:rPr>
              <w:t>CANCER RESEARCH</w:t>
            </w:r>
            <w:r>
              <w:rPr>
                <w:rFonts w:ascii="Aptos Display" w:eastAsia="Aptos Display" w:hAnsi="Aptos Display"/>
                <w:b/>
                <w:color w:val="FFFFFF"/>
                <w:sz w:val="56"/>
              </w:rPr>
              <w:br/>
              <w:t>&amp; TREATMENT OPTIONS</w:t>
            </w:r>
          </w:p>
          <w:p w14:paraId="6CCC7242" w14:textId="77777777" w:rsidR="00D4205C" w:rsidRDefault="005224D4">
            <w:pPr>
              <w:jc w:val="center"/>
            </w:pPr>
            <w:r>
              <w:rPr>
                <w:color w:val="D9F7FA"/>
                <w:sz w:val="26"/>
              </w:rPr>
              <w:t>A balanced, outside-the-box report for prevention, early detection,</w:t>
            </w:r>
            <w:r>
              <w:rPr>
                <w:color w:val="D9F7FA"/>
                <w:sz w:val="26"/>
              </w:rPr>
              <w:br/>
              <w:t>clinical due diligence, integrative oncology, and smarter questions.</w:t>
            </w:r>
          </w:p>
          <w:p w14:paraId="7A4834ED" w14:textId="77777777" w:rsidR="00D4205C" w:rsidRDefault="005224D4">
            <w:pPr>
              <w:jc w:val="center"/>
            </w:pPr>
            <w:r>
              <w:rPr>
                <w:b/>
                <w:color w:val="D6A229"/>
                <w:sz w:val="22"/>
              </w:rPr>
              <w:t>PROVEN DOES NOT MEAN RISK-FREE  |  ALTERNATIVE DOES NOT MEAN PROVEN</w:t>
            </w:r>
          </w:p>
          <w:p w14:paraId="3F23581E" w14:textId="77777777" w:rsidR="00D4205C" w:rsidRDefault="005224D4">
            <w:pPr>
              <w:jc w:val="center"/>
            </w:pPr>
            <w:r>
              <w:rPr>
                <w:b/>
                <w:color w:val="FFFFFF"/>
                <w:sz w:val="19"/>
              </w:rPr>
              <w:t xml:space="preserve">  Prevention First  </w:t>
            </w:r>
          </w:p>
          <w:p w14:paraId="49F83FA7" w14:textId="77777777" w:rsidR="00D4205C" w:rsidRDefault="005224D4">
            <w:pPr>
              <w:jc w:val="center"/>
            </w:pPr>
            <w:r>
              <w:rPr>
                <w:b/>
                <w:color w:val="FFFFFF"/>
                <w:sz w:val="19"/>
              </w:rPr>
              <w:t xml:space="preserve">  Precision Testing  </w:t>
            </w:r>
          </w:p>
          <w:p w14:paraId="53AED1D1" w14:textId="77777777" w:rsidR="00D4205C" w:rsidRDefault="005224D4">
            <w:pPr>
              <w:jc w:val="center"/>
            </w:pPr>
            <w:r>
              <w:rPr>
                <w:b/>
                <w:color w:val="FFFFFF"/>
                <w:sz w:val="19"/>
              </w:rPr>
              <w:t xml:space="preserve">  Radiation Risk Questions  </w:t>
            </w:r>
          </w:p>
          <w:p w14:paraId="74B42B32" w14:textId="77777777" w:rsidR="00D4205C" w:rsidRDefault="005224D4">
            <w:pPr>
              <w:jc w:val="center"/>
            </w:pPr>
            <w:r>
              <w:rPr>
                <w:b/>
                <w:color w:val="FFFFFF"/>
                <w:sz w:val="19"/>
              </w:rPr>
              <w:t xml:space="preserve">  Repurposed Drug Research  </w:t>
            </w:r>
          </w:p>
          <w:p w14:paraId="3EEA0910" w14:textId="77777777" w:rsidR="00D4205C" w:rsidRDefault="005224D4">
            <w:pPr>
              <w:jc w:val="center"/>
            </w:pPr>
            <w:r>
              <w:rPr>
                <w:b/>
                <w:color w:val="FFFFFF"/>
                <w:sz w:val="19"/>
              </w:rPr>
              <w:t xml:space="preserve">  Integrative Clinic Due Diligence  </w:t>
            </w:r>
          </w:p>
        </w:tc>
      </w:tr>
    </w:tbl>
    <w:p w14:paraId="15EBE950" w14:textId="77777777" w:rsidR="00D4205C" w:rsidRDefault="005224D4">
      <w:r>
        <w:br w:type="page"/>
      </w:r>
    </w:p>
    <w:tbl>
      <w:tblPr>
        <w:tblW w:w="5000" w:type="pct"/>
        <w:jc w:val="center"/>
        <w:tblLook w:val="04A0" w:firstRow="1" w:lastRow="0" w:firstColumn="1" w:lastColumn="0" w:noHBand="0" w:noVBand="1"/>
      </w:tblPr>
      <w:tblGrid>
        <w:gridCol w:w="530"/>
        <w:gridCol w:w="9838"/>
      </w:tblGrid>
      <w:tr w:rsidR="00D4205C" w14:paraId="676ADC91"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1662577D" w14:textId="77777777" w:rsidR="00D4205C" w:rsidRDefault="005224D4">
            <w:pPr>
              <w:jc w:val="center"/>
            </w:pPr>
            <w:r>
              <w:rPr>
                <w:b/>
                <w:color w:val="FFFFFF"/>
                <w:sz w:val="28"/>
              </w:rPr>
              <w:lastRenderedPageBreak/>
              <w:t>01</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55C31D71" w14:textId="77777777" w:rsidR="00D4205C" w:rsidRDefault="005224D4">
            <w:r>
              <w:rPr>
                <w:b/>
                <w:color w:val="FFFFFF"/>
                <w:sz w:val="30"/>
              </w:rPr>
              <w:t>HOW TO USE THIS REPORT</w:t>
            </w:r>
          </w:p>
          <w:p w14:paraId="394D5962" w14:textId="77777777" w:rsidR="00D4205C" w:rsidRDefault="005224D4">
            <w:r>
              <w:rPr>
                <w:color w:val="D9F7FA"/>
                <w:sz w:val="19"/>
              </w:rPr>
              <w:t>Send this as a research starter, not as a treatment plan.</w:t>
            </w:r>
          </w:p>
        </w:tc>
      </w:tr>
    </w:tbl>
    <w:p w14:paraId="099C89F6" w14:textId="77777777" w:rsidR="00D4205C" w:rsidRDefault="00D4205C"/>
    <w:tbl>
      <w:tblPr>
        <w:tblW w:w="5000" w:type="pct"/>
        <w:jc w:val="center"/>
        <w:tblLook w:val="04A0" w:firstRow="1" w:lastRow="0" w:firstColumn="1" w:lastColumn="0" w:noHBand="0" w:noVBand="1"/>
      </w:tblPr>
      <w:tblGrid>
        <w:gridCol w:w="5184"/>
        <w:gridCol w:w="5184"/>
      </w:tblGrid>
      <w:tr w:rsidR="00D4205C" w14:paraId="667856F4" w14:textId="77777777">
        <w:trPr>
          <w:jc w:val="center"/>
        </w:trPr>
        <w:tc>
          <w:tcPr>
            <w:tcW w:w="5184" w:type="dxa"/>
            <w:tcBorders>
              <w:top w:val="nil"/>
              <w:left w:val="nil"/>
              <w:bottom w:val="nil"/>
              <w:right w:val="nil"/>
            </w:tcBorders>
            <w:shd w:val="clear" w:color="auto" w:fill="D6A229"/>
            <w:tcMar>
              <w:top w:w="80" w:type="dxa"/>
              <w:left w:w="80" w:type="dxa"/>
              <w:bottom w:w="80" w:type="dxa"/>
              <w:right w:w="80" w:type="dxa"/>
            </w:tcMar>
          </w:tcPr>
          <w:p w14:paraId="55654954" w14:textId="77777777" w:rsidR="00D4205C" w:rsidRDefault="00D4205C"/>
        </w:tc>
        <w:tc>
          <w:tcPr>
            <w:tcW w:w="5184" w:type="dxa"/>
            <w:tcBorders>
              <w:top w:val="nil"/>
              <w:left w:val="nil"/>
              <w:bottom w:val="nil"/>
              <w:right w:val="nil"/>
            </w:tcBorders>
            <w:shd w:val="clear" w:color="auto" w:fill="FFF5DC"/>
            <w:tcMar>
              <w:top w:w="120" w:type="dxa"/>
              <w:left w:w="160" w:type="dxa"/>
              <w:bottom w:w="120" w:type="dxa"/>
              <w:right w:w="160" w:type="dxa"/>
            </w:tcMar>
          </w:tcPr>
          <w:p w14:paraId="29BB06BD" w14:textId="77777777" w:rsidR="00D4205C" w:rsidRDefault="005224D4">
            <w:r>
              <w:rPr>
                <w:b/>
                <w:color w:val="081A2B"/>
                <w:sz w:val="23"/>
              </w:rPr>
              <w:t>The central idea</w:t>
            </w:r>
          </w:p>
          <w:p w14:paraId="06FE57BB" w14:textId="77777777" w:rsidR="00D4205C" w:rsidRDefault="005224D4">
            <w:pPr>
              <w:spacing w:after="0"/>
            </w:pPr>
            <w:r>
              <w:rPr>
                <w:sz w:val="19"/>
              </w:rPr>
              <w:t>The right posture is not blind trust in conventional oncology or blind trust in alternative claims. It is informed ownership: ask better questions, understand risks, verify evidence, and never make major cancer decisions in isolation.</w:t>
            </w:r>
          </w:p>
        </w:tc>
      </w:tr>
    </w:tbl>
    <w:p w14:paraId="31ACCD6C" w14:textId="77777777" w:rsidR="00D4205C" w:rsidRDefault="00D4205C"/>
    <w:p w14:paraId="4D516899" w14:textId="77777777" w:rsidR="00D4205C" w:rsidRDefault="005224D4">
      <w:pPr>
        <w:spacing w:after="100"/>
      </w:pPr>
      <w:r>
        <w:t>This guide is designed for friends and family who want a wider view of cancer prevention and treatment. It includes established oncology, radiation risk questions, integrative care, repurposed-drug research, prevention strategies, Ways2Well-style biomarker thinking, and Envita-style integrative oncology due diligence.</w:t>
      </w:r>
    </w:p>
    <w:p w14:paraId="4726908B" w14:textId="77777777" w:rsidR="00D4205C" w:rsidRDefault="005224D4">
      <w:pPr>
        <w:spacing w:after="100"/>
      </w:pPr>
      <w:r>
        <w:rPr>
          <w:b/>
          <w:color w:val="0F2A44"/>
        </w:rPr>
        <w:t>Important: this report intentionally does not provide dosing instructions for off-label drugs, supplements, or cancer protocols. Dosing without medical supervision is where curiosity can turn into a very expensive science experiment with a human body as the lab rat.</w:t>
      </w:r>
    </w:p>
    <w:tbl>
      <w:tblPr>
        <w:tblW w:w="5000" w:type="pct"/>
        <w:jc w:val="center"/>
        <w:tblLook w:val="04A0" w:firstRow="1" w:lastRow="0" w:firstColumn="1" w:lastColumn="0" w:noHBand="0" w:noVBand="1"/>
      </w:tblPr>
      <w:tblGrid>
        <w:gridCol w:w="530"/>
        <w:gridCol w:w="9838"/>
      </w:tblGrid>
      <w:tr w:rsidR="00D4205C" w14:paraId="61707867" w14:textId="77777777">
        <w:trPr>
          <w:jc w:val="center"/>
        </w:trPr>
        <w:tc>
          <w:tcPr>
            <w:tcW w:w="504" w:type="dxa"/>
            <w:tcBorders>
              <w:top w:val="nil"/>
              <w:left w:val="nil"/>
              <w:bottom w:val="nil"/>
              <w:right w:val="nil"/>
            </w:tcBorders>
            <w:shd w:val="clear" w:color="auto" w:fill="D6A229"/>
            <w:tcMar>
              <w:top w:w="80" w:type="dxa"/>
              <w:left w:w="80" w:type="dxa"/>
              <w:bottom w:w="80" w:type="dxa"/>
              <w:right w:w="80" w:type="dxa"/>
            </w:tcMar>
          </w:tcPr>
          <w:p w14:paraId="2D8411F8" w14:textId="77777777" w:rsidR="00D4205C" w:rsidRDefault="005224D4">
            <w:pPr>
              <w:jc w:val="center"/>
            </w:pPr>
            <w:r>
              <w:rPr>
                <w:b/>
                <w:color w:val="FFFFFF"/>
                <w:sz w:val="28"/>
              </w:rPr>
              <w:t>02</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3EB21908" w14:textId="77777777" w:rsidR="00D4205C" w:rsidRDefault="005224D4">
            <w:r>
              <w:rPr>
                <w:b/>
                <w:color w:val="FFFFFF"/>
                <w:sz w:val="30"/>
              </w:rPr>
              <w:t>EVIDENCE MAP</w:t>
            </w:r>
          </w:p>
          <w:p w14:paraId="51771BC0" w14:textId="77777777" w:rsidR="00D4205C" w:rsidRDefault="005224D4">
            <w:r>
              <w:rPr>
                <w:color w:val="D9F7FA"/>
                <w:sz w:val="19"/>
              </w:rPr>
              <w:t>A simple way to separate solid ground from interesting-but-unproven ideas.</w:t>
            </w:r>
          </w:p>
        </w:tc>
      </w:tr>
    </w:tbl>
    <w:p w14:paraId="32C7F796" w14:textId="77777777" w:rsidR="00D4205C" w:rsidRDefault="00D4205C"/>
    <w:tbl>
      <w:tblPr>
        <w:tblW w:w="5000" w:type="pct"/>
        <w:jc w:val="center"/>
        <w:tblLook w:val="04A0" w:firstRow="1" w:lastRow="0" w:firstColumn="1" w:lastColumn="0" w:noHBand="0" w:noVBand="1"/>
      </w:tblPr>
      <w:tblGrid>
        <w:gridCol w:w="3453"/>
        <w:gridCol w:w="3452"/>
        <w:gridCol w:w="3453"/>
      </w:tblGrid>
      <w:tr w:rsidR="00D4205C" w14:paraId="319F77B1"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3C720C1C" w14:textId="77777777" w:rsidR="00D4205C" w:rsidRDefault="005224D4">
            <w:r>
              <w:rPr>
                <w:b/>
                <w:color w:val="FFFFFF"/>
                <w:sz w:val="18"/>
              </w:rPr>
              <w:t>Evidence Level</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7E47671C" w14:textId="77777777" w:rsidR="00D4205C" w:rsidRDefault="005224D4">
            <w:r>
              <w:rPr>
                <w:b/>
                <w:color w:val="FFFFFF"/>
                <w:sz w:val="18"/>
              </w:rPr>
              <w:t>What It Means</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144B8E51" w14:textId="77777777" w:rsidR="00D4205C" w:rsidRDefault="005224D4">
            <w:r>
              <w:rPr>
                <w:b/>
                <w:color w:val="FFFFFF"/>
                <w:sz w:val="18"/>
              </w:rPr>
              <w:t>Examples</w:t>
            </w:r>
          </w:p>
        </w:tc>
      </w:tr>
      <w:tr w:rsidR="00D4205C" w14:paraId="3B264D6C"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DBF98F7" w14:textId="77777777" w:rsidR="00D4205C" w:rsidRDefault="005224D4">
            <w:r>
              <w:rPr>
                <w:sz w:val="17"/>
              </w:rPr>
              <w:t>Level 1: Strongest</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A5C2980" w14:textId="77777777" w:rsidR="00D4205C" w:rsidRDefault="005224D4">
            <w:r>
              <w:rPr>
                <w:sz w:val="17"/>
              </w:rPr>
              <w:t>Guideline-supported care for a specific cancer type and stage</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CB0F14F" w14:textId="77777777" w:rsidR="00D4205C" w:rsidRDefault="005224D4">
            <w:r>
              <w:rPr>
                <w:sz w:val="17"/>
              </w:rPr>
              <w:t>Surgery, radiation, chemotherapy, targeted therapy, immunotherapy, hormone therapy, biomarker testing, clinical trials</w:t>
            </w:r>
          </w:p>
        </w:tc>
      </w:tr>
      <w:tr w:rsidR="00D4205C" w14:paraId="30C16C97"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47750D63" w14:textId="77777777" w:rsidR="00D4205C" w:rsidRDefault="005224D4">
            <w:r>
              <w:rPr>
                <w:sz w:val="17"/>
              </w:rPr>
              <w:t>Level 2: Supportive</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708F710B" w14:textId="77777777" w:rsidR="00D4205C" w:rsidRDefault="005224D4">
            <w:r>
              <w:rPr>
                <w:sz w:val="17"/>
              </w:rPr>
              <w:t>Useful alongside treatment but usually not a stand-alone cancer cure</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49F0AA48" w14:textId="77777777" w:rsidR="00D4205C" w:rsidRDefault="005224D4">
            <w:r>
              <w:rPr>
                <w:sz w:val="17"/>
              </w:rPr>
              <w:t>Nutrition support, exercise, sleep, symptom control, acupuncture for some symptoms, stress reduction, palliative care</w:t>
            </w:r>
          </w:p>
        </w:tc>
      </w:tr>
      <w:tr w:rsidR="00D4205C" w14:paraId="2CEC355B"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076FADEF" w14:textId="77777777" w:rsidR="00D4205C" w:rsidRDefault="005224D4">
            <w:r>
              <w:rPr>
                <w:sz w:val="17"/>
              </w:rPr>
              <w:t>Level 3: Emerging</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62704B77" w14:textId="77777777" w:rsidR="00D4205C" w:rsidRDefault="005224D4">
            <w:r>
              <w:rPr>
                <w:sz w:val="17"/>
              </w:rPr>
              <w:t>Mechanistic, preclinical, early human, or small-trial evidence</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090C036D" w14:textId="77777777" w:rsidR="00D4205C" w:rsidRDefault="005224D4">
            <w:r>
              <w:rPr>
                <w:sz w:val="17"/>
              </w:rPr>
              <w:t>Mebendazole studies, IV vitamin C research, metabolic therapy research, mitochondrial/cancer stem-cell theories</w:t>
            </w:r>
          </w:p>
        </w:tc>
      </w:tr>
      <w:tr w:rsidR="00D4205C" w14:paraId="7C53EFDF"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7CC7A5D8" w14:textId="77777777" w:rsidR="00D4205C" w:rsidRDefault="005224D4">
            <w:r>
              <w:rPr>
                <w:sz w:val="17"/>
              </w:rPr>
              <w:t>Level 4: Caution</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12323BBE" w14:textId="77777777" w:rsidR="00D4205C" w:rsidRDefault="005224D4">
            <w:r>
              <w:rPr>
                <w:sz w:val="17"/>
              </w:rPr>
              <w:t>Claims that may be interesting but are not proven as cancer treatment</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2C2AADA2" w14:textId="77777777" w:rsidR="00D4205C" w:rsidRDefault="005224D4">
            <w:r>
              <w:rPr>
                <w:sz w:val="17"/>
              </w:rPr>
              <w:t>Fenbendazole, high-dose off-label ivermectin outside trials, baking soda/alkaline cures, sweeping 'cures all cancer' claims</w:t>
            </w:r>
          </w:p>
        </w:tc>
      </w:tr>
    </w:tbl>
    <w:p w14:paraId="3B263DEA" w14:textId="77777777" w:rsidR="00D4205C" w:rsidRDefault="00D4205C"/>
    <w:tbl>
      <w:tblPr>
        <w:tblW w:w="5000" w:type="pct"/>
        <w:jc w:val="center"/>
        <w:tblLook w:val="04A0" w:firstRow="1" w:lastRow="0" w:firstColumn="1" w:lastColumn="0" w:noHBand="0" w:noVBand="1"/>
      </w:tblPr>
      <w:tblGrid>
        <w:gridCol w:w="5184"/>
        <w:gridCol w:w="5184"/>
      </w:tblGrid>
      <w:tr w:rsidR="00D4205C" w14:paraId="40BE2D54" w14:textId="77777777">
        <w:trPr>
          <w:jc w:val="center"/>
        </w:trPr>
        <w:tc>
          <w:tcPr>
            <w:tcW w:w="5184" w:type="dxa"/>
            <w:tcBorders>
              <w:top w:val="nil"/>
              <w:left w:val="nil"/>
              <w:bottom w:val="nil"/>
              <w:right w:val="nil"/>
            </w:tcBorders>
            <w:shd w:val="clear" w:color="auto" w:fill="00B8C8"/>
            <w:tcMar>
              <w:top w:w="80" w:type="dxa"/>
              <w:left w:w="80" w:type="dxa"/>
              <w:bottom w:w="80" w:type="dxa"/>
              <w:right w:w="80" w:type="dxa"/>
            </w:tcMar>
          </w:tcPr>
          <w:p w14:paraId="4522163F" w14:textId="77777777" w:rsidR="00D4205C" w:rsidRDefault="00D4205C"/>
        </w:tc>
        <w:tc>
          <w:tcPr>
            <w:tcW w:w="5184" w:type="dxa"/>
            <w:tcBorders>
              <w:top w:val="nil"/>
              <w:left w:val="nil"/>
              <w:bottom w:val="nil"/>
              <w:right w:val="nil"/>
            </w:tcBorders>
            <w:shd w:val="clear" w:color="auto" w:fill="E8FBFF"/>
            <w:tcMar>
              <w:top w:w="120" w:type="dxa"/>
              <w:left w:w="160" w:type="dxa"/>
              <w:bottom w:w="120" w:type="dxa"/>
              <w:right w:w="160" w:type="dxa"/>
            </w:tcMar>
          </w:tcPr>
          <w:p w14:paraId="47BC395E" w14:textId="77777777" w:rsidR="00D4205C" w:rsidRDefault="005224D4">
            <w:r>
              <w:rPr>
                <w:b/>
                <w:color w:val="081A2B"/>
                <w:sz w:val="23"/>
              </w:rPr>
              <w:t>Balanced rule</w:t>
            </w:r>
          </w:p>
          <w:p w14:paraId="1AF193C2" w14:textId="77777777" w:rsidR="00D4205C" w:rsidRDefault="005224D4">
            <w:pPr>
              <w:spacing w:after="0"/>
            </w:pPr>
            <w:r>
              <w:rPr>
                <w:sz w:val="19"/>
              </w:rPr>
              <w:t>Proven treatments can be harsh. Unproven treatments can also be risky. The question is not 'natural vs. medical.' The question is: What is the evidence, what is the risk, what is the alternative, and how do we know if it is working?</w:t>
            </w:r>
          </w:p>
        </w:tc>
      </w:tr>
    </w:tbl>
    <w:p w14:paraId="5ADDBDAA" w14:textId="77777777" w:rsidR="00D4205C" w:rsidRDefault="00D4205C"/>
    <w:tbl>
      <w:tblPr>
        <w:tblW w:w="5000" w:type="pct"/>
        <w:jc w:val="center"/>
        <w:tblLook w:val="04A0" w:firstRow="1" w:lastRow="0" w:firstColumn="1" w:lastColumn="0" w:noHBand="0" w:noVBand="1"/>
      </w:tblPr>
      <w:tblGrid>
        <w:gridCol w:w="530"/>
        <w:gridCol w:w="9838"/>
      </w:tblGrid>
      <w:tr w:rsidR="00D4205C" w14:paraId="6246116D"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07C20DE9" w14:textId="77777777" w:rsidR="00D4205C" w:rsidRDefault="005224D4">
            <w:pPr>
              <w:jc w:val="center"/>
            </w:pPr>
            <w:r>
              <w:rPr>
                <w:b/>
                <w:color w:val="FFFFFF"/>
                <w:sz w:val="28"/>
              </w:rPr>
              <w:t>03</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3A9C4D61" w14:textId="77777777" w:rsidR="00D4205C" w:rsidRDefault="005224D4">
            <w:r>
              <w:rPr>
                <w:b/>
                <w:color w:val="FFFFFF"/>
                <w:sz w:val="30"/>
              </w:rPr>
              <w:t>PREVENTION FIRST: REDUCE THE ODDS BEFORE THE FIGHT BEGINS</w:t>
            </w:r>
          </w:p>
          <w:p w14:paraId="195162C0" w14:textId="77777777" w:rsidR="00D4205C" w:rsidRDefault="005224D4">
            <w:r>
              <w:rPr>
                <w:color w:val="D9F7FA"/>
                <w:sz w:val="19"/>
              </w:rPr>
              <w:t>The most powerful cancer strategy starts years before diagnosis.</w:t>
            </w:r>
          </w:p>
        </w:tc>
      </w:tr>
    </w:tbl>
    <w:p w14:paraId="35176CD9" w14:textId="77777777" w:rsidR="00D4205C" w:rsidRDefault="00D4205C"/>
    <w:p w14:paraId="5EB78A09" w14:textId="77777777" w:rsidR="00D4205C" w:rsidRDefault="005224D4">
      <w:pPr>
        <w:spacing w:after="100"/>
      </w:pPr>
      <w:r>
        <w:t>Major cancer prevention organizations emphasize a practical foundation: avoid tobacco, maintain a healthy weight, exercise regularly, limit alcohol, protect skin from excessive UV exposure, follow age-appropriate screening, and consider vaccines that reduce cancer risk such as HPV and hepatitis B when appropriate [1,2].</w:t>
      </w:r>
    </w:p>
    <w:tbl>
      <w:tblPr>
        <w:tblW w:w="5000" w:type="pct"/>
        <w:jc w:val="center"/>
        <w:tblLook w:val="04A0" w:firstRow="1" w:lastRow="0" w:firstColumn="1" w:lastColumn="0" w:noHBand="0" w:noVBand="1"/>
      </w:tblPr>
      <w:tblGrid>
        <w:gridCol w:w="5174"/>
        <w:gridCol w:w="5174"/>
      </w:tblGrid>
      <w:tr w:rsidR="00D4205C" w14:paraId="67267102" w14:textId="77777777">
        <w:trPr>
          <w:jc w:val="center"/>
        </w:trPr>
        <w:tc>
          <w:tcPr>
            <w:tcW w:w="5184" w:type="dxa"/>
            <w:tcBorders>
              <w:top w:val="single" w:sz="8" w:space="0" w:color="DDE5EA"/>
              <w:left w:val="single" w:sz="8" w:space="0" w:color="DDE5EA"/>
              <w:bottom w:val="single" w:sz="8" w:space="0" w:color="DDE5EA"/>
              <w:right w:val="single" w:sz="8" w:space="0" w:color="DDE5EA"/>
            </w:tcBorders>
            <w:shd w:val="clear" w:color="auto" w:fill="F7FAFC"/>
            <w:tcMar>
              <w:top w:w="130" w:type="dxa"/>
              <w:left w:w="160" w:type="dxa"/>
              <w:bottom w:w="130" w:type="dxa"/>
              <w:right w:w="160" w:type="dxa"/>
            </w:tcMar>
          </w:tcPr>
          <w:p w14:paraId="423766DE" w14:textId="77777777" w:rsidR="00D4205C" w:rsidRDefault="005224D4">
            <w:r>
              <w:rPr>
                <w:b/>
                <w:color w:val="007C89"/>
                <w:sz w:val="21"/>
              </w:rPr>
              <w:t>No tobacco</w:t>
            </w:r>
          </w:p>
          <w:p w14:paraId="62722631" w14:textId="77777777" w:rsidR="00D4205C" w:rsidRDefault="005224D4">
            <w:pPr>
              <w:spacing w:after="0"/>
            </w:pPr>
            <w:r>
              <w:rPr>
                <w:sz w:val="17"/>
              </w:rPr>
              <w:t>Tobacco avoidance and cessation remain among the highest-impact cancer-prevention moves.</w:t>
            </w:r>
          </w:p>
        </w:tc>
        <w:tc>
          <w:tcPr>
            <w:tcW w:w="5184" w:type="dxa"/>
            <w:tcBorders>
              <w:top w:val="single" w:sz="8" w:space="0" w:color="DDE5EA"/>
              <w:left w:val="single" w:sz="8" w:space="0" w:color="DDE5EA"/>
              <w:bottom w:val="single" w:sz="8" w:space="0" w:color="DDE5EA"/>
              <w:right w:val="single" w:sz="8" w:space="0" w:color="DDE5EA"/>
            </w:tcBorders>
            <w:shd w:val="clear" w:color="auto" w:fill="F7FAFC"/>
            <w:tcMar>
              <w:top w:w="130" w:type="dxa"/>
              <w:left w:w="160" w:type="dxa"/>
              <w:bottom w:w="130" w:type="dxa"/>
              <w:right w:w="160" w:type="dxa"/>
            </w:tcMar>
          </w:tcPr>
          <w:p w14:paraId="503013F2" w14:textId="77777777" w:rsidR="00D4205C" w:rsidRDefault="005224D4">
            <w:r>
              <w:rPr>
                <w:b/>
                <w:color w:val="007C89"/>
                <w:sz w:val="21"/>
              </w:rPr>
              <w:t>Move daily</w:t>
            </w:r>
          </w:p>
          <w:p w14:paraId="5F7A0533" w14:textId="77777777" w:rsidR="00D4205C" w:rsidRDefault="005224D4">
            <w:pPr>
              <w:spacing w:after="0"/>
            </w:pPr>
            <w:r>
              <w:rPr>
                <w:sz w:val="17"/>
              </w:rPr>
              <w:t>The American Cancer Society recommends 150-300 minutes of moderate activity or 75-150 minutes of vigorous activity weekly for adults [1].</w:t>
            </w:r>
          </w:p>
        </w:tc>
      </w:tr>
      <w:tr w:rsidR="00D4205C" w14:paraId="495BD005" w14:textId="77777777">
        <w:trPr>
          <w:jc w:val="center"/>
        </w:trPr>
        <w:tc>
          <w:tcPr>
            <w:tcW w:w="5184" w:type="dxa"/>
            <w:tcBorders>
              <w:top w:val="single" w:sz="8" w:space="0" w:color="DDE5EA"/>
              <w:left w:val="single" w:sz="8" w:space="0" w:color="DDE5EA"/>
              <w:bottom w:val="single" w:sz="8" w:space="0" w:color="DDE5EA"/>
              <w:right w:val="single" w:sz="8" w:space="0" w:color="DDE5EA"/>
            </w:tcBorders>
            <w:shd w:val="clear" w:color="auto" w:fill="F7FAFC"/>
            <w:tcMar>
              <w:top w:w="130" w:type="dxa"/>
              <w:left w:w="160" w:type="dxa"/>
              <w:bottom w:w="130" w:type="dxa"/>
              <w:right w:w="160" w:type="dxa"/>
            </w:tcMar>
          </w:tcPr>
          <w:p w14:paraId="48CA40C1" w14:textId="77777777" w:rsidR="00D4205C" w:rsidRDefault="005224D4">
            <w:r>
              <w:rPr>
                <w:b/>
                <w:color w:val="007C89"/>
                <w:sz w:val="21"/>
              </w:rPr>
              <w:t>Healthy weight</w:t>
            </w:r>
          </w:p>
          <w:p w14:paraId="1222FC97" w14:textId="77777777" w:rsidR="00D4205C" w:rsidRDefault="005224D4">
            <w:pPr>
              <w:spacing w:after="0"/>
            </w:pPr>
            <w:r>
              <w:rPr>
                <w:sz w:val="17"/>
              </w:rPr>
              <w:t>Excess body fat is linked with higher risk for several cancers. Think metabolic health, not vanity.</w:t>
            </w:r>
          </w:p>
        </w:tc>
        <w:tc>
          <w:tcPr>
            <w:tcW w:w="5184" w:type="dxa"/>
            <w:tcBorders>
              <w:top w:val="single" w:sz="8" w:space="0" w:color="DDE5EA"/>
              <w:left w:val="single" w:sz="8" w:space="0" w:color="DDE5EA"/>
              <w:bottom w:val="single" w:sz="8" w:space="0" w:color="DDE5EA"/>
              <w:right w:val="single" w:sz="8" w:space="0" w:color="DDE5EA"/>
            </w:tcBorders>
            <w:shd w:val="clear" w:color="auto" w:fill="F7FAFC"/>
            <w:tcMar>
              <w:top w:w="130" w:type="dxa"/>
              <w:left w:w="160" w:type="dxa"/>
              <w:bottom w:w="130" w:type="dxa"/>
              <w:right w:w="160" w:type="dxa"/>
            </w:tcMar>
          </w:tcPr>
          <w:p w14:paraId="6340E37A" w14:textId="77777777" w:rsidR="00D4205C" w:rsidRDefault="005224D4">
            <w:r>
              <w:rPr>
                <w:b/>
                <w:color w:val="007C89"/>
                <w:sz w:val="21"/>
              </w:rPr>
              <w:t>Limit alcohol</w:t>
            </w:r>
          </w:p>
          <w:p w14:paraId="4B63A91E" w14:textId="77777777" w:rsidR="00D4205C" w:rsidRDefault="005224D4">
            <w:pPr>
              <w:spacing w:after="0"/>
            </w:pPr>
            <w:r>
              <w:rPr>
                <w:sz w:val="17"/>
              </w:rPr>
              <w:t>For cancer prevention, less is better. For some people, none is the cleanest answer.</w:t>
            </w:r>
          </w:p>
        </w:tc>
      </w:tr>
      <w:tr w:rsidR="00D4205C" w14:paraId="1B8F2E27" w14:textId="77777777">
        <w:trPr>
          <w:jc w:val="center"/>
        </w:trPr>
        <w:tc>
          <w:tcPr>
            <w:tcW w:w="5184" w:type="dxa"/>
            <w:tcBorders>
              <w:top w:val="single" w:sz="8" w:space="0" w:color="DDE5EA"/>
              <w:left w:val="single" w:sz="8" w:space="0" w:color="DDE5EA"/>
              <w:bottom w:val="single" w:sz="8" w:space="0" w:color="DDE5EA"/>
              <w:right w:val="single" w:sz="8" w:space="0" w:color="DDE5EA"/>
            </w:tcBorders>
            <w:shd w:val="clear" w:color="auto" w:fill="F7FAFC"/>
            <w:tcMar>
              <w:top w:w="130" w:type="dxa"/>
              <w:left w:w="160" w:type="dxa"/>
              <w:bottom w:w="130" w:type="dxa"/>
              <w:right w:w="160" w:type="dxa"/>
            </w:tcMar>
          </w:tcPr>
          <w:p w14:paraId="62482DC6" w14:textId="77777777" w:rsidR="00D4205C" w:rsidRDefault="005224D4">
            <w:r>
              <w:rPr>
                <w:b/>
                <w:color w:val="007C89"/>
                <w:sz w:val="21"/>
              </w:rPr>
              <w:t>Screen early</w:t>
            </w:r>
          </w:p>
          <w:p w14:paraId="0610FC98" w14:textId="77777777" w:rsidR="00D4205C" w:rsidRDefault="005224D4">
            <w:pPr>
              <w:spacing w:after="0"/>
            </w:pPr>
            <w:r>
              <w:rPr>
                <w:sz w:val="17"/>
              </w:rPr>
              <w:t>Colon, breast, cervical, lung, prostate, and skin screening decisions should be personalized by age, risk, family history, and symptoms.</w:t>
            </w:r>
          </w:p>
        </w:tc>
        <w:tc>
          <w:tcPr>
            <w:tcW w:w="5184" w:type="dxa"/>
            <w:tcBorders>
              <w:top w:val="single" w:sz="8" w:space="0" w:color="DDE5EA"/>
              <w:left w:val="single" w:sz="8" w:space="0" w:color="DDE5EA"/>
              <w:bottom w:val="single" w:sz="8" w:space="0" w:color="DDE5EA"/>
              <w:right w:val="single" w:sz="8" w:space="0" w:color="DDE5EA"/>
            </w:tcBorders>
            <w:shd w:val="clear" w:color="auto" w:fill="F7FAFC"/>
            <w:tcMar>
              <w:top w:w="130" w:type="dxa"/>
              <w:left w:w="160" w:type="dxa"/>
              <w:bottom w:w="130" w:type="dxa"/>
              <w:right w:w="160" w:type="dxa"/>
            </w:tcMar>
          </w:tcPr>
          <w:p w14:paraId="54B709C4" w14:textId="77777777" w:rsidR="00D4205C" w:rsidRDefault="005224D4">
            <w:r>
              <w:rPr>
                <w:b/>
                <w:color w:val="007C89"/>
                <w:sz w:val="21"/>
              </w:rPr>
              <w:t>Protect sleep</w:t>
            </w:r>
          </w:p>
          <w:p w14:paraId="0CFE8709" w14:textId="77777777" w:rsidR="00D4205C" w:rsidRDefault="005224D4">
            <w:pPr>
              <w:spacing w:after="0"/>
            </w:pPr>
            <w:r>
              <w:rPr>
                <w:sz w:val="17"/>
              </w:rPr>
              <w:t>Sleep, stress, immune resilience, and habit consistency are not fringe. They are the operating system.</w:t>
            </w:r>
          </w:p>
        </w:tc>
      </w:tr>
    </w:tbl>
    <w:p w14:paraId="5EEA4563" w14:textId="77777777" w:rsidR="00D4205C" w:rsidRDefault="00D4205C"/>
    <w:tbl>
      <w:tblPr>
        <w:tblW w:w="5000" w:type="pct"/>
        <w:jc w:val="center"/>
        <w:tblLook w:val="04A0" w:firstRow="1" w:lastRow="0" w:firstColumn="1" w:lastColumn="0" w:noHBand="0" w:noVBand="1"/>
      </w:tblPr>
      <w:tblGrid>
        <w:gridCol w:w="530"/>
        <w:gridCol w:w="9838"/>
      </w:tblGrid>
      <w:tr w:rsidR="00D4205C" w14:paraId="288759DB" w14:textId="77777777">
        <w:trPr>
          <w:jc w:val="center"/>
        </w:trPr>
        <w:tc>
          <w:tcPr>
            <w:tcW w:w="504" w:type="dxa"/>
            <w:tcBorders>
              <w:top w:val="nil"/>
              <w:left w:val="nil"/>
              <w:bottom w:val="nil"/>
              <w:right w:val="nil"/>
            </w:tcBorders>
            <w:shd w:val="clear" w:color="auto" w:fill="D6A229"/>
            <w:tcMar>
              <w:top w:w="80" w:type="dxa"/>
              <w:left w:w="80" w:type="dxa"/>
              <w:bottom w:w="80" w:type="dxa"/>
              <w:right w:w="80" w:type="dxa"/>
            </w:tcMar>
          </w:tcPr>
          <w:p w14:paraId="5C74E225" w14:textId="77777777" w:rsidR="00D4205C" w:rsidRDefault="005224D4">
            <w:pPr>
              <w:jc w:val="center"/>
            </w:pPr>
            <w:r>
              <w:rPr>
                <w:b/>
                <w:color w:val="FFFFFF"/>
                <w:sz w:val="28"/>
              </w:rPr>
              <w:t>04</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0B1496F6" w14:textId="77777777" w:rsidR="00D4205C" w:rsidRDefault="005224D4">
            <w:r>
              <w:rPr>
                <w:b/>
                <w:color w:val="FFFFFF"/>
                <w:sz w:val="30"/>
              </w:rPr>
              <w:t>WAYS2WELL-STYLE PROACTIVE HEALTH</w:t>
            </w:r>
          </w:p>
          <w:p w14:paraId="2FF015F6" w14:textId="77777777" w:rsidR="00D4205C" w:rsidRDefault="005224D4">
            <w:r>
              <w:rPr>
                <w:color w:val="D9F7FA"/>
                <w:sz w:val="19"/>
              </w:rPr>
              <w:t>Use the concept: measure, track, optimize, and personalize.</w:t>
            </w:r>
          </w:p>
        </w:tc>
      </w:tr>
    </w:tbl>
    <w:p w14:paraId="6B8EF814" w14:textId="77777777" w:rsidR="00D4205C" w:rsidRDefault="00D4205C"/>
    <w:p w14:paraId="66D00914" w14:textId="77777777" w:rsidR="00D4205C" w:rsidRDefault="005224D4">
      <w:pPr>
        <w:spacing w:after="100"/>
      </w:pPr>
      <w:r>
        <w:t>Ways2Well describes a membership model built around biomarker review, clinician access, custom supplements, prescriptions, and peptides, plus a cancer detection test positioned around circulating tumor cells [3,4]. This report treats Ways2Well as an example of a proactive-health philosophy, not as a guaranteed cancer-prevention system.</w:t>
      </w:r>
    </w:p>
    <w:p w14:paraId="55F9412C" w14:textId="77777777" w:rsidR="00D4205C" w:rsidRDefault="005224D4">
      <w:pPr>
        <w:pStyle w:val="ListBullet"/>
        <w:spacing w:after="30"/>
      </w:pPr>
      <w:r>
        <w:rPr>
          <w:sz w:val="19"/>
        </w:rPr>
        <w:t>Comprehensive bloodwork: go beyond basic labs when clinically appropriate.</w:t>
      </w:r>
    </w:p>
    <w:p w14:paraId="564606F4" w14:textId="77777777" w:rsidR="00D4205C" w:rsidRDefault="005224D4">
      <w:pPr>
        <w:pStyle w:val="ListBullet"/>
        <w:spacing w:after="30"/>
      </w:pPr>
      <w:r>
        <w:rPr>
          <w:sz w:val="19"/>
        </w:rPr>
        <w:t>Trend tracking: one lab is a snapshot; repeated labs show direction.</w:t>
      </w:r>
    </w:p>
    <w:p w14:paraId="5785B3E7" w14:textId="77777777" w:rsidR="00D4205C" w:rsidRDefault="005224D4">
      <w:pPr>
        <w:pStyle w:val="ListBullet"/>
        <w:spacing w:after="30"/>
      </w:pPr>
      <w:r>
        <w:rPr>
          <w:sz w:val="19"/>
        </w:rPr>
        <w:t>Metabolic markers: glucose, insulin resistance patterns, lipids, liver markers, inflammation, thyroid, hormones, and nutrient status may reveal risk patterns.</w:t>
      </w:r>
    </w:p>
    <w:p w14:paraId="3F538906" w14:textId="77777777" w:rsidR="00D4205C" w:rsidRDefault="005224D4">
      <w:pPr>
        <w:pStyle w:val="ListBullet"/>
        <w:spacing w:after="30"/>
      </w:pPr>
      <w:r>
        <w:rPr>
          <w:sz w:val="19"/>
        </w:rPr>
        <w:t>Early detection mindset: discuss standard screening first, then optional advanced tests as add-ons, not replacements.</w:t>
      </w:r>
    </w:p>
    <w:tbl>
      <w:tblPr>
        <w:tblW w:w="5000" w:type="pct"/>
        <w:jc w:val="center"/>
        <w:tblLook w:val="04A0" w:firstRow="1" w:lastRow="0" w:firstColumn="1" w:lastColumn="0" w:noHBand="0" w:noVBand="1"/>
      </w:tblPr>
      <w:tblGrid>
        <w:gridCol w:w="5184"/>
        <w:gridCol w:w="5184"/>
      </w:tblGrid>
      <w:tr w:rsidR="00D4205C" w14:paraId="60D231A2" w14:textId="77777777">
        <w:trPr>
          <w:jc w:val="center"/>
        </w:trPr>
        <w:tc>
          <w:tcPr>
            <w:tcW w:w="5184" w:type="dxa"/>
            <w:tcBorders>
              <w:top w:val="nil"/>
              <w:left w:val="nil"/>
              <w:bottom w:val="nil"/>
              <w:right w:val="nil"/>
            </w:tcBorders>
            <w:shd w:val="clear" w:color="auto" w:fill="D6A229"/>
            <w:tcMar>
              <w:top w:w="80" w:type="dxa"/>
              <w:left w:w="80" w:type="dxa"/>
              <w:bottom w:w="80" w:type="dxa"/>
              <w:right w:w="80" w:type="dxa"/>
            </w:tcMar>
          </w:tcPr>
          <w:p w14:paraId="02BC786F" w14:textId="77777777" w:rsidR="00D4205C" w:rsidRDefault="00D4205C"/>
        </w:tc>
        <w:tc>
          <w:tcPr>
            <w:tcW w:w="5184" w:type="dxa"/>
            <w:tcBorders>
              <w:top w:val="nil"/>
              <w:left w:val="nil"/>
              <w:bottom w:val="nil"/>
              <w:right w:val="nil"/>
            </w:tcBorders>
            <w:shd w:val="clear" w:color="auto" w:fill="FFF5DC"/>
            <w:tcMar>
              <w:top w:w="120" w:type="dxa"/>
              <w:left w:w="160" w:type="dxa"/>
              <w:bottom w:w="120" w:type="dxa"/>
              <w:right w:w="160" w:type="dxa"/>
            </w:tcMar>
          </w:tcPr>
          <w:p w14:paraId="1364F838" w14:textId="77777777" w:rsidR="00D4205C" w:rsidRDefault="005224D4">
            <w:r>
              <w:rPr>
                <w:b/>
                <w:color w:val="081A2B"/>
                <w:sz w:val="23"/>
              </w:rPr>
              <w:t>Important screening caution</w:t>
            </w:r>
          </w:p>
          <w:p w14:paraId="2393312C" w14:textId="77777777" w:rsidR="00D4205C" w:rsidRDefault="005224D4">
            <w:pPr>
              <w:spacing w:after="0"/>
            </w:pPr>
            <w:r>
              <w:rPr>
                <w:sz w:val="19"/>
              </w:rPr>
              <w:t>Newer multi-cancer and circulating tumor-cell blood tests are promising, but they can create false positives, false reassurance, cost issues, and follow-up uncertainty. They should not replace guideline-based screening unless a qualified doctor says so.</w:t>
            </w:r>
          </w:p>
        </w:tc>
      </w:tr>
    </w:tbl>
    <w:p w14:paraId="7AC70D15" w14:textId="77777777" w:rsidR="00D4205C" w:rsidRDefault="00D4205C"/>
    <w:tbl>
      <w:tblPr>
        <w:tblW w:w="5000" w:type="pct"/>
        <w:jc w:val="center"/>
        <w:tblLook w:val="04A0" w:firstRow="1" w:lastRow="0" w:firstColumn="1" w:lastColumn="0" w:noHBand="0" w:noVBand="1"/>
      </w:tblPr>
      <w:tblGrid>
        <w:gridCol w:w="530"/>
        <w:gridCol w:w="9838"/>
      </w:tblGrid>
      <w:tr w:rsidR="00D4205C" w14:paraId="54857CB3"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414DDAC9" w14:textId="77777777" w:rsidR="00D4205C" w:rsidRDefault="005224D4">
            <w:pPr>
              <w:jc w:val="center"/>
            </w:pPr>
            <w:r>
              <w:rPr>
                <w:b/>
                <w:color w:val="FFFFFF"/>
                <w:sz w:val="28"/>
              </w:rPr>
              <w:t>05</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62CF2A1C" w14:textId="77777777" w:rsidR="00D4205C" w:rsidRDefault="005224D4">
            <w:r>
              <w:rPr>
                <w:b/>
                <w:color w:val="FFFFFF"/>
                <w:sz w:val="30"/>
              </w:rPr>
              <w:t>ESTABLISHED ONCOLOGY: USEFUL, IMPERFECT, AND WORTH QUESTIONING</w:t>
            </w:r>
          </w:p>
          <w:p w14:paraId="408F4CE3" w14:textId="77777777" w:rsidR="00D4205C" w:rsidRDefault="005224D4">
            <w:r>
              <w:rPr>
                <w:color w:val="D9F7FA"/>
                <w:sz w:val="19"/>
              </w:rPr>
              <w:t>The fair position: use proven care where it is strongest, but do not pretend it is harmless.</w:t>
            </w:r>
          </w:p>
        </w:tc>
      </w:tr>
    </w:tbl>
    <w:p w14:paraId="200DCFDF" w14:textId="77777777" w:rsidR="00D4205C" w:rsidRDefault="00D4205C"/>
    <w:p w14:paraId="4CEC669E" w14:textId="77777777" w:rsidR="00D4205C" w:rsidRDefault="005224D4">
      <w:pPr>
        <w:spacing w:after="100"/>
      </w:pPr>
      <w:r>
        <w:t>NCI lists major cancer treatment categories including surgery, radiation therapy, chemotherapy, immunotherapy, targeted therapy, hormone therapy, stem cell transplant, photodynamic therapy, and biomarker testing. Which option makes sense depends on the exact cancer type, stage, biomarkers, patient health, and treatment goal [5,6].</w:t>
      </w:r>
    </w:p>
    <w:tbl>
      <w:tblPr>
        <w:tblW w:w="5000" w:type="pct"/>
        <w:jc w:val="center"/>
        <w:tblLook w:val="04A0" w:firstRow="1" w:lastRow="0" w:firstColumn="1" w:lastColumn="0" w:noHBand="0" w:noVBand="1"/>
      </w:tblPr>
      <w:tblGrid>
        <w:gridCol w:w="3453"/>
        <w:gridCol w:w="3452"/>
        <w:gridCol w:w="3453"/>
      </w:tblGrid>
      <w:tr w:rsidR="00D4205C" w14:paraId="75595ECD"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2429959D" w14:textId="77777777" w:rsidR="00D4205C" w:rsidRDefault="005224D4">
            <w:r>
              <w:rPr>
                <w:b/>
                <w:color w:val="FFFFFF"/>
                <w:sz w:val="18"/>
              </w:rPr>
              <w:t>Treatment</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6A5D762F" w14:textId="77777777" w:rsidR="00D4205C" w:rsidRDefault="005224D4">
            <w:r>
              <w:rPr>
                <w:b/>
                <w:color w:val="FFFFFF"/>
                <w:sz w:val="18"/>
              </w:rPr>
              <w:t>Potential Benefit</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1E8BD439" w14:textId="77777777" w:rsidR="00D4205C" w:rsidRDefault="005224D4">
            <w:r>
              <w:rPr>
                <w:b/>
                <w:color w:val="FFFFFF"/>
                <w:sz w:val="18"/>
              </w:rPr>
              <w:t>Risks / Questions</w:t>
            </w:r>
          </w:p>
        </w:tc>
      </w:tr>
      <w:tr w:rsidR="00D4205C" w14:paraId="0135AA7E"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0096E559" w14:textId="77777777" w:rsidR="00D4205C" w:rsidRDefault="005224D4">
            <w:r>
              <w:rPr>
                <w:sz w:val="17"/>
              </w:rPr>
              <w:t>Surgery</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37E93903" w14:textId="77777777" w:rsidR="00D4205C" w:rsidRDefault="005224D4">
            <w:r>
              <w:rPr>
                <w:sz w:val="17"/>
              </w:rPr>
              <w:t>Can remove localized disease or reduce tumor burden</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093CEBFB" w14:textId="77777777" w:rsidR="00D4205C" w:rsidRDefault="005224D4">
            <w:r>
              <w:rPr>
                <w:sz w:val="17"/>
              </w:rPr>
              <w:t>Bleeding, infection, anesthesia risk, organ/function loss, incomplete margins</w:t>
            </w:r>
          </w:p>
        </w:tc>
      </w:tr>
      <w:tr w:rsidR="00D4205C" w14:paraId="10D4CF5C"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02DA60FE" w14:textId="77777777" w:rsidR="00D4205C" w:rsidRDefault="005224D4">
            <w:r>
              <w:rPr>
                <w:sz w:val="17"/>
              </w:rPr>
              <w:t>Radiation</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0EC7B31D" w14:textId="77777777" w:rsidR="00D4205C" w:rsidRDefault="005224D4">
            <w:r>
              <w:rPr>
                <w:sz w:val="17"/>
              </w:rPr>
              <w:t>Can cure, shrink tumors, reduce recurrence, or relieve symptoms</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1E2F1F69" w14:textId="77777777" w:rsidR="00D4205C" w:rsidRDefault="005224D4">
            <w:r>
              <w:rPr>
                <w:sz w:val="17"/>
              </w:rPr>
              <w:t>Healthy-cell damage, fatigue, skin injury, fibrosis, organ-specific effects, rare second cancers</w:t>
            </w:r>
          </w:p>
        </w:tc>
      </w:tr>
      <w:tr w:rsidR="00D4205C" w14:paraId="6B2C2D73"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F23ADD6" w14:textId="77777777" w:rsidR="00D4205C" w:rsidRDefault="005224D4">
            <w:r>
              <w:rPr>
                <w:sz w:val="17"/>
              </w:rPr>
              <w:t>Chemotherapy</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26D0CFC9" w14:textId="77777777" w:rsidR="00D4205C" w:rsidRDefault="005224D4">
            <w:r>
              <w:rPr>
                <w:sz w:val="17"/>
              </w:rPr>
              <w:t>Systemic approach for fast-growing or spread disease</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33C01681" w14:textId="77777777" w:rsidR="00D4205C" w:rsidRDefault="005224D4">
            <w:r>
              <w:rPr>
                <w:sz w:val="17"/>
              </w:rPr>
              <w:t>Fatigue, nausea, hair loss, infection risk, neuropathy, organ toxicity depending on drug</w:t>
            </w:r>
          </w:p>
        </w:tc>
      </w:tr>
      <w:tr w:rsidR="00D4205C" w14:paraId="7829A356"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18D885C6" w14:textId="77777777" w:rsidR="00D4205C" w:rsidRDefault="005224D4">
            <w:r>
              <w:rPr>
                <w:sz w:val="17"/>
              </w:rPr>
              <w:t>Immunotherapy</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4590AD1C" w14:textId="77777777" w:rsidR="00D4205C" w:rsidRDefault="005224D4">
            <w:r>
              <w:rPr>
                <w:sz w:val="17"/>
              </w:rPr>
              <w:t>Can create deep durable responses in some cancers</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5A4DDD24" w14:textId="77777777" w:rsidR="00D4205C" w:rsidRDefault="005224D4">
            <w:r>
              <w:rPr>
                <w:sz w:val="17"/>
              </w:rPr>
              <w:t>Autoimmune-like inflammation of organs; not all cancers respond</w:t>
            </w:r>
          </w:p>
        </w:tc>
      </w:tr>
      <w:tr w:rsidR="00D4205C" w14:paraId="64C29B8D"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706C24B5" w14:textId="77777777" w:rsidR="00D4205C" w:rsidRDefault="005224D4">
            <w:r>
              <w:rPr>
                <w:sz w:val="17"/>
              </w:rPr>
              <w:t>Targeted therapy</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7FC9275D" w14:textId="77777777" w:rsidR="00D4205C" w:rsidRDefault="005224D4">
            <w:r>
              <w:rPr>
                <w:sz w:val="17"/>
              </w:rPr>
              <w:t>Targets cancer-specific pathways or mutations</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62F8257A" w14:textId="77777777" w:rsidR="00D4205C" w:rsidRDefault="005224D4">
            <w:r>
              <w:rPr>
                <w:sz w:val="17"/>
              </w:rPr>
              <w:t>Resistance, rash, diarrhea, liver effects, heart effects depending on drug</w:t>
            </w:r>
          </w:p>
        </w:tc>
      </w:tr>
    </w:tbl>
    <w:p w14:paraId="18D64F16" w14:textId="77777777" w:rsidR="00D4205C" w:rsidRDefault="00D4205C"/>
    <w:tbl>
      <w:tblPr>
        <w:tblW w:w="5000" w:type="pct"/>
        <w:jc w:val="center"/>
        <w:tblLook w:val="04A0" w:firstRow="1" w:lastRow="0" w:firstColumn="1" w:lastColumn="0" w:noHBand="0" w:noVBand="1"/>
      </w:tblPr>
      <w:tblGrid>
        <w:gridCol w:w="5184"/>
        <w:gridCol w:w="5184"/>
      </w:tblGrid>
      <w:tr w:rsidR="00D4205C" w14:paraId="252B938F" w14:textId="77777777">
        <w:trPr>
          <w:jc w:val="center"/>
        </w:trPr>
        <w:tc>
          <w:tcPr>
            <w:tcW w:w="5184" w:type="dxa"/>
            <w:tcBorders>
              <w:top w:val="nil"/>
              <w:left w:val="nil"/>
              <w:bottom w:val="nil"/>
              <w:right w:val="nil"/>
            </w:tcBorders>
            <w:shd w:val="clear" w:color="auto" w:fill="00B8C8"/>
            <w:tcMar>
              <w:top w:w="80" w:type="dxa"/>
              <w:left w:w="80" w:type="dxa"/>
              <w:bottom w:w="80" w:type="dxa"/>
              <w:right w:w="80" w:type="dxa"/>
            </w:tcMar>
          </w:tcPr>
          <w:p w14:paraId="70A4B0D1" w14:textId="77777777" w:rsidR="00D4205C" w:rsidRDefault="00D4205C"/>
        </w:tc>
        <w:tc>
          <w:tcPr>
            <w:tcW w:w="5184" w:type="dxa"/>
            <w:tcBorders>
              <w:top w:val="nil"/>
              <w:left w:val="nil"/>
              <w:bottom w:val="nil"/>
              <w:right w:val="nil"/>
            </w:tcBorders>
            <w:shd w:val="clear" w:color="auto" w:fill="E8FBFF"/>
            <w:tcMar>
              <w:top w:w="120" w:type="dxa"/>
              <w:left w:w="160" w:type="dxa"/>
              <w:bottom w:w="120" w:type="dxa"/>
              <w:right w:w="160" w:type="dxa"/>
            </w:tcMar>
          </w:tcPr>
          <w:p w14:paraId="79203A1C" w14:textId="77777777" w:rsidR="00D4205C" w:rsidRDefault="005224D4">
            <w:r>
              <w:rPr>
                <w:b/>
                <w:color w:val="081A2B"/>
                <w:sz w:val="23"/>
              </w:rPr>
              <w:t>A better phrase than 'proven care'</w:t>
            </w:r>
          </w:p>
          <w:p w14:paraId="64622B7F" w14:textId="77777777" w:rsidR="00D4205C" w:rsidRDefault="005224D4">
            <w:pPr>
              <w:spacing w:after="0"/>
            </w:pPr>
            <w:r>
              <w:rPr>
                <w:sz w:val="19"/>
              </w:rPr>
              <w:t>Use 'evidence-tested care for a specific cancer situation.' That wording is more honest. It means the treatment has data in a defined setting. It does not mean risk-free, perfect, or automatically right for every patient.</w:t>
            </w:r>
          </w:p>
        </w:tc>
      </w:tr>
    </w:tbl>
    <w:p w14:paraId="13C8A86C" w14:textId="77777777" w:rsidR="00D4205C" w:rsidRDefault="00D4205C"/>
    <w:tbl>
      <w:tblPr>
        <w:tblW w:w="5000" w:type="pct"/>
        <w:jc w:val="center"/>
        <w:tblLook w:val="04A0" w:firstRow="1" w:lastRow="0" w:firstColumn="1" w:lastColumn="0" w:noHBand="0" w:noVBand="1"/>
      </w:tblPr>
      <w:tblGrid>
        <w:gridCol w:w="530"/>
        <w:gridCol w:w="9838"/>
      </w:tblGrid>
      <w:tr w:rsidR="00D4205C" w14:paraId="0056C540" w14:textId="77777777">
        <w:trPr>
          <w:jc w:val="center"/>
        </w:trPr>
        <w:tc>
          <w:tcPr>
            <w:tcW w:w="504" w:type="dxa"/>
            <w:tcBorders>
              <w:top w:val="nil"/>
              <w:left w:val="nil"/>
              <w:bottom w:val="nil"/>
              <w:right w:val="nil"/>
            </w:tcBorders>
            <w:shd w:val="clear" w:color="auto" w:fill="B84A4A"/>
            <w:tcMar>
              <w:top w:w="80" w:type="dxa"/>
              <w:left w:w="80" w:type="dxa"/>
              <w:bottom w:w="80" w:type="dxa"/>
              <w:right w:w="80" w:type="dxa"/>
            </w:tcMar>
          </w:tcPr>
          <w:p w14:paraId="13F1F80D" w14:textId="77777777" w:rsidR="00D4205C" w:rsidRDefault="005224D4">
            <w:pPr>
              <w:jc w:val="center"/>
            </w:pPr>
            <w:r>
              <w:rPr>
                <w:b/>
                <w:color w:val="FFFFFF"/>
                <w:sz w:val="28"/>
              </w:rPr>
              <w:lastRenderedPageBreak/>
              <w:t>06</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44C5C2C5" w14:textId="77777777" w:rsidR="00D4205C" w:rsidRDefault="005224D4">
            <w:r>
              <w:rPr>
                <w:b/>
                <w:color w:val="FFFFFF"/>
                <w:sz w:val="30"/>
              </w:rPr>
              <w:t>RADIATION THERAPY: PROVEN DOES NOT MEAN RISK-FREE</w:t>
            </w:r>
          </w:p>
          <w:p w14:paraId="71CDD44F" w14:textId="77777777" w:rsidR="00D4205C" w:rsidRDefault="005224D4">
            <w:r>
              <w:rPr>
                <w:color w:val="D9F7FA"/>
                <w:sz w:val="19"/>
              </w:rPr>
              <w:t>A clear-eyed section for one of the most important decisions in cancer care.</w:t>
            </w:r>
          </w:p>
        </w:tc>
      </w:tr>
    </w:tbl>
    <w:p w14:paraId="1BD9E71E" w14:textId="77777777" w:rsidR="00D4205C" w:rsidRDefault="00D4205C"/>
    <w:p w14:paraId="11842C97" w14:textId="77777777" w:rsidR="00D4205C" w:rsidRDefault="005224D4">
      <w:pPr>
        <w:spacing w:after="100"/>
      </w:pPr>
      <w:r>
        <w:t>Radiation therapy can be lifesaving, curative, recurrence-reducing, or palliative. It can also damage nearby healthy cells. NCI explains that radiation kills or slows cancer cells but can affect nearby healthy cells, causing side effects; fatigue is common and side effects depend on treatment site, dose, schedule, and patient factors [7,8].</w:t>
      </w:r>
    </w:p>
    <w:tbl>
      <w:tblPr>
        <w:tblW w:w="5000" w:type="pct"/>
        <w:jc w:val="center"/>
        <w:tblLook w:val="04A0" w:firstRow="1" w:lastRow="0" w:firstColumn="1" w:lastColumn="0" w:noHBand="0" w:noVBand="1"/>
      </w:tblPr>
      <w:tblGrid>
        <w:gridCol w:w="5184"/>
        <w:gridCol w:w="5184"/>
      </w:tblGrid>
      <w:tr w:rsidR="00D4205C" w14:paraId="2BC8D8E9" w14:textId="77777777">
        <w:trPr>
          <w:jc w:val="center"/>
        </w:trPr>
        <w:tc>
          <w:tcPr>
            <w:tcW w:w="5184" w:type="dxa"/>
            <w:tcBorders>
              <w:top w:val="nil"/>
              <w:left w:val="nil"/>
              <w:bottom w:val="nil"/>
              <w:right w:val="nil"/>
            </w:tcBorders>
            <w:shd w:val="clear" w:color="auto" w:fill="B84A4A"/>
            <w:tcMar>
              <w:top w:w="80" w:type="dxa"/>
              <w:left w:w="80" w:type="dxa"/>
              <w:bottom w:w="80" w:type="dxa"/>
              <w:right w:w="80" w:type="dxa"/>
            </w:tcMar>
          </w:tcPr>
          <w:p w14:paraId="16AF51AF" w14:textId="77777777" w:rsidR="00D4205C" w:rsidRDefault="00D4205C"/>
        </w:tc>
        <w:tc>
          <w:tcPr>
            <w:tcW w:w="5184" w:type="dxa"/>
            <w:tcBorders>
              <w:top w:val="nil"/>
              <w:left w:val="nil"/>
              <w:bottom w:val="nil"/>
              <w:right w:val="nil"/>
            </w:tcBorders>
            <w:shd w:val="clear" w:color="auto" w:fill="FDECEC"/>
            <w:tcMar>
              <w:top w:w="120" w:type="dxa"/>
              <w:left w:w="160" w:type="dxa"/>
              <w:bottom w:w="120" w:type="dxa"/>
              <w:right w:w="160" w:type="dxa"/>
            </w:tcMar>
          </w:tcPr>
          <w:p w14:paraId="5EDD5C39" w14:textId="77777777" w:rsidR="00D4205C" w:rsidRDefault="005224D4">
            <w:r>
              <w:rPr>
                <w:b/>
                <w:color w:val="B84A4A"/>
                <w:sz w:val="23"/>
              </w:rPr>
              <w:t>The fair radiation position</w:t>
            </w:r>
          </w:p>
          <w:p w14:paraId="6D27D2A4" w14:textId="77777777" w:rsidR="00D4205C" w:rsidRDefault="005224D4">
            <w:pPr>
              <w:spacing w:after="0"/>
            </w:pPr>
            <w:r>
              <w:rPr>
                <w:sz w:val="19"/>
              </w:rPr>
              <w:t>Radiation is not automatically bad. It is also not automatically harmless. It is a powerful tool that deserves a serious risk-benefit conversation before treatment begins.</w:t>
            </w:r>
          </w:p>
        </w:tc>
      </w:tr>
    </w:tbl>
    <w:p w14:paraId="53363BE2" w14:textId="77777777" w:rsidR="00D4205C" w:rsidRDefault="00D4205C"/>
    <w:p w14:paraId="62A433C0" w14:textId="77777777" w:rsidR="00D4205C" w:rsidRDefault="005224D4">
      <w:pPr>
        <w:spacing w:after="100"/>
      </w:pPr>
      <w:r>
        <w:rPr>
          <w:b/>
          <w:color w:val="0F2A44"/>
        </w:rPr>
        <w:t>Key risks to discuss:</w:t>
      </w:r>
    </w:p>
    <w:p w14:paraId="5062471B" w14:textId="77777777" w:rsidR="00D4205C" w:rsidRDefault="005224D4">
      <w:pPr>
        <w:pStyle w:val="ListBullet"/>
        <w:spacing w:after="30"/>
      </w:pPr>
      <w:r>
        <w:rPr>
          <w:sz w:val="19"/>
        </w:rPr>
        <w:t>Short-term fatigue, skin reaction, pain or swelling in the treated area.</w:t>
      </w:r>
    </w:p>
    <w:p w14:paraId="654EC866" w14:textId="77777777" w:rsidR="00D4205C" w:rsidRDefault="005224D4">
      <w:pPr>
        <w:pStyle w:val="ListBullet"/>
        <w:spacing w:after="30"/>
      </w:pPr>
      <w:r>
        <w:rPr>
          <w:sz w:val="19"/>
        </w:rPr>
        <w:t>Organ-specific effects depending on where radiation is aimed: mouth/throat swallowing problems, lung inflammation, heart exposure, bowel/bladder irritation, fertility effects, brain/cognitive effects, or bone marrow suppression.</w:t>
      </w:r>
    </w:p>
    <w:p w14:paraId="1A6AD8FC" w14:textId="77777777" w:rsidR="00D4205C" w:rsidRDefault="005224D4">
      <w:pPr>
        <w:pStyle w:val="ListBullet"/>
        <w:spacing w:after="30"/>
      </w:pPr>
      <w:r>
        <w:rPr>
          <w:sz w:val="19"/>
        </w:rPr>
        <w:t>Long-term tissue changes such as fibrosis/scarring, lymphedema, thyroid problems, dental/jaw issues, lung or heart effects, and rare secondary cancers years later.</w:t>
      </w:r>
    </w:p>
    <w:p w14:paraId="1012EC8E" w14:textId="77777777" w:rsidR="00D4205C" w:rsidRDefault="005224D4">
      <w:pPr>
        <w:pStyle w:val="ListBullet"/>
        <w:spacing w:after="30"/>
      </w:pPr>
      <w:r>
        <w:rPr>
          <w:sz w:val="19"/>
        </w:rPr>
        <w:t>Combined-treatment risk: radiation plus chemotherapy, immunotherapy, or surgery may increase certain side effects.</w:t>
      </w:r>
    </w:p>
    <w:p w14:paraId="4109AF1F" w14:textId="77777777" w:rsidR="00D4205C" w:rsidRDefault="005224D4">
      <w:pPr>
        <w:pStyle w:val="ListBullet"/>
        <w:spacing w:after="30"/>
      </w:pPr>
      <w:r>
        <w:rPr>
          <w:sz w:val="19"/>
        </w:rPr>
        <w:t>Overtreatment risk: some patients may receive aggressive therapy even when a genomic or biomarker profile suggests a lower-risk path is possible. This is exactly why second opinions and biomarker testing matter.</w:t>
      </w:r>
    </w:p>
    <w:p w14:paraId="2B900032" w14:textId="77777777" w:rsidR="00D4205C" w:rsidRDefault="005224D4">
      <w:pPr>
        <w:spacing w:after="100"/>
      </w:pPr>
      <w:r>
        <w:rPr>
          <w:b/>
          <w:color w:val="0F2A44"/>
        </w:rPr>
        <w:t>Questions to ask the radiation oncologist:</w:t>
      </w:r>
    </w:p>
    <w:p w14:paraId="4E644007" w14:textId="77777777" w:rsidR="00D4205C" w:rsidRDefault="005224D4">
      <w:pPr>
        <w:pStyle w:val="ListNumber"/>
        <w:spacing w:after="30"/>
      </w:pPr>
      <w:r>
        <w:rPr>
          <w:sz w:val="19"/>
        </w:rPr>
        <w:t>What is the exact goal: cure, local control, recurrence reduction, symptom relief, or prevention?</w:t>
      </w:r>
    </w:p>
    <w:p w14:paraId="76F9196B" w14:textId="77777777" w:rsidR="00D4205C" w:rsidRDefault="005224D4">
      <w:pPr>
        <w:pStyle w:val="ListNumber"/>
        <w:spacing w:after="30"/>
      </w:pPr>
      <w:r>
        <w:rPr>
          <w:sz w:val="19"/>
        </w:rPr>
        <w:t>What is my absolute benefit from radiation in my case? How much does it reduce recurrence or improve survival?</w:t>
      </w:r>
    </w:p>
    <w:p w14:paraId="4D5105A5" w14:textId="77777777" w:rsidR="00D4205C" w:rsidRDefault="005224D4">
      <w:pPr>
        <w:pStyle w:val="ListNumber"/>
        <w:spacing w:after="30"/>
      </w:pPr>
      <w:r>
        <w:rPr>
          <w:sz w:val="19"/>
        </w:rPr>
        <w:t>What happens if I do not do radiation? What is the quantified risk?</w:t>
      </w:r>
    </w:p>
    <w:p w14:paraId="38527ACF" w14:textId="77777777" w:rsidR="00D4205C" w:rsidRDefault="005224D4">
      <w:pPr>
        <w:pStyle w:val="ListNumber"/>
        <w:spacing w:after="30"/>
      </w:pPr>
      <w:r>
        <w:rPr>
          <w:sz w:val="19"/>
        </w:rPr>
        <w:t>Which organs are at risk, and what dose limits will you use to protect them?</w:t>
      </w:r>
    </w:p>
    <w:p w14:paraId="4F3E384E" w14:textId="77777777" w:rsidR="00D4205C" w:rsidRDefault="005224D4">
      <w:pPr>
        <w:pStyle w:val="ListNumber"/>
        <w:spacing w:after="30"/>
      </w:pPr>
      <w:r>
        <w:rPr>
          <w:sz w:val="19"/>
        </w:rPr>
        <w:t>Are there safer delivery options such as IMRT, SBRT, brachytherapy, proton therapy, breath-hold techniques, or tighter image guidance?</w:t>
      </w:r>
    </w:p>
    <w:p w14:paraId="2102F1C3" w14:textId="77777777" w:rsidR="00D4205C" w:rsidRDefault="005224D4">
      <w:pPr>
        <w:pStyle w:val="ListNumber"/>
        <w:spacing w:after="30"/>
      </w:pPr>
      <w:r>
        <w:rPr>
          <w:sz w:val="19"/>
        </w:rPr>
        <w:t>Could genomic testing, tumor markers, or a second opinion change the radiation recommendation?</w:t>
      </w:r>
    </w:p>
    <w:p w14:paraId="09018F20" w14:textId="77777777" w:rsidR="00D4205C" w:rsidRDefault="005224D4">
      <w:pPr>
        <w:pStyle w:val="ListNumber"/>
        <w:spacing w:after="30"/>
      </w:pPr>
      <w:r>
        <w:rPr>
          <w:sz w:val="19"/>
        </w:rPr>
        <w:t>What side effects are common, which are serious, and which may be permanent?</w:t>
      </w:r>
    </w:p>
    <w:p w14:paraId="1BDC6477" w14:textId="77777777" w:rsidR="00D4205C" w:rsidRDefault="005224D4">
      <w:pPr>
        <w:pStyle w:val="ListNumber"/>
        <w:spacing w:after="30"/>
      </w:pPr>
      <w:r>
        <w:rPr>
          <w:sz w:val="19"/>
        </w:rPr>
        <w:t>How will we monitor and manage side effects during and after treatment?</w:t>
      </w:r>
    </w:p>
    <w:tbl>
      <w:tblPr>
        <w:tblW w:w="5000" w:type="pct"/>
        <w:jc w:val="center"/>
        <w:tblLook w:val="04A0" w:firstRow="1" w:lastRow="0" w:firstColumn="1" w:lastColumn="0" w:noHBand="0" w:noVBand="1"/>
      </w:tblPr>
      <w:tblGrid>
        <w:gridCol w:w="530"/>
        <w:gridCol w:w="9838"/>
      </w:tblGrid>
      <w:tr w:rsidR="00D4205C" w14:paraId="1B1FAEA4"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7106F8A7" w14:textId="77777777" w:rsidR="00D4205C" w:rsidRDefault="005224D4">
            <w:pPr>
              <w:jc w:val="center"/>
            </w:pPr>
            <w:r>
              <w:rPr>
                <w:b/>
                <w:color w:val="FFFFFF"/>
                <w:sz w:val="28"/>
              </w:rPr>
              <w:t>07</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337E0D30" w14:textId="77777777" w:rsidR="00D4205C" w:rsidRDefault="005224D4">
            <w:r>
              <w:rPr>
                <w:b/>
                <w:color w:val="FFFFFF"/>
                <w:sz w:val="30"/>
              </w:rPr>
              <w:t>PRECISION MEDICINE AND SECOND OPINIONS</w:t>
            </w:r>
          </w:p>
          <w:p w14:paraId="05CCC149" w14:textId="77777777" w:rsidR="00D4205C" w:rsidRDefault="005224D4">
            <w:r>
              <w:rPr>
                <w:color w:val="D9F7FA"/>
                <w:sz w:val="19"/>
              </w:rPr>
              <w:t>Do not accept one-size-fits-all cancer care when personalized data may change the path.</w:t>
            </w:r>
          </w:p>
        </w:tc>
      </w:tr>
    </w:tbl>
    <w:p w14:paraId="297B87FF" w14:textId="77777777" w:rsidR="00D4205C" w:rsidRDefault="00D4205C"/>
    <w:p w14:paraId="031D00E1" w14:textId="77777777" w:rsidR="00D4205C" w:rsidRDefault="005224D4">
      <w:pPr>
        <w:spacing w:after="100"/>
      </w:pPr>
      <w:r>
        <w:t>NCI describes biomarker testing as a way to look for genes, proteins, and other tumor substances that may help doctors choose cancer treatment. Biomarker testing is one of the most important bridges between conventional oncology and outside-the-box thinking because it asks: what is driving this person's cancer? [6]</w:t>
      </w:r>
    </w:p>
    <w:p w14:paraId="0AB776E8" w14:textId="77777777" w:rsidR="00D4205C" w:rsidRDefault="005224D4">
      <w:pPr>
        <w:pStyle w:val="ListBullet"/>
        <w:spacing w:after="30"/>
      </w:pPr>
      <w:r>
        <w:rPr>
          <w:sz w:val="19"/>
        </w:rPr>
        <w:t>Ask whether comprehensive genomic profiling has been done.</w:t>
      </w:r>
    </w:p>
    <w:p w14:paraId="3B595A7B" w14:textId="77777777" w:rsidR="00D4205C" w:rsidRDefault="005224D4">
      <w:pPr>
        <w:pStyle w:val="ListBullet"/>
        <w:spacing w:after="30"/>
      </w:pPr>
      <w:r>
        <w:rPr>
          <w:sz w:val="19"/>
        </w:rPr>
        <w:t>Ask whether immunotherapy markers, targeted-therapy markers, hormone receptors, or DNA repair markers apply.</w:t>
      </w:r>
    </w:p>
    <w:p w14:paraId="6DF0F3FE" w14:textId="77777777" w:rsidR="00D4205C" w:rsidRDefault="005224D4">
      <w:pPr>
        <w:pStyle w:val="ListBullet"/>
        <w:spacing w:after="30"/>
      </w:pPr>
      <w:r>
        <w:rPr>
          <w:sz w:val="19"/>
        </w:rPr>
        <w:t>Ask whether a major cancer center or disease-specific specialist should review the case.</w:t>
      </w:r>
    </w:p>
    <w:p w14:paraId="4FCD4797" w14:textId="77777777" w:rsidR="00D4205C" w:rsidRDefault="005224D4">
      <w:pPr>
        <w:pStyle w:val="ListBullet"/>
        <w:spacing w:after="30"/>
      </w:pPr>
      <w:r>
        <w:rPr>
          <w:sz w:val="19"/>
        </w:rPr>
        <w:lastRenderedPageBreak/>
        <w:t>Ask whether clinical trials are available before exhausting all standard options.</w:t>
      </w:r>
    </w:p>
    <w:tbl>
      <w:tblPr>
        <w:tblW w:w="5000" w:type="pct"/>
        <w:jc w:val="center"/>
        <w:tblLook w:val="04A0" w:firstRow="1" w:lastRow="0" w:firstColumn="1" w:lastColumn="0" w:noHBand="0" w:noVBand="1"/>
      </w:tblPr>
      <w:tblGrid>
        <w:gridCol w:w="5184"/>
        <w:gridCol w:w="5184"/>
      </w:tblGrid>
      <w:tr w:rsidR="00D4205C" w14:paraId="0784C55B" w14:textId="77777777">
        <w:trPr>
          <w:jc w:val="center"/>
        </w:trPr>
        <w:tc>
          <w:tcPr>
            <w:tcW w:w="5184" w:type="dxa"/>
            <w:tcBorders>
              <w:top w:val="nil"/>
              <w:left w:val="nil"/>
              <w:bottom w:val="nil"/>
              <w:right w:val="nil"/>
            </w:tcBorders>
            <w:shd w:val="clear" w:color="auto" w:fill="D6A229"/>
            <w:tcMar>
              <w:top w:w="80" w:type="dxa"/>
              <w:left w:w="80" w:type="dxa"/>
              <w:bottom w:w="80" w:type="dxa"/>
              <w:right w:w="80" w:type="dxa"/>
            </w:tcMar>
          </w:tcPr>
          <w:p w14:paraId="1140507D" w14:textId="77777777" w:rsidR="00D4205C" w:rsidRDefault="00D4205C"/>
        </w:tc>
        <w:tc>
          <w:tcPr>
            <w:tcW w:w="5184" w:type="dxa"/>
            <w:tcBorders>
              <w:top w:val="nil"/>
              <w:left w:val="nil"/>
              <w:bottom w:val="nil"/>
              <w:right w:val="nil"/>
            </w:tcBorders>
            <w:shd w:val="clear" w:color="auto" w:fill="FFF5DC"/>
            <w:tcMar>
              <w:top w:w="120" w:type="dxa"/>
              <w:left w:w="160" w:type="dxa"/>
              <w:bottom w:w="120" w:type="dxa"/>
              <w:right w:w="160" w:type="dxa"/>
            </w:tcMar>
          </w:tcPr>
          <w:p w14:paraId="6B5C7CB6" w14:textId="77777777" w:rsidR="00D4205C" w:rsidRDefault="005224D4">
            <w:r>
              <w:rPr>
                <w:b/>
                <w:color w:val="081A2B"/>
                <w:sz w:val="23"/>
              </w:rPr>
              <w:t>Second opinion principle</w:t>
            </w:r>
          </w:p>
          <w:p w14:paraId="56293FE3" w14:textId="77777777" w:rsidR="00D4205C" w:rsidRDefault="005224D4">
            <w:pPr>
              <w:spacing w:after="0"/>
            </w:pPr>
            <w:r>
              <w:rPr>
                <w:sz w:val="19"/>
              </w:rPr>
              <w:t>A second opinion is not an insult to the first doctor. It is due diligence. In business, you would not buy a major company based on one spreadsheet. In cancer, the stakes are higher than a spreadsheet.</w:t>
            </w:r>
          </w:p>
        </w:tc>
      </w:tr>
    </w:tbl>
    <w:p w14:paraId="0B93D807" w14:textId="77777777" w:rsidR="00D4205C" w:rsidRDefault="00D4205C"/>
    <w:tbl>
      <w:tblPr>
        <w:tblW w:w="5000" w:type="pct"/>
        <w:jc w:val="center"/>
        <w:tblLook w:val="04A0" w:firstRow="1" w:lastRow="0" w:firstColumn="1" w:lastColumn="0" w:noHBand="0" w:noVBand="1"/>
      </w:tblPr>
      <w:tblGrid>
        <w:gridCol w:w="530"/>
        <w:gridCol w:w="9838"/>
      </w:tblGrid>
      <w:tr w:rsidR="00D4205C" w14:paraId="47CE4F2A" w14:textId="77777777">
        <w:trPr>
          <w:jc w:val="center"/>
        </w:trPr>
        <w:tc>
          <w:tcPr>
            <w:tcW w:w="504" w:type="dxa"/>
            <w:tcBorders>
              <w:top w:val="nil"/>
              <w:left w:val="nil"/>
              <w:bottom w:val="nil"/>
              <w:right w:val="nil"/>
            </w:tcBorders>
            <w:shd w:val="clear" w:color="auto" w:fill="D6A229"/>
            <w:tcMar>
              <w:top w:w="80" w:type="dxa"/>
              <w:left w:w="80" w:type="dxa"/>
              <w:bottom w:w="80" w:type="dxa"/>
              <w:right w:w="80" w:type="dxa"/>
            </w:tcMar>
          </w:tcPr>
          <w:p w14:paraId="41D33F36" w14:textId="77777777" w:rsidR="00D4205C" w:rsidRDefault="005224D4">
            <w:pPr>
              <w:jc w:val="center"/>
            </w:pPr>
            <w:r>
              <w:rPr>
                <w:b/>
                <w:color w:val="FFFFFF"/>
                <w:sz w:val="28"/>
              </w:rPr>
              <w:t>08</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602CDD12" w14:textId="77777777" w:rsidR="00D4205C" w:rsidRDefault="005224D4">
            <w:r>
              <w:rPr>
                <w:b/>
                <w:color w:val="FFFFFF"/>
                <w:sz w:val="30"/>
              </w:rPr>
              <w:t>OUTSIDE-THE-BOX RESEARCH: PROMISING DOES NOT MEAN PROVEN</w:t>
            </w:r>
          </w:p>
          <w:p w14:paraId="3429EF4E" w14:textId="77777777" w:rsidR="00D4205C" w:rsidRDefault="005224D4">
            <w:r>
              <w:rPr>
                <w:color w:val="D9F7FA"/>
                <w:sz w:val="19"/>
              </w:rPr>
              <w:t>A responsible look at metabolic, mitochondrial, and repurposed-drug ideas.</w:t>
            </w:r>
          </w:p>
        </w:tc>
      </w:tr>
    </w:tbl>
    <w:p w14:paraId="50BFD134" w14:textId="77777777" w:rsidR="00D4205C" w:rsidRDefault="00D4205C"/>
    <w:p w14:paraId="69C994A6" w14:textId="77777777" w:rsidR="00D4205C" w:rsidRDefault="005224D4">
      <w:pPr>
        <w:spacing w:after="100"/>
      </w:pPr>
      <w:r>
        <w:t>The 2024 Journal of Orthomolecular Medicine article on the mitochondrial-stem cell connection proposes a hybrid orthomolecular protocol designed to support oxidative phosphorylation, inhibit cancer fuels such as glucose and glutamine, and target cancer stem cells and metastasis. It is peer-reviewed as a proposed protocol/review, not as definitive proof that the protocol cures cancer in humans [9].</w:t>
      </w:r>
    </w:p>
    <w:tbl>
      <w:tblPr>
        <w:tblW w:w="5000" w:type="pct"/>
        <w:jc w:val="center"/>
        <w:tblLook w:val="04A0" w:firstRow="1" w:lastRow="0" w:firstColumn="1" w:lastColumn="0" w:noHBand="0" w:noVBand="1"/>
      </w:tblPr>
      <w:tblGrid>
        <w:gridCol w:w="3452"/>
        <w:gridCol w:w="3453"/>
        <w:gridCol w:w="3453"/>
      </w:tblGrid>
      <w:tr w:rsidR="00D4205C" w14:paraId="36E754C2"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75589F8F" w14:textId="77777777" w:rsidR="00D4205C" w:rsidRDefault="005224D4">
            <w:r>
              <w:rPr>
                <w:b/>
                <w:color w:val="FFFFFF"/>
                <w:sz w:val="18"/>
              </w:rPr>
              <w:t>Area</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63EE296F" w14:textId="77777777" w:rsidR="00D4205C" w:rsidRDefault="005224D4">
            <w:r>
              <w:rPr>
                <w:b/>
                <w:color w:val="FFFFFF"/>
                <w:sz w:val="18"/>
              </w:rPr>
              <w:t>Why People Are Interested</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42B86429" w14:textId="77777777" w:rsidR="00D4205C" w:rsidRDefault="005224D4">
            <w:r>
              <w:rPr>
                <w:b/>
                <w:color w:val="FFFFFF"/>
                <w:sz w:val="18"/>
              </w:rPr>
              <w:t>Responsible Position</w:t>
            </w:r>
          </w:p>
        </w:tc>
      </w:tr>
      <w:tr w:rsidR="00D4205C" w14:paraId="0DEF3526"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63AB647A" w14:textId="77777777" w:rsidR="00D4205C" w:rsidRDefault="005224D4">
            <w:r>
              <w:rPr>
                <w:sz w:val="17"/>
              </w:rPr>
              <w:t>Mitochondrial / metabolic theory</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13A7988" w14:textId="77777777" w:rsidR="00D4205C" w:rsidRDefault="005224D4">
            <w:r>
              <w:rPr>
                <w:sz w:val="17"/>
              </w:rPr>
              <w:t>Cancer metabolism and mitochondrial dysfunction may matter in some cancers</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7B552EBE" w14:textId="77777777" w:rsidR="00D4205C" w:rsidRDefault="005224D4">
            <w:r>
              <w:rPr>
                <w:sz w:val="17"/>
              </w:rPr>
              <w:t>Still developing; not a replacement for cancer-specific oncology</w:t>
            </w:r>
          </w:p>
        </w:tc>
      </w:tr>
      <w:tr w:rsidR="00D4205C" w14:paraId="4315499B"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2CD6ABAD" w14:textId="77777777" w:rsidR="00D4205C" w:rsidRDefault="005224D4">
            <w:r>
              <w:rPr>
                <w:sz w:val="17"/>
              </w:rPr>
              <w:t>Mebendazole</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4284E084" w14:textId="77777777" w:rsidR="00D4205C" w:rsidRDefault="005224D4">
            <w:r>
              <w:rPr>
                <w:sz w:val="17"/>
              </w:rPr>
              <w:t>Preclinical activity; early glioma trials have tested safety and dosing</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7EA60B88" w14:textId="77777777" w:rsidR="00D4205C" w:rsidRDefault="005224D4">
            <w:r>
              <w:rPr>
                <w:sz w:val="17"/>
              </w:rPr>
              <w:t>Further studies needed to determine efficacy [10,11]</w:t>
            </w:r>
          </w:p>
        </w:tc>
      </w:tr>
      <w:tr w:rsidR="00D4205C" w14:paraId="0D44ABC7"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22B59A0D" w14:textId="77777777" w:rsidR="00D4205C" w:rsidRDefault="005224D4">
            <w:r>
              <w:rPr>
                <w:sz w:val="17"/>
              </w:rPr>
              <w:t>Ivermectin</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2BE396ED" w14:textId="77777777" w:rsidR="00D4205C" w:rsidRDefault="005224D4">
            <w:r>
              <w:rPr>
                <w:sz w:val="17"/>
              </w:rPr>
              <w:t>Mechanistic and preclinical interest; trials are being explored</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5521D066" w14:textId="77777777" w:rsidR="00D4205C" w:rsidRDefault="005224D4">
            <w:r>
              <w:rPr>
                <w:sz w:val="17"/>
              </w:rPr>
              <w:t>ASCO cautions against use for cancer outside trials [12]</w:t>
            </w:r>
          </w:p>
        </w:tc>
      </w:tr>
      <w:tr w:rsidR="00D4205C" w14:paraId="6AD492AC"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1E7EB927" w14:textId="77777777" w:rsidR="00D4205C" w:rsidRDefault="005224D4">
            <w:r>
              <w:rPr>
                <w:sz w:val="17"/>
              </w:rPr>
              <w:t>Fenbendazole</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7E91C80F" w14:textId="77777777" w:rsidR="00D4205C" w:rsidRDefault="005224D4">
            <w:r>
              <w:rPr>
                <w:sz w:val="17"/>
              </w:rPr>
              <w:t>Online popularity and anecdotal claims</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39B4DED0" w14:textId="77777777" w:rsidR="00D4205C" w:rsidRDefault="005224D4">
            <w:r>
              <w:rPr>
                <w:sz w:val="17"/>
              </w:rPr>
              <w:t>Veterinary drug; not established as human cancer treatment</w:t>
            </w:r>
          </w:p>
        </w:tc>
      </w:tr>
      <w:tr w:rsidR="00D4205C" w14:paraId="25F7EEF7"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780BCAC4" w14:textId="77777777" w:rsidR="00D4205C" w:rsidRDefault="005224D4">
            <w:r>
              <w:rPr>
                <w:sz w:val="17"/>
              </w:rPr>
              <w:t>IV Vitamin C</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776EABD3" w14:textId="77777777" w:rsidR="00D4205C" w:rsidRDefault="005224D4">
            <w:r>
              <w:rPr>
                <w:sz w:val="17"/>
              </w:rPr>
              <w:t>Studied as adjunctive therapy; may affect oxidative stress and symptoms in some contexts</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6BC2A9C6" w14:textId="77777777" w:rsidR="00D4205C" w:rsidRDefault="005224D4">
            <w:r>
              <w:rPr>
                <w:sz w:val="17"/>
              </w:rPr>
              <w:t>Not proven as a stand-alone cure; requires medical screening</w:t>
            </w:r>
          </w:p>
        </w:tc>
      </w:tr>
      <w:tr w:rsidR="00D4205C" w14:paraId="08CBA966"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33975212" w14:textId="77777777" w:rsidR="00D4205C" w:rsidRDefault="005224D4">
            <w:r>
              <w:rPr>
                <w:sz w:val="17"/>
              </w:rPr>
              <w:t>Vitamin D</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4F345C4C" w14:textId="77777777" w:rsidR="00D4205C" w:rsidRDefault="005224D4">
            <w:r>
              <w:rPr>
                <w:sz w:val="17"/>
              </w:rPr>
              <w:t>Deficiency correction supports general health</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26C5AEB2" w14:textId="77777777" w:rsidR="00D4205C" w:rsidRDefault="005224D4">
            <w:r>
              <w:rPr>
                <w:sz w:val="17"/>
              </w:rPr>
              <w:t>High doses can be toxic; test and monitor</w:t>
            </w:r>
          </w:p>
        </w:tc>
      </w:tr>
    </w:tbl>
    <w:p w14:paraId="082E7384" w14:textId="77777777" w:rsidR="00D4205C" w:rsidRDefault="00D4205C"/>
    <w:tbl>
      <w:tblPr>
        <w:tblW w:w="5000" w:type="pct"/>
        <w:jc w:val="center"/>
        <w:tblLook w:val="04A0" w:firstRow="1" w:lastRow="0" w:firstColumn="1" w:lastColumn="0" w:noHBand="0" w:noVBand="1"/>
      </w:tblPr>
      <w:tblGrid>
        <w:gridCol w:w="5184"/>
        <w:gridCol w:w="5184"/>
      </w:tblGrid>
      <w:tr w:rsidR="00D4205C" w14:paraId="633C6F28" w14:textId="77777777">
        <w:trPr>
          <w:jc w:val="center"/>
        </w:trPr>
        <w:tc>
          <w:tcPr>
            <w:tcW w:w="5184" w:type="dxa"/>
            <w:tcBorders>
              <w:top w:val="nil"/>
              <w:left w:val="nil"/>
              <w:bottom w:val="nil"/>
              <w:right w:val="nil"/>
            </w:tcBorders>
            <w:shd w:val="clear" w:color="auto" w:fill="00B8C8"/>
            <w:tcMar>
              <w:top w:w="80" w:type="dxa"/>
              <w:left w:w="80" w:type="dxa"/>
              <w:bottom w:w="80" w:type="dxa"/>
              <w:right w:w="80" w:type="dxa"/>
            </w:tcMar>
          </w:tcPr>
          <w:p w14:paraId="79125109" w14:textId="77777777" w:rsidR="00D4205C" w:rsidRDefault="00D4205C"/>
        </w:tc>
        <w:tc>
          <w:tcPr>
            <w:tcW w:w="5184" w:type="dxa"/>
            <w:tcBorders>
              <w:top w:val="nil"/>
              <w:left w:val="nil"/>
              <w:bottom w:val="nil"/>
              <w:right w:val="nil"/>
            </w:tcBorders>
            <w:shd w:val="clear" w:color="auto" w:fill="E8FBFF"/>
            <w:tcMar>
              <w:top w:w="120" w:type="dxa"/>
              <w:left w:w="160" w:type="dxa"/>
              <w:bottom w:w="120" w:type="dxa"/>
              <w:right w:w="160" w:type="dxa"/>
            </w:tcMar>
          </w:tcPr>
          <w:p w14:paraId="4EBBCE6A" w14:textId="77777777" w:rsidR="00D4205C" w:rsidRDefault="005224D4">
            <w:r>
              <w:rPr>
                <w:b/>
                <w:color w:val="081A2B"/>
                <w:sz w:val="23"/>
              </w:rPr>
              <w:t>What the 2026 prescribing data actually showed</w:t>
            </w:r>
          </w:p>
          <w:p w14:paraId="15EA9400" w14:textId="77777777" w:rsidR="00D4205C" w:rsidRDefault="005224D4">
            <w:pPr>
              <w:spacing w:after="0"/>
            </w:pPr>
            <w:r>
              <w:rPr>
                <w:sz w:val="19"/>
              </w:rPr>
              <w:t xml:space="preserve">A 2026 JAMA Network Open study found that ivermectin-benzimidazole prescribing rose after celebrity/podcast </w:t>
            </w:r>
            <w:r>
              <w:rPr>
                <w:sz w:val="19"/>
              </w:rPr>
              <w:lastRenderedPageBreak/>
              <w:t>promotion, including among cancer patients. The study measured prescribing patterns, not cancer outcomes. Popularity is not proof.</w:t>
            </w:r>
          </w:p>
        </w:tc>
      </w:tr>
    </w:tbl>
    <w:p w14:paraId="20814359" w14:textId="77777777" w:rsidR="00D4205C" w:rsidRDefault="00D4205C"/>
    <w:p w14:paraId="1A0183CD" w14:textId="77777777" w:rsidR="00D4205C" w:rsidRDefault="005224D4">
      <w:pPr>
        <w:spacing w:after="100"/>
      </w:pPr>
      <w:r>
        <w:t>ASCO's 2026 clinical notice strongly cautions that ivermectin and fenbendazole should not be used to treat cancer or as adjuncts to established therapy outside well-designed clinical trials because of lack of established clinical benefit plus toxicity and interaction risk [12].</w:t>
      </w:r>
    </w:p>
    <w:tbl>
      <w:tblPr>
        <w:tblW w:w="5000" w:type="pct"/>
        <w:jc w:val="center"/>
        <w:tblLook w:val="04A0" w:firstRow="1" w:lastRow="0" w:firstColumn="1" w:lastColumn="0" w:noHBand="0" w:noVBand="1"/>
      </w:tblPr>
      <w:tblGrid>
        <w:gridCol w:w="530"/>
        <w:gridCol w:w="9838"/>
      </w:tblGrid>
      <w:tr w:rsidR="00D4205C" w14:paraId="6A308203"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472A1A7A" w14:textId="77777777" w:rsidR="00D4205C" w:rsidRDefault="005224D4">
            <w:pPr>
              <w:jc w:val="center"/>
            </w:pPr>
            <w:r>
              <w:rPr>
                <w:b/>
                <w:color w:val="FFFFFF"/>
                <w:sz w:val="28"/>
              </w:rPr>
              <w:t>09</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35468D58" w14:textId="77777777" w:rsidR="00D4205C" w:rsidRDefault="005224D4">
            <w:r>
              <w:rPr>
                <w:b/>
                <w:color w:val="FFFFFF"/>
                <w:sz w:val="30"/>
              </w:rPr>
              <w:t>INTEGRATIVE ONCOLOGY AND SPECIALTY CLINICS</w:t>
            </w:r>
          </w:p>
          <w:p w14:paraId="6EA92655" w14:textId="77777777" w:rsidR="00D4205C" w:rsidRDefault="005224D4">
            <w:r>
              <w:rPr>
                <w:color w:val="D9F7FA"/>
                <w:sz w:val="19"/>
              </w:rPr>
              <w:t>Use them as research and support resources - not as magic wands.</w:t>
            </w:r>
          </w:p>
        </w:tc>
      </w:tr>
    </w:tbl>
    <w:p w14:paraId="61F8A619" w14:textId="77777777" w:rsidR="00D4205C" w:rsidRDefault="00D4205C"/>
    <w:p w14:paraId="1B08F456" w14:textId="77777777" w:rsidR="00D4205C" w:rsidRDefault="005224D4">
      <w:pPr>
        <w:spacing w:after="100"/>
      </w:pPr>
      <w:r>
        <w:t>Integrative oncology can be valuable when it supports nutrition, symptom control, sleep, stress, treatment tolerance, and medically supervised adjunctive care. NCCIH notes that no complementary health approach has been shown to prevent or cure cancer, but some approaches such as acupuncture, mindfulness-based stress reduction, and yoga may help manage symptoms and treatment side effects [13].</w:t>
      </w:r>
    </w:p>
    <w:p w14:paraId="41924642" w14:textId="77777777" w:rsidR="00D4205C" w:rsidRDefault="005224D4">
      <w:pPr>
        <w:spacing w:after="100"/>
      </w:pPr>
      <w:r>
        <w:t>Envita Medical Centers describes its model as precision integrative oncology, combining advanced testing with individualized treatment planning. Envita's website discusses genomics, immunity, transcriptomics, circulating tumor cells, FDA-approved drugs, repurposed drugs, and custom compounded adjuvants, as well as proprietary approaches such as Genetically Targeted Fractionated Chemotherapy, or GTFC [14,15].</w:t>
      </w:r>
    </w:p>
    <w:tbl>
      <w:tblPr>
        <w:tblW w:w="5000" w:type="pct"/>
        <w:jc w:val="center"/>
        <w:tblLook w:val="04A0" w:firstRow="1" w:lastRow="0" w:firstColumn="1" w:lastColumn="0" w:noHBand="0" w:noVBand="1"/>
      </w:tblPr>
      <w:tblGrid>
        <w:gridCol w:w="5184"/>
        <w:gridCol w:w="5184"/>
      </w:tblGrid>
      <w:tr w:rsidR="00D4205C" w14:paraId="6E17D5BD" w14:textId="77777777">
        <w:trPr>
          <w:jc w:val="center"/>
        </w:trPr>
        <w:tc>
          <w:tcPr>
            <w:tcW w:w="5184" w:type="dxa"/>
            <w:tcBorders>
              <w:top w:val="nil"/>
              <w:left w:val="nil"/>
              <w:bottom w:val="nil"/>
              <w:right w:val="nil"/>
            </w:tcBorders>
            <w:shd w:val="clear" w:color="auto" w:fill="D6A229"/>
            <w:tcMar>
              <w:top w:w="80" w:type="dxa"/>
              <w:left w:w="80" w:type="dxa"/>
              <w:bottom w:w="80" w:type="dxa"/>
              <w:right w:w="80" w:type="dxa"/>
            </w:tcMar>
          </w:tcPr>
          <w:p w14:paraId="239E229A" w14:textId="77777777" w:rsidR="00D4205C" w:rsidRDefault="00D4205C"/>
        </w:tc>
        <w:tc>
          <w:tcPr>
            <w:tcW w:w="5184" w:type="dxa"/>
            <w:tcBorders>
              <w:top w:val="nil"/>
              <w:left w:val="nil"/>
              <w:bottom w:val="nil"/>
              <w:right w:val="nil"/>
            </w:tcBorders>
            <w:shd w:val="clear" w:color="auto" w:fill="FFF5DC"/>
            <w:tcMar>
              <w:top w:w="120" w:type="dxa"/>
              <w:left w:w="160" w:type="dxa"/>
              <w:bottom w:w="120" w:type="dxa"/>
              <w:right w:w="160" w:type="dxa"/>
            </w:tcMar>
          </w:tcPr>
          <w:p w14:paraId="04A23282" w14:textId="77777777" w:rsidR="00D4205C" w:rsidRDefault="005224D4">
            <w:r>
              <w:rPr>
                <w:b/>
                <w:color w:val="081A2B"/>
                <w:sz w:val="23"/>
              </w:rPr>
              <w:t>Envita due diligence</w:t>
            </w:r>
          </w:p>
          <w:p w14:paraId="5D78606B" w14:textId="77777777" w:rsidR="00D4205C" w:rsidRDefault="005224D4">
            <w:pPr>
              <w:spacing w:after="0"/>
            </w:pPr>
            <w:r>
              <w:rPr>
                <w:sz w:val="19"/>
              </w:rPr>
              <w:t>Envita may be worth researching for people seeking a broader precision/integrative oncology perspective, especially in advanced or complex cases. But every proposed treatment should be separated into: FDA-approved for this cancer, off-label, investigational, supportive, or speculative.</w:t>
            </w:r>
          </w:p>
        </w:tc>
      </w:tr>
    </w:tbl>
    <w:p w14:paraId="236FB0F1" w14:textId="77777777" w:rsidR="00D4205C" w:rsidRDefault="00D4205C"/>
    <w:p w14:paraId="0EE3DC01" w14:textId="77777777" w:rsidR="00D4205C" w:rsidRDefault="005224D4">
      <w:pPr>
        <w:pStyle w:val="ListBullet"/>
        <w:spacing w:after="30"/>
      </w:pPr>
      <w:r>
        <w:rPr>
          <w:sz w:val="19"/>
        </w:rPr>
        <w:t>Which parts of your plan are FDA-approved for my exact cancer and stage?</w:t>
      </w:r>
    </w:p>
    <w:p w14:paraId="567BCCA8" w14:textId="77777777" w:rsidR="00D4205C" w:rsidRDefault="005224D4">
      <w:pPr>
        <w:pStyle w:val="ListBullet"/>
        <w:spacing w:after="30"/>
      </w:pPr>
      <w:r>
        <w:rPr>
          <w:sz w:val="19"/>
        </w:rPr>
        <w:t>Which parts are off-label or investigational?</w:t>
      </w:r>
    </w:p>
    <w:p w14:paraId="66672F02" w14:textId="77777777" w:rsidR="00D4205C" w:rsidRDefault="005224D4">
      <w:pPr>
        <w:pStyle w:val="ListBullet"/>
        <w:spacing w:after="30"/>
      </w:pPr>
      <w:r>
        <w:rPr>
          <w:sz w:val="19"/>
        </w:rPr>
        <w:t>What published clinical evidence supports this protocol for my cancer type?</w:t>
      </w:r>
    </w:p>
    <w:p w14:paraId="1F8341BC" w14:textId="77777777" w:rsidR="00D4205C" w:rsidRDefault="005224D4">
      <w:pPr>
        <w:pStyle w:val="ListBullet"/>
        <w:spacing w:after="30"/>
      </w:pPr>
      <w:r>
        <w:rPr>
          <w:sz w:val="19"/>
        </w:rPr>
        <w:t>Will you coordinate with my current oncologist?</w:t>
      </w:r>
    </w:p>
    <w:p w14:paraId="097D9341" w14:textId="77777777" w:rsidR="00D4205C" w:rsidRDefault="005224D4">
      <w:pPr>
        <w:pStyle w:val="ListBullet"/>
        <w:spacing w:after="30"/>
      </w:pPr>
      <w:r>
        <w:rPr>
          <w:sz w:val="19"/>
        </w:rPr>
        <w:t>Could anything interfere with surgery, radiation, chemo, immunotherapy, or a clinical trial?</w:t>
      </w:r>
    </w:p>
    <w:p w14:paraId="3186E2CE" w14:textId="77777777" w:rsidR="00D4205C" w:rsidRDefault="005224D4">
      <w:pPr>
        <w:pStyle w:val="ListBullet"/>
        <w:spacing w:after="30"/>
      </w:pPr>
      <w:r>
        <w:rPr>
          <w:sz w:val="19"/>
        </w:rPr>
        <w:t>What are the costs, insurance realities, success metrics, and stopping rules?</w:t>
      </w:r>
    </w:p>
    <w:tbl>
      <w:tblPr>
        <w:tblW w:w="5000" w:type="pct"/>
        <w:jc w:val="center"/>
        <w:tblLook w:val="04A0" w:firstRow="1" w:lastRow="0" w:firstColumn="1" w:lastColumn="0" w:noHBand="0" w:noVBand="1"/>
      </w:tblPr>
      <w:tblGrid>
        <w:gridCol w:w="530"/>
        <w:gridCol w:w="9838"/>
      </w:tblGrid>
      <w:tr w:rsidR="00D4205C" w14:paraId="3A94483E" w14:textId="77777777">
        <w:trPr>
          <w:jc w:val="center"/>
        </w:trPr>
        <w:tc>
          <w:tcPr>
            <w:tcW w:w="504" w:type="dxa"/>
            <w:tcBorders>
              <w:top w:val="nil"/>
              <w:left w:val="nil"/>
              <w:bottom w:val="nil"/>
              <w:right w:val="nil"/>
            </w:tcBorders>
            <w:shd w:val="clear" w:color="auto" w:fill="B84A4A"/>
            <w:tcMar>
              <w:top w:w="80" w:type="dxa"/>
              <w:left w:w="80" w:type="dxa"/>
              <w:bottom w:w="80" w:type="dxa"/>
              <w:right w:w="80" w:type="dxa"/>
            </w:tcMar>
          </w:tcPr>
          <w:p w14:paraId="1EB7C989" w14:textId="77777777" w:rsidR="00D4205C" w:rsidRDefault="005224D4">
            <w:pPr>
              <w:jc w:val="center"/>
            </w:pPr>
            <w:r>
              <w:rPr>
                <w:b/>
                <w:color w:val="FFFFFF"/>
                <w:sz w:val="28"/>
              </w:rPr>
              <w:t>10</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0BBB584D" w14:textId="77777777" w:rsidR="00D4205C" w:rsidRDefault="005224D4">
            <w:r>
              <w:rPr>
                <w:b/>
                <w:color w:val="FFFFFF"/>
                <w:sz w:val="30"/>
              </w:rPr>
              <w:t>CLAIMS THAT DESERVE EXTRA CAUTION</w:t>
            </w:r>
          </w:p>
          <w:p w14:paraId="2D37390C" w14:textId="77777777" w:rsidR="00D4205C" w:rsidRDefault="005224D4">
            <w:r>
              <w:rPr>
                <w:color w:val="D9F7FA"/>
                <w:sz w:val="19"/>
              </w:rPr>
              <w:t>Hope is good. False certainty is dangerous.</w:t>
            </w:r>
          </w:p>
        </w:tc>
      </w:tr>
    </w:tbl>
    <w:p w14:paraId="65A445EB" w14:textId="77777777" w:rsidR="00D4205C" w:rsidRDefault="00D4205C"/>
    <w:tbl>
      <w:tblPr>
        <w:tblW w:w="5000" w:type="pct"/>
        <w:jc w:val="center"/>
        <w:tblLook w:val="04A0" w:firstRow="1" w:lastRow="0" w:firstColumn="1" w:lastColumn="0" w:noHBand="0" w:noVBand="1"/>
      </w:tblPr>
      <w:tblGrid>
        <w:gridCol w:w="3453"/>
        <w:gridCol w:w="3453"/>
        <w:gridCol w:w="3452"/>
      </w:tblGrid>
      <w:tr w:rsidR="00D4205C" w14:paraId="6E47B7E3"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6A1B2894" w14:textId="77777777" w:rsidR="00D4205C" w:rsidRDefault="005224D4">
            <w:r>
              <w:rPr>
                <w:b/>
                <w:color w:val="FFFFFF"/>
                <w:sz w:val="18"/>
              </w:rPr>
              <w:t>Claim</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2EF0984C" w14:textId="77777777" w:rsidR="00D4205C" w:rsidRDefault="005224D4">
            <w:r>
              <w:rPr>
                <w:b/>
                <w:color w:val="FFFFFF"/>
                <w:sz w:val="18"/>
              </w:rPr>
              <w:t>Problem</w:t>
            </w:r>
          </w:p>
        </w:tc>
        <w:tc>
          <w:tcPr>
            <w:tcW w:w="3456" w:type="dxa"/>
            <w:tcBorders>
              <w:top w:val="single" w:sz="4" w:space="0" w:color="DDE5EA"/>
              <w:left w:val="single" w:sz="4" w:space="0" w:color="DDE5EA"/>
              <w:bottom w:val="single" w:sz="4" w:space="0" w:color="DDE5EA"/>
              <w:right w:val="single" w:sz="4" w:space="0" w:color="DDE5EA"/>
            </w:tcBorders>
            <w:shd w:val="clear" w:color="auto" w:fill="0F2A44"/>
            <w:tcMar>
              <w:top w:w="100" w:type="dxa"/>
              <w:left w:w="100" w:type="dxa"/>
              <w:bottom w:w="100" w:type="dxa"/>
              <w:right w:w="100" w:type="dxa"/>
            </w:tcMar>
          </w:tcPr>
          <w:p w14:paraId="5F0F6FFA" w14:textId="77777777" w:rsidR="00D4205C" w:rsidRDefault="005224D4">
            <w:r>
              <w:rPr>
                <w:b/>
                <w:color w:val="FFFFFF"/>
                <w:sz w:val="18"/>
              </w:rPr>
              <w:t>Better Approach</w:t>
            </w:r>
          </w:p>
        </w:tc>
      </w:tr>
      <w:tr w:rsidR="00D4205C" w14:paraId="1AED104D"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50667926" w14:textId="77777777" w:rsidR="00D4205C" w:rsidRDefault="005224D4">
            <w:r>
              <w:rPr>
                <w:sz w:val="17"/>
              </w:rPr>
              <w:lastRenderedPageBreak/>
              <w:t>'Cancer cannot survive in alkaline environments'</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0642800C" w14:textId="77777777" w:rsidR="00D4205C" w:rsidRDefault="005224D4">
            <w:r>
              <w:rPr>
                <w:sz w:val="17"/>
              </w:rPr>
              <w:t>Over-simplifies body chemistry. Blood pH is tightly regulated; diet changes urine pH more than whole-body cancer biology.</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0370CA6" w14:textId="77777777" w:rsidR="00D4205C" w:rsidRDefault="005224D4">
            <w:r>
              <w:rPr>
                <w:sz w:val="17"/>
              </w:rPr>
              <w:t>Focus on nutrient-dense diet, not baking-soda cures.</w:t>
            </w:r>
          </w:p>
        </w:tc>
      </w:tr>
      <w:tr w:rsidR="00D4205C" w14:paraId="49EAA71F"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13972534" w14:textId="77777777" w:rsidR="00D4205C" w:rsidRDefault="005224D4">
            <w:r>
              <w:rPr>
                <w:sz w:val="17"/>
              </w:rPr>
              <w:t>'Cannabis cures cancer'</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287AFD74" w14:textId="77777777" w:rsidR="00D4205C" w:rsidRDefault="005224D4">
            <w:r>
              <w:rPr>
                <w:sz w:val="17"/>
              </w:rPr>
              <w:t>Cannabinoids may help symptoms for some patients; cancer cure claims are not proven.</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115A2283" w14:textId="77777777" w:rsidR="00D4205C" w:rsidRDefault="005224D4">
            <w:r>
              <w:rPr>
                <w:sz w:val="17"/>
              </w:rPr>
              <w:t>Discuss symptom use, drug interactions, cognition, and legal issues.</w:t>
            </w:r>
          </w:p>
        </w:tc>
      </w:tr>
      <w:tr w:rsidR="00D4205C" w14:paraId="2963E59D"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4A1A3E8E" w14:textId="77777777" w:rsidR="00D4205C" w:rsidRDefault="005224D4">
            <w:r>
              <w:rPr>
                <w:sz w:val="17"/>
              </w:rPr>
              <w:t>'Doctors are hiding the cure'</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6BDEB5CF" w14:textId="77777777" w:rsidR="00D4205C" w:rsidRDefault="005224D4">
            <w:r>
              <w:rPr>
                <w:sz w:val="17"/>
              </w:rPr>
              <w:t>Distrust may be emotionally understandable, but broad conspiracy framing can lead to bad decisions.</w:t>
            </w:r>
          </w:p>
        </w:tc>
        <w:tc>
          <w:tcPr>
            <w:tcW w:w="3456" w:type="dxa"/>
            <w:tcBorders>
              <w:top w:val="single" w:sz="4" w:space="0" w:color="DDE5EA"/>
              <w:left w:val="single" w:sz="4" w:space="0" w:color="DDE5EA"/>
              <w:bottom w:val="single" w:sz="4" w:space="0" w:color="DDE5EA"/>
              <w:right w:val="single" w:sz="4" w:space="0" w:color="DDE5EA"/>
            </w:tcBorders>
            <w:shd w:val="clear" w:color="auto" w:fill="F7FAFC"/>
            <w:tcMar>
              <w:top w:w="100" w:type="dxa"/>
              <w:left w:w="100" w:type="dxa"/>
              <w:bottom w:w="100" w:type="dxa"/>
              <w:right w:w="100" w:type="dxa"/>
            </w:tcMar>
          </w:tcPr>
          <w:p w14:paraId="59F1B970" w14:textId="77777777" w:rsidR="00D4205C" w:rsidRDefault="005224D4">
            <w:r>
              <w:rPr>
                <w:sz w:val="17"/>
              </w:rPr>
              <w:t>Demand evidence, outcomes, and transparent risk-benefit analysis.</w:t>
            </w:r>
          </w:p>
        </w:tc>
      </w:tr>
      <w:tr w:rsidR="00D4205C" w14:paraId="510F9E3B" w14:textId="77777777">
        <w:trPr>
          <w:jc w:val="center"/>
        </w:trPr>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786C8F66" w14:textId="77777777" w:rsidR="00D4205C" w:rsidRDefault="005224D4">
            <w:r>
              <w:rPr>
                <w:sz w:val="17"/>
              </w:rPr>
              <w:t>'No side effects because it is natural'</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77C63450" w14:textId="77777777" w:rsidR="00D4205C" w:rsidRDefault="005224D4">
            <w:r>
              <w:rPr>
                <w:sz w:val="17"/>
              </w:rPr>
              <w:t>Natural substances can affect liver enzymes, bleeding, immune function, and drug metabolism.</w:t>
            </w:r>
          </w:p>
        </w:tc>
        <w:tc>
          <w:tcPr>
            <w:tcW w:w="3456" w:type="dxa"/>
            <w:tcBorders>
              <w:top w:val="single" w:sz="4" w:space="0" w:color="DDE5EA"/>
              <w:left w:val="single" w:sz="4" w:space="0" w:color="DDE5EA"/>
              <w:bottom w:val="single" w:sz="4" w:space="0" w:color="DDE5EA"/>
              <w:right w:val="single" w:sz="4" w:space="0" w:color="DDE5EA"/>
            </w:tcBorders>
            <w:shd w:val="clear" w:color="auto" w:fill="FFFFFF"/>
            <w:tcMar>
              <w:top w:w="100" w:type="dxa"/>
              <w:left w:w="100" w:type="dxa"/>
              <w:bottom w:w="100" w:type="dxa"/>
              <w:right w:w="100" w:type="dxa"/>
            </w:tcMar>
          </w:tcPr>
          <w:p w14:paraId="09D1CF6F" w14:textId="77777777" w:rsidR="00D4205C" w:rsidRDefault="005224D4">
            <w:r>
              <w:rPr>
                <w:sz w:val="17"/>
              </w:rPr>
              <w:t>Tell the oncology team about every supplement and medication.</w:t>
            </w:r>
          </w:p>
        </w:tc>
      </w:tr>
    </w:tbl>
    <w:p w14:paraId="5F360D28" w14:textId="77777777" w:rsidR="00D4205C" w:rsidRDefault="00D4205C"/>
    <w:tbl>
      <w:tblPr>
        <w:tblW w:w="5000" w:type="pct"/>
        <w:jc w:val="center"/>
        <w:tblLook w:val="04A0" w:firstRow="1" w:lastRow="0" w:firstColumn="1" w:lastColumn="0" w:noHBand="0" w:noVBand="1"/>
      </w:tblPr>
      <w:tblGrid>
        <w:gridCol w:w="5184"/>
        <w:gridCol w:w="5184"/>
      </w:tblGrid>
      <w:tr w:rsidR="00D4205C" w14:paraId="3BC8E608" w14:textId="77777777">
        <w:trPr>
          <w:jc w:val="center"/>
        </w:trPr>
        <w:tc>
          <w:tcPr>
            <w:tcW w:w="5184" w:type="dxa"/>
            <w:tcBorders>
              <w:top w:val="nil"/>
              <w:left w:val="nil"/>
              <w:bottom w:val="nil"/>
              <w:right w:val="nil"/>
            </w:tcBorders>
            <w:shd w:val="clear" w:color="auto" w:fill="B84A4A"/>
            <w:tcMar>
              <w:top w:w="80" w:type="dxa"/>
              <w:left w:w="80" w:type="dxa"/>
              <w:bottom w:w="80" w:type="dxa"/>
              <w:right w:w="80" w:type="dxa"/>
            </w:tcMar>
          </w:tcPr>
          <w:p w14:paraId="37A39B90" w14:textId="77777777" w:rsidR="00D4205C" w:rsidRDefault="00D4205C"/>
        </w:tc>
        <w:tc>
          <w:tcPr>
            <w:tcW w:w="5184" w:type="dxa"/>
            <w:tcBorders>
              <w:top w:val="nil"/>
              <w:left w:val="nil"/>
              <w:bottom w:val="nil"/>
              <w:right w:val="nil"/>
            </w:tcBorders>
            <w:shd w:val="clear" w:color="auto" w:fill="FDECEC"/>
            <w:tcMar>
              <w:top w:w="120" w:type="dxa"/>
              <w:left w:w="160" w:type="dxa"/>
              <w:bottom w:w="120" w:type="dxa"/>
              <w:right w:w="160" w:type="dxa"/>
            </w:tcMar>
          </w:tcPr>
          <w:p w14:paraId="1A93A999" w14:textId="77777777" w:rsidR="00D4205C" w:rsidRDefault="005224D4">
            <w:r>
              <w:rPr>
                <w:b/>
                <w:color w:val="B84A4A"/>
                <w:sz w:val="23"/>
              </w:rPr>
              <w:t>Red flag sentence</w:t>
            </w:r>
          </w:p>
          <w:p w14:paraId="2DDE1498" w14:textId="77777777" w:rsidR="00D4205C" w:rsidRDefault="005224D4">
            <w:pPr>
              <w:spacing w:after="0"/>
            </w:pPr>
            <w:r>
              <w:rPr>
                <w:sz w:val="19"/>
              </w:rPr>
              <w:t>If someone says, 'This cures every cancer and has no downside,' slow down. That sentence has more red flags than a used-car lot at midnight.</w:t>
            </w:r>
          </w:p>
        </w:tc>
      </w:tr>
    </w:tbl>
    <w:p w14:paraId="252DA071" w14:textId="77777777" w:rsidR="00D4205C" w:rsidRDefault="00D4205C"/>
    <w:tbl>
      <w:tblPr>
        <w:tblW w:w="5000" w:type="pct"/>
        <w:jc w:val="center"/>
        <w:tblLook w:val="04A0" w:firstRow="1" w:lastRow="0" w:firstColumn="1" w:lastColumn="0" w:noHBand="0" w:noVBand="1"/>
      </w:tblPr>
      <w:tblGrid>
        <w:gridCol w:w="530"/>
        <w:gridCol w:w="9838"/>
      </w:tblGrid>
      <w:tr w:rsidR="00D4205C" w14:paraId="6AF26DAC"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6270D93A" w14:textId="77777777" w:rsidR="00D4205C" w:rsidRDefault="005224D4">
            <w:pPr>
              <w:jc w:val="center"/>
            </w:pPr>
            <w:r>
              <w:rPr>
                <w:b/>
                <w:color w:val="FFFFFF"/>
                <w:sz w:val="28"/>
              </w:rPr>
              <w:t>11</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1E4A7F88" w14:textId="77777777" w:rsidR="00D4205C" w:rsidRDefault="005224D4">
            <w:r>
              <w:rPr>
                <w:b/>
                <w:color w:val="FFFFFF"/>
                <w:sz w:val="30"/>
              </w:rPr>
              <w:t>THE CANCER DECISION CHECKLIST</w:t>
            </w:r>
          </w:p>
          <w:p w14:paraId="2B0B48BE" w14:textId="77777777" w:rsidR="00D4205C" w:rsidRDefault="005224D4">
            <w:r>
              <w:rPr>
                <w:color w:val="D9F7FA"/>
                <w:sz w:val="19"/>
              </w:rPr>
              <w:t>A one-page due diligence system for any treatment option.</w:t>
            </w:r>
          </w:p>
        </w:tc>
      </w:tr>
    </w:tbl>
    <w:p w14:paraId="716658B7" w14:textId="77777777" w:rsidR="00D4205C" w:rsidRDefault="00D4205C"/>
    <w:p w14:paraId="7E6660C8" w14:textId="77777777" w:rsidR="00D4205C" w:rsidRDefault="005224D4">
      <w:pPr>
        <w:spacing w:after="100"/>
      </w:pPr>
      <w:r>
        <w:t>Before saying yes or no to any treatment - conventional, integrative, alternative, or experimental - run it through this checklist.</w:t>
      </w:r>
    </w:p>
    <w:p w14:paraId="389BE60C" w14:textId="77777777" w:rsidR="00D4205C" w:rsidRDefault="005224D4">
      <w:pPr>
        <w:spacing w:after="40"/>
      </w:pPr>
      <w:r>
        <w:rPr>
          <w:sz w:val="19"/>
        </w:rPr>
        <w:t>□ Exact diagnosis: cancer type, stage, grade, location, and spread pattern are clear.</w:t>
      </w:r>
    </w:p>
    <w:p w14:paraId="4FD52AE8" w14:textId="77777777" w:rsidR="00D4205C" w:rsidRDefault="005224D4">
      <w:pPr>
        <w:spacing w:after="40"/>
      </w:pPr>
      <w:r>
        <w:rPr>
          <w:sz w:val="19"/>
        </w:rPr>
        <w:t>□ Biomarkers/genomics have been checked or consciously ruled out.</w:t>
      </w:r>
    </w:p>
    <w:p w14:paraId="3FDBEA3C" w14:textId="77777777" w:rsidR="00D4205C" w:rsidRDefault="005224D4">
      <w:pPr>
        <w:spacing w:after="40"/>
      </w:pPr>
      <w:r>
        <w:rPr>
          <w:sz w:val="19"/>
        </w:rPr>
        <w:t>□ The treatment goal is clear: cure, control, symptom relief, or quality of life.</w:t>
      </w:r>
    </w:p>
    <w:p w14:paraId="72B5E579" w14:textId="77777777" w:rsidR="00D4205C" w:rsidRDefault="005224D4">
      <w:pPr>
        <w:spacing w:after="40"/>
      </w:pPr>
      <w:r>
        <w:rPr>
          <w:sz w:val="19"/>
        </w:rPr>
        <w:t>□ The expected benefit is quantified as much as possible.</w:t>
      </w:r>
    </w:p>
    <w:p w14:paraId="47313F74" w14:textId="77777777" w:rsidR="00D4205C" w:rsidRDefault="005224D4">
      <w:pPr>
        <w:spacing w:after="40"/>
      </w:pPr>
      <w:r>
        <w:rPr>
          <w:sz w:val="19"/>
        </w:rPr>
        <w:t>□ The risks include short-term, long-term, and permanent side effects.</w:t>
      </w:r>
    </w:p>
    <w:p w14:paraId="475C1F94" w14:textId="77777777" w:rsidR="00D4205C" w:rsidRDefault="005224D4">
      <w:pPr>
        <w:spacing w:after="40"/>
      </w:pPr>
      <w:r>
        <w:rPr>
          <w:sz w:val="19"/>
        </w:rPr>
        <w:t>□ There is a plan to measure whether it is working.</w:t>
      </w:r>
    </w:p>
    <w:p w14:paraId="343453D2" w14:textId="77777777" w:rsidR="00D4205C" w:rsidRDefault="005224D4">
      <w:pPr>
        <w:spacing w:after="40"/>
      </w:pPr>
      <w:r>
        <w:rPr>
          <w:sz w:val="19"/>
        </w:rPr>
        <w:t>□ Drug/supplement interactions have been reviewed.</w:t>
      </w:r>
    </w:p>
    <w:p w14:paraId="56807E13" w14:textId="77777777" w:rsidR="00D4205C" w:rsidRDefault="005224D4">
      <w:pPr>
        <w:spacing w:after="40"/>
      </w:pPr>
      <w:r>
        <w:rPr>
          <w:sz w:val="19"/>
        </w:rPr>
        <w:t>□ A second opinion or disease specialist has been considered.</w:t>
      </w:r>
    </w:p>
    <w:p w14:paraId="1A717021" w14:textId="77777777" w:rsidR="00D4205C" w:rsidRDefault="005224D4">
      <w:pPr>
        <w:spacing w:after="40"/>
      </w:pPr>
      <w:r>
        <w:rPr>
          <w:sz w:val="19"/>
        </w:rPr>
        <w:t>□ Clinical trials have been searched.</w:t>
      </w:r>
    </w:p>
    <w:p w14:paraId="0CE75192" w14:textId="77777777" w:rsidR="00D4205C" w:rsidRDefault="005224D4">
      <w:pPr>
        <w:spacing w:after="40"/>
      </w:pPr>
      <w:r>
        <w:rPr>
          <w:sz w:val="19"/>
        </w:rPr>
        <w:t>□ The patient understands cost, logistics, time, travel, and quality-of-life tradeoffs.</w:t>
      </w:r>
    </w:p>
    <w:tbl>
      <w:tblPr>
        <w:tblW w:w="5000" w:type="pct"/>
        <w:jc w:val="center"/>
        <w:tblLook w:val="04A0" w:firstRow="1" w:lastRow="0" w:firstColumn="1" w:lastColumn="0" w:noHBand="0" w:noVBand="1"/>
      </w:tblPr>
      <w:tblGrid>
        <w:gridCol w:w="5184"/>
        <w:gridCol w:w="5184"/>
      </w:tblGrid>
      <w:tr w:rsidR="00D4205C" w14:paraId="764836A9" w14:textId="77777777">
        <w:trPr>
          <w:jc w:val="center"/>
        </w:trPr>
        <w:tc>
          <w:tcPr>
            <w:tcW w:w="5184" w:type="dxa"/>
            <w:tcBorders>
              <w:top w:val="nil"/>
              <w:left w:val="nil"/>
              <w:bottom w:val="nil"/>
              <w:right w:val="nil"/>
            </w:tcBorders>
            <w:shd w:val="clear" w:color="auto" w:fill="00B8C8"/>
            <w:tcMar>
              <w:top w:w="80" w:type="dxa"/>
              <w:left w:w="80" w:type="dxa"/>
              <w:bottom w:w="80" w:type="dxa"/>
              <w:right w:w="80" w:type="dxa"/>
            </w:tcMar>
          </w:tcPr>
          <w:p w14:paraId="21310EA1" w14:textId="77777777" w:rsidR="00D4205C" w:rsidRDefault="00D4205C"/>
        </w:tc>
        <w:tc>
          <w:tcPr>
            <w:tcW w:w="5184" w:type="dxa"/>
            <w:tcBorders>
              <w:top w:val="nil"/>
              <w:left w:val="nil"/>
              <w:bottom w:val="nil"/>
              <w:right w:val="nil"/>
            </w:tcBorders>
            <w:shd w:val="clear" w:color="auto" w:fill="E8FBFF"/>
            <w:tcMar>
              <w:top w:w="120" w:type="dxa"/>
              <w:left w:w="160" w:type="dxa"/>
              <w:bottom w:w="120" w:type="dxa"/>
              <w:right w:w="160" w:type="dxa"/>
            </w:tcMar>
          </w:tcPr>
          <w:p w14:paraId="720AFFFD" w14:textId="77777777" w:rsidR="00D4205C" w:rsidRDefault="005224D4">
            <w:r>
              <w:rPr>
                <w:b/>
                <w:color w:val="081A2B"/>
                <w:sz w:val="23"/>
              </w:rPr>
              <w:t>Bottom-line philosophy</w:t>
            </w:r>
          </w:p>
          <w:p w14:paraId="2B0B9462" w14:textId="77777777" w:rsidR="00D4205C" w:rsidRDefault="005224D4">
            <w:pPr>
              <w:spacing w:after="0"/>
            </w:pPr>
            <w:r>
              <w:rPr>
                <w:sz w:val="19"/>
              </w:rPr>
              <w:t xml:space="preserve">The goal is not to choose conventional medicine or alternative medicine as a team jersey. The goal is to build the smartest, safest, most personalized plan possible - and keep </w:t>
            </w:r>
            <w:r>
              <w:rPr>
                <w:sz w:val="19"/>
              </w:rPr>
              <w:lastRenderedPageBreak/>
              <w:t>adjusting based on evidence, response, and patient values.</w:t>
            </w:r>
          </w:p>
        </w:tc>
      </w:tr>
    </w:tbl>
    <w:p w14:paraId="4B65E10A" w14:textId="77777777" w:rsidR="00D4205C" w:rsidRDefault="00D4205C"/>
    <w:tbl>
      <w:tblPr>
        <w:tblW w:w="5000" w:type="pct"/>
        <w:jc w:val="center"/>
        <w:tblLook w:val="04A0" w:firstRow="1" w:lastRow="0" w:firstColumn="1" w:lastColumn="0" w:noHBand="0" w:noVBand="1"/>
      </w:tblPr>
      <w:tblGrid>
        <w:gridCol w:w="530"/>
        <w:gridCol w:w="9838"/>
      </w:tblGrid>
      <w:tr w:rsidR="00D4205C" w14:paraId="5821CF77" w14:textId="77777777">
        <w:trPr>
          <w:jc w:val="center"/>
        </w:trPr>
        <w:tc>
          <w:tcPr>
            <w:tcW w:w="504" w:type="dxa"/>
            <w:tcBorders>
              <w:top w:val="nil"/>
              <w:left w:val="nil"/>
              <w:bottom w:val="nil"/>
              <w:right w:val="nil"/>
            </w:tcBorders>
            <w:shd w:val="clear" w:color="auto" w:fill="D6A229"/>
            <w:tcMar>
              <w:top w:w="80" w:type="dxa"/>
              <w:left w:w="80" w:type="dxa"/>
              <w:bottom w:w="80" w:type="dxa"/>
              <w:right w:w="80" w:type="dxa"/>
            </w:tcMar>
          </w:tcPr>
          <w:p w14:paraId="1E7708FD" w14:textId="77777777" w:rsidR="00D4205C" w:rsidRDefault="005224D4">
            <w:pPr>
              <w:jc w:val="center"/>
            </w:pPr>
            <w:r>
              <w:rPr>
                <w:b/>
                <w:color w:val="FFFFFF"/>
                <w:sz w:val="28"/>
              </w:rPr>
              <w:t>12</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57A088E8" w14:textId="77777777" w:rsidR="00D4205C" w:rsidRDefault="005224D4">
            <w:r>
              <w:rPr>
                <w:b/>
                <w:color w:val="FFFFFF"/>
                <w:sz w:val="30"/>
              </w:rPr>
              <w:t>SHORT NOTE YOU CAN SEND WITH THIS REPORT</w:t>
            </w:r>
          </w:p>
          <w:p w14:paraId="44B1128F" w14:textId="77777777" w:rsidR="00D4205C" w:rsidRDefault="005224D4">
            <w:r>
              <w:rPr>
                <w:color w:val="D9F7FA"/>
                <w:sz w:val="19"/>
              </w:rPr>
              <w:t>Use this when sharing with a friend or family member.</w:t>
            </w:r>
          </w:p>
        </w:tc>
      </w:tr>
    </w:tbl>
    <w:p w14:paraId="2420E811" w14:textId="77777777" w:rsidR="00D4205C" w:rsidRDefault="00D4205C"/>
    <w:tbl>
      <w:tblPr>
        <w:tblW w:w="5000" w:type="pct"/>
        <w:tblLook w:val="04A0" w:firstRow="1" w:lastRow="0" w:firstColumn="1" w:lastColumn="0" w:noHBand="0" w:noVBand="1"/>
      </w:tblPr>
      <w:tblGrid>
        <w:gridCol w:w="10348"/>
      </w:tblGrid>
      <w:tr w:rsidR="00D4205C" w14:paraId="75FC6E42" w14:textId="77777777">
        <w:tc>
          <w:tcPr>
            <w:tcW w:w="10368" w:type="dxa"/>
            <w:tcBorders>
              <w:top w:val="single" w:sz="8" w:space="0" w:color="D6A229"/>
              <w:left w:val="single" w:sz="8" w:space="0" w:color="D6A229"/>
              <w:bottom w:val="single" w:sz="8" w:space="0" w:color="D6A229"/>
              <w:right w:val="single" w:sz="8" w:space="0" w:color="D6A229"/>
            </w:tcBorders>
            <w:shd w:val="clear" w:color="auto" w:fill="FFF5DC"/>
            <w:tcMar>
              <w:top w:w="180" w:type="dxa"/>
              <w:left w:w="220" w:type="dxa"/>
              <w:bottom w:w="180" w:type="dxa"/>
              <w:right w:w="220" w:type="dxa"/>
            </w:tcMar>
          </w:tcPr>
          <w:p w14:paraId="1D7393DE" w14:textId="77777777" w:rsidR="00D4205C" w:rsidRDefault="005224D4">
            <w:r>
              <w:rPr>
                <w:i/>
              </w:rPr>
              <w:t>I am sending this only as a research starter and question guide. I am not telling you what treatment to do. Cancer is complicated and every case is different. My hope is that this helps you ask better questions, consider prevention and integrative support, understand the risks of every option - including radiation - and make decisions with qualified doctors who are willing to explain the evidence clearly.</w:t>
            </w:r>
          </w:p>
        </w:tc>
      </w:tr>
    </w:tbl>
    <w:p w14:paraId="701EC62C" w14:textId="77777777" w:rsidR="00D4205C" w:rsidRDefault="00D4205C"/>
    <w:tbl>
      <w:tblPr>
        <w:tblW w:w="5000" w:type="pct"/>
        <w:jc w:val="center"/>
        <w:tblLook w:val="04A0" w:firstRow="1" w:lastRow="0" w:firstColumn="1" w:lastColumn="0" w:noHBand="0" w:noVBand="1"/>
      </w:tblPr>
      <w:tblGrid>
        <w:gridCol w:w="530"/>
        <w:gridCol w:w="9838"/>
      </w:tblGrid>
      <w:tr w:rsidR="00D4205C" w14:paraId="4492BA9F" w14:textId="77777777">
        <w:trPr>
          <w:jc w:val="center"/>
        </w:trPr>
        <w:tc>
          <w:tcPr>
            <w:tcW w:w="504" w:type="dxa"/>
            <w:tcBorders>
              <w:top w:val="nil"/>
              <w:left w:val="nil"/>
              <w:bottom w:val="nil"/>
              <w:right w:val="nil"/>
            </w:tcBorders>
            <w:shd w:val="clear" w:color="auto" w:fill="00B8C8"/>
            <w:tcMar>
              <w:top w:w="80" w:type="dxa"/>
              <w:left w:w="80" w:type="dxa"/>
              <w:bottom w:w="80" w:type="dxa"/>
              <w:right w:w="80" w:type="dxa"/>
            </w:tcMar>
          </w:tcPr>
          <w:p w14:paraId="67A56AE9" w14:textId="77777777" w:rsidR="00D4205C" w:rsidRDefault="005224D4">
            <w:pPr>
              <w:jc w:val="center"/>
            </w:pPr>
            <w:r>
              <w:rPr>
                <w:b/>
                <w:color w:val="FFFFFF"/>
                <w:sz w:val="28"/>
              </w:rPr>
              <w:t>13</w:t>
            </w:r>
          </w:p>
        </w:tc>
        <w:tc>
          <w:tcPr>
            <w:tcW w:w="9360" w:type="dxa"/>
            <w:tcBorders>
              <w:top w:val="nil"/>
              <w:left w:val="nil"/>
              <w:bottom w:val="nil"/>
              <w:right w:val="nil"/>
            </w:tcBorders>
            <w:shd w:val="clear" w:color="auto" w:fill="0F2A44"/>
            <w:tcMar>
              <w:top w:w="100" w:type="dxa"/>
              <w:left w:w="160" w:type="dxa"/>
              <w:bottom w:w="100" w:type="dxa"/>
              <w:right w:w="160" w:type="dxa"/>
            </w:tcMar>
          </w:tcPr>
          <w:p w14:paraId="50036042" w14:textId="77777777" w:rsidR="00D4205C" w:rsidRDefault="005224D4">
            <w:r>
              <w:rPr>
                <w:b/>
                <w:color w:val="FFFFFF"/>
                <w:sz w:val="30"/>
              </w:rPr>
              <w:t>SELECTED SOURCES</w:t>
            </w:r>
          </w:p>
          <w:p w14:paraId="2C90A83B" w14:textId="77777777" w:rsidR="00D4205C" w:rsidRDefault="005224D4">
            <w:r>
              <w:rPr>
                <w:color w:val="D9F7FA"/>
                <w:sz w:val="19"/>
              </w:rPr>
              <w:t>A mix of official cancer organizations, peer-reviewed articles, and clinic websites for claims about their own services.</w:t>
            </w:r>
          </w:p>
        </w:tc>
      </w:tr>
    </w:tbl>
    <w:p w14:paraId="4C0E41C6" w14:textId="77777777" w:rsidR="00D4205C" w:rsidRDefault="00D4205C"/>
    <w:p w14:paraId="59FE24DE" w14:textId="77777777" w:rsidR="00D4205C" w:rsidRDefault="005224D4">
      <w:pPr>
        <w:spacing w:after="40"/>
      </w:pPr>
      <w:r>
        <w:rPr>
          <w:sz w:val="16"/>
        </w:rPr>
        <w:t xml:space="preserve">[1] American Cancer Society - Diet and Physical Activity Guideline for Cancer Prevention - </w:t>
      </w:r>
      <w:hyperlink r:id="rId8">
        <w:r>
          <w:rPr>
            <w:color w:val="007C89"/>
            <w:u w:val="single"/>
          </w:rPr>
          <w:t>https://www.cancer.org/cancer/risk-prevention/diet-physical-activity/acs-guidelines-nutrition-physical-activity-cancer-prevention.html</w:t>
        </w:r>
      </w:hyperlink>
    </w:p>
    <w:p w14:paraId="05D92D9F" w14:textId="77777777" w:rsidR="00D4205C" w:rsidRDefault="005224D4">
      <w:pPr>
        <w:spacing w:after="40"/>
      </w:pPr>
      <w:r>
        <w:rPr>
          <w:sz w:val="16"/>
        </w:rPr>
        <w:t xml:space="preserve">[2] American Cancer Society - Questions to Ask When Diagnosed With Cancer - </w:t>
      </w:r>
      <w:hyperlink r:id="rId9">
        <w:r>
          <w:rPr>
            <w:color w:val="007C89"/>
            <w:u w:val="single"/>
          </w:rPr>
          <w:t>https://www.cancer.org/content/dam/cancer-org/cancer-control/en/worksheets/questions-to-ask-about-my-cancer.pdf</w:t>
        </w:r>
      </w:hyperlink>
    </w:p>
    <w:p w14:paraId="77B7DF7C" w14:textId="77777777" w:rsidR="00D4205C" w:rsidRDefault="005224D4">
      <w:pPr>
        <w:spacing w:after="40"/>
      </w:pPr>
      <w:r>
        <w:rPr>
          <w:sz w:val="16"/>
        </w:rPr>
        <w:t xml:space="preserve">[3] Ways2Well - Membership / biomarkers / personalized protocols - </w:t>
      </w:r>
      <w:hyperlink r:id="rId10">
        <w:r>
          <w:rPr>
            <w:color w:val="007C89"/>
            <w:u w:val="single"/>
          </w:rPr>
          <w:t>https://ways2well.com/</w:t>
        </w:r>
      </w:hyperlink>
    </w:p>
    <w:p w14:paraId="64059720" w14:textId="77777777" w:rsidR="00D4205C" w:rsidRDefault="005224D4">
      <w:pPr>
        <w:spacing w:after="40"/>
      </w:pPr>
      <w:r>
        <w:rPr>
          <w:sz w:val="16"/>
        </w:rPr>
        <w:t xml:space="preserve">[4] Ways2Well - Cancer Detection Test - </w:t>
      </w:r>
      <w:hyperlink r:id="rId11">
        <w:r>
          <w:rPr>
            <w:color w:val="007C89"/>
            <w:u w:val="single"/>
          </w:rPr>
          <w:t>https://ways2well.com/product/cancer-detection-test</w:t>
        </w:r>
      </w:hyperlink>
    </w:p>
    <w:p w14:paraId="458382DD" w14:textId="77777777" w:rsidR="00D4205C" w:rsidRDefault="005224D4">
      <w:pPr>
        <w:spacing w:after="40"/>
      </w:pPr>
      <w:r>
        <w:rPr>
          <w:sz w:val="16"/>
        </w:rPr>
        <w:t xml:space="preserve">[5] National Cancer Institute - Types of Cancer Treatment - </w:t>
      </w:r>
      <w:hyperlink r:id="rId12">
        <w:r>
          <w:rPr>
            <w:color w:val="007C89"/>
            <w:u w:val="single"/>
          </w:rPr>
          <w:t>https://www.cancer.gov/about-cancer/treatment/types</w:t>
        </w:r>
      </w:hyperlink>
    </w:p>
    <w:p w14:paraId="614022C3" w14:textId="77777777" w:rsidR="00D4205C" w:rsidRDefault="005224D4">
      <w:pPr>
        <w:spacing w:after="40"/>
      </w:pPr>
      <w:r>
        <w:rPr>
          <w:sz w:val="16"/>
        </w:rPr>
        <w:t xml:space="preserve">[6] National Cancer Institute - Biomarker Testing for Cancer Treatment - </w:t>
      </w:r>
      <w:hyperlink r:id="rId13">
        <w:r>
          <w:rPr>
            <w:color w:val="007C89"/>
            <w:u w:val="single"/>
          </w:rPr>
          <w:t>https://www.cancer.gov/about-cancer/treatment/types/biomarker-testing-cancer-treatment</w:t>
        </w:r>
      </w:hyperlink>
    </w:p>
    <w:p w14:paraId="748281CE" w14:textId="77777777" w:rsidR="00D4205C" w:rsidRDefault="005224D4">
      <w:pPr>
        <w:spacing w:after="40"/>
      </w:pPr>
      <w:r>
        <w:rPr>
          <w:sz w:val="16"/>
        </w:rPr>
        <w:t xml:space="preserve">[7] National Cancer Institute - Radiation Therapy Side Effects - </w:t>
      </w:r>
      <w:hyperlink r:id="rId14">
        <w:r>
          <w:rPr>
            <w:color w:val="007C89"/>
            <w:u w:val="single"/>
          </w:rPr>
          <w:t>https://www.cancer.gov/about-cancer/treatment/types/radiation-therapy/side-effects</w:t>
        </w:r>
      </w:hyperlink>
    </w:p>
    <w:p w14:paraId="4DBABC6A" w14:textId="77777777" w:rsidR="00D4205C" w:rsidRDefault="005224D4">
      <w:pPr>
        <w:spacing w:after="40"/>
      </w:pPr>
      <w:r>
        <w:rPr>
          <w:sz w:val="16"/>
        </w:rPr>
        <w:t xml:space="preserve">[8] American Cancer Society - Radiation Therapy Side Effects - </w:t>
      </w:r>
      <w:hyperlink r:id="rId15">
        <w:r>
          <w:rPr>
            <w:color w:val="007C89"/>
            <w:u w:val="single"/>
          </w:rPr>
          <w:t>https://www.cancer.org/cancer/managing-cancer/treatment-types/radiation/effects-on-different-parts-of-body.html</w:t>
        </w:r>
      </w:hyperlink>
    </w:p>
    <w:p w14:paraId="0FDAFCA9" w14:textId="77777777" w:rsidR="00D4205C" w:rsidRDefault="005224D4">
      <w:pPr>
        <w:spacing w:after="40"/>
      </w:pPr>
      <w:r>
        <w:rPr>
          <w:sz w:val="16"/>
        </w:rPr>
        <w:t xml:space="preserve">[9] Baghli et al. - Targeting the Mitochondrial-Stem Cell Connection in Cancer Treatment - </w:t>
      </w:r>
      <w:hyperlink r:id="rId16">
        <w:r>
          <w:rPr>
            <w:color w:val="007C89"/>
            <w:u w:val="single"/>
          </w:rPr>
          <w:t>https://isom.ca/wp-content/uploads/2024/09/Targeting-the-Mitochondrial-Stem-Cell-Connection-in-Cancer-Treatment-JOM-39.3.pdf</w:t>
        </w:r>
      </w:hyperlink>
    </w:p>
    <w:p w14:paraId="5F1BA42D" w14:textId="77777777" w:rsidR="00D4205C" w:rsidRDefault="005224D4">
      <w:pPr>
        <w:spacing w:after="40"/>
      </w:pPr>
      <w:r>
        <w:rPr>
          <w:sz w:val="16"/>
        </w:rPr>
        <w:t xml:space="preserve">[10] Gallia et al. - Mebendazole and temozolomide in newly diagnosed high-grade gliomas - </w:t>
      </w:r>
      <w:hyperlink r:id="rId17">
        <w:r>
          <w:rPr>
            <w:color w:val="007C89"/>
            <w:u w:val="single"/>
          </w:rPr>
          <w:t>https://academic.oup.com/noa/article/3/1/vdaa154/5979487</w:t>
        </w:r>
      </w:hyperlink>
    </w:p>
    <w:p w14:paraId="427648CF" w14:textId="77777777" w:rsidR="00D4205C" w:rsidRDefault="005224D4">
      <w:pPr>
        <w:spacing w:after="40"/>
      </w:pPr>
      <w:r>
        <w:rPr>
          <w:sz w:val="16"/>
        </w:rPr>
        <w:t xml:space="preserve">[11] Krystal et al. - Phase 1 mebendazole with bevacizumab and irinotecan - </w:t>
      </w:r>
      <w:hyperlink r:id="rId18">
        <w:r>
          <w:rPr>
            <w:color w:val="007C89"/>
            <w:u w:val="single"/>
          </w:rPr>
          <w:t>https://pubmed.ncbi.nlm.nih.gov/38234020/</w:t>
        </w:r>
      </w:hyperlink>
    </w:p>
    <w:p w14:paraId="4ED40DB5" w14:textId="77777777" w:rsidR="00D4205C" w:rsidRDefault="005224D4">
      <w:pPr>
        <w:spacing w:after="40"/>
      </w:pPr>
      <w:r>
        <w:rPr>
          <w:sz w:val="16"/>
        </w:rPr>
        <w:t xml:space="preserve">[12] ASCO Clinical Notice - Recommending against ivermectin and fenbendazole for cancer treatment outside clinical trials - </w:t>
      </w:r>
      <w:hyperlink r:id="rId19">
        <w:r>
          <w:rPr>
            <w:color w:val="007C89"/>
            <w:u w:val="single"/>
          </w:rPr>
          <w:t>https://connection.asco.org/do/asco-clinical-notice-recommending-against-ivermectin-and-fenbendazole-cancer-treatment</w:t>
        </w:r>
      </w:hyperlink>
    </w:p>
    <w:p w14:paraId="381EB0CC" w14:textId="77777777" w:rsidR="00D4205C" w:rsidRDefault="005224D4">
      <w:pPr>
        <w:spacing w:after="40"/>
      </w:pPr>
      <w:r>
        <w:rPr>
          <w:sz w:val="16"/>
        </w:rPr>
        <w:t xml:space="preserve">[13] NCCIH - Cancer and Complementary Health Approaches - </w:t>
      </w:r>
      <w:hyperlink r:id="rId20">
        <w:r>
          <w:rPr>
            <w:color w:val="007C89"/>
            <w:u w:val="single"/>
          </w:rPr>
          <w:t>https://www.nccih.nih.gov/health/cancer-and-complementary-health-approaches-what-you-need-to-know</w:t>
        </w:r>
      </w:hyperlink>
    </w:p>
    <w:p w14:paraId="0C7145FF" w14:textId="77777777" w:rsidR="00D4205C" w:rsidRDefault="005224D4">
      <w:pPr>
        <w:spacing w:after="40"/>
      </w:pPr>
      <w:r>
        <w:rPr>
          <w:sz w:val="16"/>
        </w:rPr>
        <w:t xml:space="preserve">[14] Envita - What is precision integrative oncology? - </w:t>
      </w:r>
      <w:hyperlink r:id="rId21">
        <w:r>
          <w:rPr>
            <w:color w:val="007C89"/>
            <w:u w:val="single"/>
          </w:rPr>
          <w:t>https://www.envita.com/faqs/what-is-envitas-precision-integrative-oncology</w:t>
        </w:r>
      </w:hyperlink>
    </w:p>
    <w:p w14:paraId="709710D7" w14:textId="77777777" w:rsidR="00D4205C" w:rsidRDefault="005224D4">
      <w:pPr>
        <w:spacing w:after="40"/>
      </w:pPr>
      <w:r>
        <w:rPr>
          <w:sz w:val="16"/>
        </w:rPr>
        <w:lastRenderedPageBreak/>
        <w:t xml:space="preserve">[15] Envita - Cancer treatment / GTFC - </w:t>
      </w:r>
      <w:hyperlink r:id="rId22">
        <w:r>
          <w:rPr>
            <w:color w:val="007C89"/>
            <w:u w:val="single"/>
          </w:rPr>
          <w:t>https://www.envita.com/conditions/cancer-treatment</w:t>
        </w:r>
      </w:hyperlink>
    </w:p>
    <w:p w14:paraId="6E6DF3B3" w14:textId="77777777" w:rsidR="00D4205C" w:rsidRDefault="005224D4">
      <w:pPr>
        <w:spacing w:after="40"/>
      </w:pPr>
      <w:r>
        <w:rPr>
          <w:sz w:val="16"/>
        </w:rPr>
        <w:t xml:space="preserve">[16] JAMA Network Open - Ivermectin-Benzimidazole Prescribing Following Celebrity Endorsement - </w:t>
      </w:r>
      <w:hyperlink r:id="rId23">
        <w:r>
          <w:rPr>
            <w:color w:val="007C89"/>
            <w:u w:val="single"/>
          </w:rPr>
          <w:t>https://jamanetwork.com/journals/jamanetworkopen/fullarticle/2848862</w:t>
        </w:r>
      </w:hyperlink>
    </w:p>
    <w:sectPr w:rsidR="00D4205C" w:rsidSect="00034616">
      <w:headerReference w:type="default" r:id="rId24"/>
      <w:footerReference w:type="default" r:id="rId25"/>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8B2AA" w14:textId="77777777" w:rsidR="005224D4" w:rsidRDefault="005224D4">
      <w:pPr>
        <w:spacing w:after="0" w:line="240" w:lineRule="auto"/>
      </w:pPr>
      <w:r>
        <w:separator/>
      </w:r>
    </w:p>
  </w:endnote>
  <w:endnote w:type="continuationSeparator" w:id="0">
    <w:p w14:paraId="456A5456" w14:textId="77777777" w:rsidR="005224D4" w:rsidRDefault="00522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19F7" w14:textId="77777777" w:rsidR="00D4205C" w:rsidRDefault="005224D4">
    <w:pPr>
      <w:pStyle w:val="Footer"/>
      <w:jc w:val="right"/>
    </w:pPr>
    <w:r>
      <w:rPr>
        <w:i/>
        <w:color w:val="5D6875"/>
        <w:sz w:val="15"/>
      </w:rPr>
      <w:t xml:space="preserve">For education and doctor discussion only. Not medical advice. </w:t>
    </w:r>
    <w:r>
      <w:fldChar w:fldCharType="begin"/>
    </w:r>
    <w:r>
      <w:instrText>PAGE</w:instrText>
    </w:r>
    <w:r w:rsidR="00FB4B15">
      <w:fldChar w:fldCharType="separate"/>
    </w:r>
    <w:r w:rsidR="00FB4B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FB8A" w14:textId="77777777" w:rsidR="005224D4" w:rsidRDefault="005224D4">
      <w:pPr>
        <w:spacing w:after="0" w:line="240" w:lineRule="auto"/>
      </w:pPr>
      <w:r>
        <w:separator/>
      </w:r>
    </w:p>
  </w:footnote>
  <w:footnote w:type="continuationSeparator" w:id="0">
    <w:p w14:paraId="5039D431" w14:textId="77777777" w:rsidR="005224D4" w:rsidRDefault="00522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13C6" w14:textId="77777777" w:rsidR="00D4205C" w:rsidRDefault="005224D4">
    <w:pPr>
      <w:pStyle w:val="Header"/>
      <w:jc w:val="center"/>
    </w:pPr>
    <w:r>
      <w:rPr>
        <w:b/>
        <w:color w:val="007C89"/>
        <w:sz w:val="15"/>
      </w:rPr>
      <w:t xml:space="preserve">OUTSIDE-THE-BOX CANCER RESEARCH </w:t>
    </w:r>
    <w:proofErr w:type="gramStart"/>
    <w:r>
      <w:rPr>
        <w:b/>
        <w:color w:val="007C89"/>
        <w:sz w:val="15"/>
      </w:rPr>
      <w:t>GUIDE  |</w:t>
    </w:r>
    <w:proofErr w:type="gramEnd"/>
    <w:r>
      <w:rPr>
        <w:b/>
        <w:color w:val="007C89"/>
        <w:sz w:val="15"/>
      </w:rPr>
      <w:t xml:space="preserve">  Evidence-aware, patient-first decision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994638">
    <w:abstractNumId w:val="8"/>
  </w:num>
  <w:num w:numId="2" w16cid:durableId="1330791519">
    <w:abstractNumId w:val="6"/>
  </w:num>
  <w:num w:numId="3" w16cid:durableId="692538120">
    <w:abstractNumId w:val="5"/>
  </w:num>
  <w:num w:numId="4" w16cid:durableId="2017876188">
    <w:abstractNumId w:val="4"/>
  </w:num>
  <w:num w:numId="5" w16cid:durableId="1200044905">
    <w:abstractNumId w:val="7"/>
  </w:num>
  <w:num w:numId="6" w16cid:durableId="226886396">
    <w:abstractNumId w:val="3"/>
  </w:num>
  <w:num w:numId="7" w16cid:durableId="1205942728">
    <w:abstractNumId w:val="2"/>
  </w:num>
  <w:num w:numId="8" w16cid:durableId="1287813050">
    <w:abstractNumId w:val="1"/>
  </w:num>
  <w:num w:numId="9" w16cid:durableId="107508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C98"/>
    <w:rsid w:val="0029639D"/>
    <w:rsid w:val="00326F90"/>
    <w:rsid w:val="005224D4"/>
    <w:rsid w:val="00AA1D8D"/>
    <w:rsid w:val="00B47730"/>
    <w:rsid w:val="00CB0664"/>
    <w:rsid w:val="00D4205C"/>
    <w:rsid w:val="00FB4B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BBC3F"/>
  <w14:defaultImageDpi w14:val="300"/>
  <w15:docId w15:val="{B190CC47-1E71-4D89-A15E-D575B857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1A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7C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org/cancer/risk-prevention/diet-physical-activity/acs-guidelines-nutrition-physical-activity-cancer-prevention.html" TargetMode="External"/><Relationship Id="rId13" Type="http://schemas.openxmlformats.org/officeDocument/2006/relationships/hyperlink" Target="https://www.cancer.gov/about-cancer/treatment/types/biomarker-testing-cancer-treatment" TargetMode="External"/><Relationship Id="rId18" Type="http://schemas.openxmlformats.org/officeDocument/2006/relationships/hyperlink" Target="https://pubmed.ncbi.nlm.nih.gov/3823402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envita.com/faqs/what-is-envitas-precision-integrative-oncology" TargetMode="External"/><Relationship Id="rId7" Type="http://schemas.openxmlformats.org/officeDocument/2006/relationships/endnotes" Target="endnotes.xml"/><Relationship Id="rId12" Type="http://schemas.openxmlformats.org/officeDocument/2006/relationships/hyperlink" Target="https://www.cancer.gov/about-cancer/treatment/types" TargetMode="External"/><Relationship Id="rId17" Type="http://schemas.openxmlformats.org/officeDocument/2006/relationships/hyperlink" Target="https://academic.oup.com/noa/article/3/1/vdaa154/597948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som.ca/wp-content/uploads/2024/09/Targeting-the-Mitochondrial-Stem-Cell-Connection-in-Cancer-Treatment-JOM-39.3.pdf" TargetMode="External"/><Relationship Id="rId20" Type="http://schemas.openxmlformats.org/officeDocument/2006/relationships/hyperlink" Target="https://www.nccih.nih.gov/health/cancer-and-complementary-health-approaches-what-you-need-to-kn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ys2well.com/product/cancer-detection-test"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cancer.org/cancer/managing-cancer/treatment-types/radiation/effects-on-different-parts-of-body.html" TargetMode="External"/><Relationship Id="rId23" Type="http://schemas.openxmlformats.org/officeDocument/2006/relationships/hyperlink" Target="https://jamanetwork.com/journals/jamanetworkopen/fullarticle/2848862" TargetMode="External"/><Relationship Id="rId10" Type="http://schemas.openxmlformats.org/officeDocument/2006/relationships/hyperlink" Target="https://ways2well.com/" TargetMode="External"/><Relationship Id="rId19" Type="http://schemas.openxmlformats.org/officeDocument/2006/relationships/hyperlink" Target="https://connection.asco.org/do/asco-clinical-notice-recommending-against-ivermectin-and-fenbendazole-cancer-treatment" TargetMode="External"/><Relationship Id="rId4" Type="http://schemas.openxmlformats.org/officeDocument/2006/relationships/settings" Target="settings.xml"/><Relationship Id="rId9" Type="http://schemas.openxmlformats.org/officeDocument/2006/relationships/hyperlink" Target="https://www.cancer.org/content/dam/cancer-org/cancer-control/en/worksheets/questions-to-ask-about-my-cancer.pdf" TargetMode="External"/><Relationship Id="rId14" Type="http://schemas.openxmlformats.org/officeDocument/2006/relationships/hyperlink" Target="https://www.cancer.gov/about-cancer/treatment/types/radiation-therapy/side-effects" TargetMode="External"/><Relationship Id="rId22" Type="http://schemas.openxmlformats.org/officeDocument/2006/relationships/hyperlink" Target="https://www.envita.com/conditions/cancer-treatmen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3013</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Outside-the-Box Cancer Research Guide</dc:title>
  <dc:subject>Cancer prevention, treatment questions, integrative oncology, radiation risk, repurposed-drug research</dc:subject>
  <dc:creator>Mike Hinsvark</dc:creator>
  <cp:keywords/>
  <dc:description>Educational report; not medical advice.</dc:description>
  <cp:lastModifiedBy>Mike Hinsvark</cp:lastModifiedBy>
  <cp:revision>2</cp:revision>
  <dcterms:created xsi:type="dcterms:W3CDTF">2026-06-29T00:20:00Z</dcterms:created>
  <dcterms:modified xsi:type="dcterms:W3CDTF">2026-06-29T00:20:00Z</dcterms:modified>
  <cp:category/>
</cp:coreProperties>
</file>