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i w:val="0"/>
          <w:color w:val="5A5A5A"/>
          <w:sz w:val="24"/>
        </w:rPr>
        <w:t>Draft Consulting Proposal</w:t>
      </w:r>
    </w:p>
    <w:p>
      <w:pPr>
        <w:spacing w:after="80"/>
        <w:jc w:val="center"/>
      </w:pPr>
      <w:r>
        <w:rPr>
          <w:rFonts w:ascii="Calibri" w:hAnsi="Calibri"/>
          <w:b/>
          <w:color w:val="0B2545"/>
          <w:sz w:val="48"/>
        </w:rPr>
        <w:t>BP-MIFIR Regulatory Filing Automation</w:t>
      </w:r>
    </w:p>
    <w:p>
      <w:pPr>
        <w:spacing w:after="240"/>
        <w:jc w:val="center"/>
      </w:pPr>
      <w:r>
        <w:rPr>
          <w:rFonts w:ascii="Calibri" w:hAnsi="Calibri"/>
          <w:b w:val="0"/>
          <w:i w:val="0"/>
          <w:color w:val="5A5A5A"/>
          <w:sz w:val="28"/>
        </w:rPr>
        <w:t>Standalone MiFIR/CySEC Filing Workflow System</w:t>
      </w:r>
    </w:p>
    <w:p>
      <w:pPr>
        <w:spacing w:after="40"/>
        <w:jc w:val="center"/>
      </w:pPr>
      <w:r>
        <w:rPr>
          <w:rFonts w:ascii="Calibri" w:hAnsi="Calibri"/>
          <w:b/>
          <w:i w:val="0"/>
          <w:color w:val="0B2545"/>
          <w:sz w:val="22"/>
        </w:rPr>
        <w:t>Prepared for: [Client Name]</w:t>
      </w:r>
    </w:p>
    <w:p>
      <w:pPr>
        <w:spacing w:after="40"/>
        <w:jc w:val="center"/>
      </w:pPr>
      <w:r>
        <w:rPr>
          <w:rFonts w:ascii="Calibri" w:hAnsi="Calibri"/>
          <w:b/>
          <w:i w:val="0"/>
          <w:color w:val="0B2545"/>
          <w:sz w:val="22"/>
        </w:rPr>
        <w:t>Prepared by: [Consultant / Consulting Company Name]</w:t>
      </w:r>
    </w:p>
    <w:p>
      <w:pPr>
        <w:spacing w:after="440"/>
        <w:jc w:val="center"/>
      </w:pPr>
      <w:r>
        <w:rPr>
          <w:rFonts w:ascii="Calibri" w:hAnsi="Calibri"/>
          <w:b w:val="0"/>
          <w:i w:val="0"/>
          <w:color w:val="5A5A5A"/>
          <w:sz w:val="21"/>
        </w:rPr>
        <w:t>Date: 12 June 2026</w:t>
      </w:r>
    </w:p>
    <w:tbl>
      <w:tblPr>
        <w:tblW w:type="dxa" w:w="9360"/>
        <w:jc w:val="center"/>
        <w:tblLayout w:type="fixed"/>
        <w:tblLook w:firstColumn="1" w:firstRow="1" w:lastColumn="0" w:lastRow="0" w:noHBand="0" w:noVBand="1" w:val="04A0"/>
        <w:tblBorders>
          <w:top w:val="single" w:sz="6" w:space="0" w:color="D4DAE3"/>
          <w:left w:val="single" w:sz="6" w:space="0" w:color="D4DAE3"/>
          <w:bottom w:val="single" w:sz="6" w:space="0" w:color="D4DAE3"/>
          <w:right w:val="single" w:sz="6" w:space="0" w:color="D4DAE3"/>
          <w:insideH w:val="single" w:sz="6" w:space="0" w:color="D4DAE3"/>
          <w:insideV w:val="single" w:sz="6" w:space="0" w:color="D4DAE3"/>
        </w:tblBorders>
        <w:tblInd w:w="120" w:type="dxa"/>
      </w:tblPr>
      <w:tblGrid>
        <w:gridCol w:w="9360"/>
      </w:tblGrid>
      <w:tr>
        <w:tc>
          <w:tcPr>
            <w:tcW w:type="dxa" w:w="9360"/>
            <w:tcMar>
              <w:top w:w="80" w:type="dxa"/>
              <w:start w:w="120" w:type="dxa"/>
              <w:bottom w:w="80" w:type="dxa"/>
              <w:end w:w="120" w:type="dxa"/>
            </w:tcMar>
            <w:vAlign w:val="center"/>
            <w:shd w:fill="F4F6F9"/>
          </w:tcPr>
          <w:p>
            <w:pPr>
              <w:spacing w:after="0" w:line="280" w:lineRule="auto"/>
            </w:pPr>
            <w:r>
              <w:rPr>
                <w:rFonts w:ascii="Calibri" w:hAnsi="Calibri"/>
                <w:b/>
                <w:color w:val="0B2545"/>
              </w:rPr>
              <w:t xml:space="preserve">Proposal status: </w:t>
            </w:r>
            <w:r>
              <w:rPr>
                <w:rFonts w:ascii="Calibri" w:hAnsi="Calibri"/>
                <w:color w:val="000000"/>
              </w:rPr>
              <w:t>Draft for commercial and legal review. This document is not a binding statement of work until executed by both parties.</w:t>
            </w:r>
          </w:p>
        </w:tc>
      </w:tr>
    </w:tbl>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2100"/>
        <w:gridCol w:w="7260"/>
      </w:tblGrid>
      <w:tr>
        <w:tc>
          <w:tcPr>
            <w:tcW w:type="dxa" w:w="2100"/>
            <w:tcMar>
              <w:top w:w="80" w:type="dxa"/>
              <w:start w:w="120" w:type="dxa"/>
              <w:bottom w:w="80" w:type="dxa"/>
              <w:end w:w="120" w:type="dxa"/>
            </w:tcMar>
            <w:vAlign w:val="center"/>
            <w:shd w:fill="E8EEF5"/>
          </w:tcPr>
          <w:p>
            <w:pPr>
              <w:spacing w:after="0" w:line="240" w:lineRule="auto"/>
            </w:pPr>
            <w:r>
              <w:rPr>
                <w:rFonts w:ascii="Calibri" w:hAnsi="Calibri"/>
                <w:b/>
                <w:color w:val="0B2545"/>
                <w:sz w:val="19"/>
              </w:rPr>
              <w:t>Item</w:t>
            </w:r>
          </w:p>
        </w:tc>
        <w:tc>
          <w:tcPr>
            <w:tcW w:type="dxa" w:w="7260"/>
            <w:tcMar>
              <w:top w:w="80" w:type="dxa"/>
              <w:start w:w="120" w:type="dxa"/>
              <w:bottom w:w="80" w:type="dxa"/>
              <w:end w:w="120" w:type="dxa"/>
            </w:tcMar>
            <w:vAlign w:val="center"/>
            <w:shd w:fill="E8EEF5"/>
          </w:tcPr>
          <w:p>
            <w:pPr>
              <w:spacing w:after="0" w:line="240" w:lineRule="auto"/>
            </w:pPr>
            <w:r>
              <w:rPr>
                <w:rFonts w:ascii="Calibri" w:hAnsi="Calibri"/>
                <w:b/>
                <w:color w:val="0B2545"/>
                <w:sz w:val="19"/>
              </w:rPr>
              <w:t>Summary</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Project</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BP-MIFIR product redesign and implementation</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Objective</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Automate intake, validation, translation, CySEC submission, feedback tracking, archiving, and update-controlled deployment for MiFIR transaction reports.</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Target users</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Cyprus investment firm operations, compliance, and reporting personnel.</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Regulatory focus</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MiFIR Article 26 transaction reporting, ESMA RTS 22 field and schema controls, CySEC TRS filing workflow, DORA-aligned operational resilience.</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Proposal validity</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30 days from issue date unless extended in writing.</w:t>
            </w:r>
          </w:p>
        </w:tc>
      </w:tr>
    </w:tbl>
    <w:p/>
    <w:p>
      <w:r>
        <w:br w:type="page"/>
      </w:r>
    </w:p>
    <w:p>
      <w:pPr>
        <w:pStyle w:val="Heading1"/>
      </w:pPr>
      <w:r>
        <w:t>1. Executive Summary</w:t>
      </w:r>
    </w:p>
    <w:p>
      <w:r>
        <w:rPr>
          <w:rFonts w:ascii="Calibri" w:hAnsi="Calibri"/>
          <w:b w:val="0"/>
          <w:i w:val="0"/>
        </w:rPr>
        <w:t>[Consultant] proposes to redesign the existing BP-MIFIR converter into a resilient regulatory filing workflow system for MiFIR transaction reports submitted to the Cyprus Securities and Exchange Commission through the CySEC Transaction Reporting System. The redesigned solution will support Deutsche Boerse DBRegHub and UnaVista source files, detect supported formats, validate and translate reports into ESMA format, submit them through the configured CySEC channel, track asynchronous feedback, and archive the full evidence package for accepted, rejected, and remediated filings.</w:t>
      </w:r>
    </w:p>
    <w:p>
      <w:r>
        <w:rPr>
          <w:rFonts w:ascii="Calibri" w:hAnsi="Calibri"/>
          <w:b w:val="0"/>
          <w:i w:val="0"/>
        </w:rPr>
        <w:t>The proposed architecture is local-first and deterministic. A Windows background service will perform unattended processing and a WPF desktop console will provide queue visibility, manual import, remediation, and configuration. Microsoft 365 may be used for controlled archive mirroring, notifications, and update distribution, but the critical filing path will not depend on cloud automation or AI-generated decisions.</w:t>
      </w:r>
    </w:p>
    <w:tbl>
      <w:tblPr>
        <w:tblW w:type="dxa" w:w="9360"/>
        <w:jc w:val="center"/>
        <w:tblLayout w:type="fixed"/>
        <w:tblLook w:firstColumn="1" w:firstRow="1" w:lastColumn="0" w:lastRow="0" w:noHBand="0" w:noVBand="1" w:val="04A0"/>
        <w:tblBorders>
          <w:top w:val="single" w:sz="6" w:space="0" w:color="D4DAE3"/>
          <w:left w:val="single" w:sz="6" w:space="0" w:color="D4DAE3"/>
          <w:bottom w:val="single" w:sz="6" w:space="0" w:color="D4DAE3"/>
          <w:right w:val="single" w:sz="6" w:space="0" w:color="D4DAE3"/>
          <w:insideH w:val="single" w:sz="6" w:space="0" w:color="D4DAE3"/>
          <w:insideV w:val="single" w:sz="6" w:space="0" w:color="D4DAE3"/>
        </w:tblBorders>
        <w:tblInd w:w="120" w:type="dxa"/>
      </w:tblPr>
      <w:tblGrid>
        <w:gridCol w:w="9360"/>
      </w:tblGrid>
      <w:tr>
        <w:tc>
          <w:tcPr>
            <w:tcW w:type="dxa" w:w="9360"/>
            <w:tcMar>
              <w:top w:w="80" w:type="dxa"/>
              <w:start w:w="120" w:type="dxa"/>
              <w:bottom w:w="80" w:type="dxa"/>
              <w:end w:w="120" w:type="dxa"/>
            </w:tcMar>
            <w:vAlign w:val="center"/>
            <w:shd w:fill="F4F6F9"/>
          </w:tcPr>
          <w:p>
            <w:pPr>
              <w:spacing w:after="0" w:line="280" w:lineRule="auto"/>
            </w:pPr>
            <w:r>
              <w:rPr>
                <w:rFonts w:ascii="Calibri" w:hAnsi="Calibri"/>
                <w:b/>
                <w:color w:val="0B2545"/>
              </w:rPr>
              <w:t xml:space="preserve">Commercial intent: </w:t>
            </w:r>
            <w:r>
              <w:rPr>
                <w:rFonts w:ascii="Calibri" w:hAnsi="Calibri"/>
                <w:color w:val="000000"/>
              </w:rPr>
              <w:t>This proposal is structured so the consultant retains ownership of BP-MIFIR software, reusable components, methods, templates, know-how, and improvements. The client receives a limited internal-use licence to the configured solution after payment, subject to the final agreement.</w:t>
            </w:r>
          </w:p>
        </w:tc>
      </w:tr>
    </w:tbl>
    <w:p/>
    <w:p>
      <w:pPr>
        <w:pStyle w:val="Heading1"/>
      </w:pPr>
      <w:r>
        <w:t>2. Background and Objectives</w:t>
      </w:r>
    </w:p>
    <w:p>
      <w:r>
        <w:rPr>
          <w:rFonts w:ascii="Calibri" w:hAnsi="Calibri"/>
          <w:b w:val="0"/>
          <w:i w:val="0"/>
        </w:rPr>
        <w:t>The current BP-MIFIR application is a WPF desktop utility that converts Deutsche Boerse DBRegHub XML files into ESMA transaction reporting XML. It has already introduced important production-hardening concepts, including mandatory-field preflight checks, cancellation handling, warning workflows, and a self-contained Windows release package.</w:t>
      </w:r>
    </w:p>
    <w:p>
      <w:r>
        <w:rPr>
          <w:rFonts w:ascii="Calibri" w:hAnsi="Calibri"/>
          <w:b w:val="0"/>
          <w:i w:val="0"/>
        </w:rPr>
        <w:t>The next product step is to move beyond manual file conversion and implement an operational filing system with unattended intake, durable workflow state, CySEC submission and feedback polling, immutable archiving, recoverability, and controlled update distribution.</w:t>
      </w:r>
    </w:p>
    <w:p>
      <w:pPr>
        <w:pStyle w:val="ListBullet"/>
        <w:spacing w:after="80" w:line="290" w:lineRule="auto"/>
      </w:pPr>
      <w:r>
        <w:t>Reduce end-user workload by accepting files from the UI or a watched drop folder.</w:t>
      </w:r>
    </w:p>
    <w:p>
      <w:pPr>
        <w:pStyle w:val="ListBullet"/>
        <w:spacing w:after="80" w:line="290" w:lineRule="auto"/>
      </w:pPr>
      <w:r>
        <w:t>Support Deutsche Boerse DBRegHub and UnaVista source formats.</w:t>
      </w:r>
    </w:p>
    <w:p>
      <w:pPr>
        <w:pStyle w:val="ListBullet"/>
        <w:spacing w:after="80" w:line="290" w:lineRule="auto"/>
      </w:pPr>
      <w:r>
        <w:t>Automatically identify unsupported files and quarantine them safely.</w:t>
      </w:r>
    </w:p>
    <w:p>
      <w:pPr>
        <w:pStyle w:val="ListBullet"/>
        <w:spacing w:after="80" w:line="290" w:lineRule="auto"/>
      </w:pPr>
      <w:r>
        <w:t>Submit validated ESMA files to CySEC TRS through the configured FTP/FTPS/SFTP process.</w:t>
      </w:r>
    </w:p>
    <w:p>
      <w:pPr>
        <w:pStyle w:val="ListBullet"/>
        <w:spacing w:after="80" w:line="290" w:lineRule="auto"/>
      </w:pPr>
      <w:r>
        <w:t>Track accepted, rejected, pending, and remediated reports.</w:t>
      </w:r>
    </w:p>
    <w:p>
      <w:pPr>
        <w:pStyle w:val="ListBullet"/>
        <w:spacing w:after="80" w:line="290" w:lineRule="auto"/>
      </w:pPr>
      <w:r>
        <w:t>Preserve original, submitted, feedback, and evidence artefacts in a local archive and optional M365 mirror.</w:t>
      </w:r>
    </w:p>
    <w:p>
      <w:pPr>
        <w:pStyle w:val="ListBullet"/>
        <w:spacing w:after="80" w:line="290" w:lineRule="auto"/>
      </w:pPr>
      <w:r>
        <w:t>Support fixes and improvements through a signed standalone installer with guarded update and removal behaviour.</w:t>
      </w:r>
    </w:p>
    <w:p>
      <w:pPr>
        <w:pStyle w:val="Heading1"/>
      </w:pPr>
      <w:r>
        <w:t>3. Proposed Solution</w:t>
      </w:r>
    </w:p>
    <w:p>
      <w:r>
        <w:rPr>
          <w:rFonts w:ascii="Calibri" w:hAnsi="Calibri"/>
          <w:b w:val="0"/>
          <w:i w:val="0"/>
        </w:rPr>
        <w:t>The recommended design is a hybrid local-first application consisting of a Windows Service, a desktop operator console, deterministic format adapters, a canonical MiFIR report model, ESMA validation and serialization, CySEC connectivity, a SQLite workflow store, and a tamper-evident archive manager.</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2200"/>
        <w:gridCol w:w="7160"/>
      </w:tblGrid>
      <w:t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9"/>
              </w:rPr>
              <w:t>Component</w:t>
            </w:r>
          </w:p>
        </w:tc>
        <w:tc>
          <w:tcPr>
            <w:tcW w:type="dxa" w:w="7160"/>
            <w:tcMar>
              <w:top w:w="80" w:type="dxa"/>
              <w:start w:w="120" w:type="dxa"/>
              <w:bottom w:w="80" w:type="dxa"/>
              <w:end w:w="120" w:type="dxa"/>
            </w:tcMar>
            <w:vAlign w:val="center"/>
            <w:shd w:fill="E8EEF5"/>
          </w:tcPr>
          <w:p>
            <w:pPr>
              <w:spacing w:after="0" w:line="240" w:lineRule="auto"/>
            </w:pPr>
            <w:r>
              <w:rPr>
                <w:rFonts w:ascii="Calibri" w:hAnsi="Calibri"/>
                <w:b/>
                <w:color w:val="0B2545"/>
                <w:sz w:val="19"/>
              </w:rPr>
              <w:t>Purpose</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Windows Service</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Scans drop folders, processes batches, submits to CySEC, polls feedback, retries safely, and writes durable state.</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Desktop UI</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Shows queue status, warnings, validation failures, rejected reports, remediation cases, configuration, and manual import.</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Format adapters</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Detect and parse Deutsche Boerse DBRegHub and UnaVista input files into a canonical internal model.</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Validation engine</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Runs source schema checks, ESMA preflight, generated XML validation, and mandatory-field controls.</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CySEC client</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Submits files and retrieves feedback through the configured CySEC TRS channel.</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Archive manager</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Stores original, canonical, submitted, feedback, and evidence files with SHA-256 manifests.</w:t>
            </w:r>
          </w:p>
        </w:tc>
      </w:tr>
      <w:tr>
        <w:tc>
          <w:tcPr>
            <w:tcW w:type="dxa" w:w="2200"/>
            <w:tcMar>
              <w:top w:w="80" w:type="dxa"/>
              <w:start w:w="120" w:type="dxa"/>
              <w:bottom w:w="80" w:type="dxa"/>
              <w:end w:w="120" w:type="dxa"/>
            </w:tcMar>
            <w:vAlign w:val="center"/>
          </w:tcPr>
          <w:p>
            <w:pPr>
              <w:spacing w:after="0" w:line="264" w:lineRule="auto"/>
            </w:pPr>
            <w:r>
              <w:rPr>
                <w:rFonts w:ascii="Calibri" w:hAnsi="Calibri"/>
                <w:sz w:val="19"/>
              </w:rPr>
              <w:t>Installer/updater</w:t>
            </w:r>
          </w:p>
        </w:tc>
        <w:tc>
          <w:tcPr>
            <w:tcW w:type="dxa" w:w="7160"/>
            <w:tcMar>
              <w:top w:w="80" w:type="dxa"/>
              <w:start w:w="120" w:type="dxa"/>
              <w:bottom w:w="80" w:type="dxa"/>
              <w:end w:w="120" w:type="dxa"/>
            </w:tcMar>
            <w:vAlign w:val="center"/>
          </w:tcPr>
          <w:p>
            <w:pPr>
              <w:spacing w:after="0" w:line="264" w:lineRule="auto"/>
            </w:pPr>
            <w:r>
              <w:rPr>
                <w:rFonts w:ascii="Calibri" w:hAnsi="Calibri"/>
                <w:sz w:val="19"/>
              </w:rPr>
              <w:t>Installs service and UI, supports in-place updates, repairs, and guarded removal.</w:t>
            </w:r>
          </w:p>
        </w:tc>
      </w:tr>
    </w:tbl>
    <w:p/>
    <w:p>
      <w:pPr>
        <w:pStyle w:val="Heading1"/>
      </w:pPr>
      <w:r>
        <w:t>4. Scope of Services</w:t>
      </w:r>
    </w:p>
    <w:p>
      <w:r>
        <w:rPr>
          <w:rFonts w:ascii="Calibri" w:hAnsi="Calibri"/>
          <w:b w:val="0"/>
          <w:i w:val="0"/>
        </w:rPr>
        <w:t>The engagement will be delivered in phases. Final sequencing, effort, and commercial terms will be confirmed after discovery, review of CySEC technical requirements, and availability of UnaVista sample files/specifications.</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1450"/>
        <w:gridCol w:w="4750"/>
        <w:gridCol w:w="3160"/>
      </w:tblGrid>
      <w:t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0B2545"/>
                <w:sz w:val="19"/>
              </w:rPr>
              <w:t>Phase</w:t>
            </w:r>
          </w:p>
        </w:tc>
        <w:tc>
          <w:tcPr>
            <w:tcW w:type="dxa" w:w="4750"/>
            <w:tcMar>
              <w:top w:w="80" w:type="dxa"/>
              <w:start w:w="120" w:type="dxa"/>
              <w:bottom w:w="80" w:type="dxa"/>
              <w:end w:w="120" w:type="dxa"/>
            </w:tcMar>
            <w:vAlign w:val="center"/>
            <w:shd w:fill="E8EEF5"/>
          </w:tcPr>
          <w:p>
            <w:pPr>
              <w:spacing w:after="0" w:line="240" w:lineRule="auto"/>
            </w:pPr>
            <w:r>
              <w:rPr>
                <w:rFonts w:ascii="Calibri" w:hAnsi="Calibri"/>
                <w:b/>
                <w:color w:val="0B2545"/>
                <w:sz w:val="19"/>
              </w:rPr>
              <w:t>Consultant Deliverables</w:t>
            </w:r>
          </w:p>
        </w:tc>
        <w:tc>
          <w:tcPr>
            <w:tcW w:type="dxa" w:w="3160"/>
            <w:tcMar>
              <w:top w:w="80" w:type="dxa"/>
              <w:start w:w="120" w:type="dxa"/>
              <w:bottom w:w="80" w:type="dxa"/>
              <w:end w:w="120" w:type="dxa"/>
            </w:tcMar>
            <w:vAlign w:val="center"/>
            <w:shd w:fill="E8EEF5"/>
          </w:tcPr>
          <w:p>
            <w:pPr>
              <w:spacing w:after="0" w:line="240" w:lineRule="auto"/>
            </w:pPr>
            <w:r>
              <w:rPr>
                <w:rFonts w:ascii="Calibri" w:hAnsi="Calibri"/>
                <w:b/>
                <w:color w:val="0B2545"/>
                <w:sz w:val="19"/>
              </w:rPr>
              <w:t>Acceptance Evidence</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1. Discovery and controls</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Confirm CySEC TRS FTP/folder/feedback rules, UnaVista sample formats, ESMA schema version, M365 constraints, retention requirements, deployment target, and operational roles.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Signed discovery summary, technical assumptions log, risks, updated implementation plan.</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2. Core refactor</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Extract current conversion logic from WPF into reusable .NET libraries; introduce canonical MiFIR report model and deterministic mapping contracts.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Buildable solution, unit tests, Deutsche Boerse regression fixtures.</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3. Format adapters</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Implement Deutsche Boerse DBRegHub adapter and UnaVista adapter with deterministic format detection and quarantine for unsupported files.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Format detection tests, adapter tests, sample output review.</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4. Validation and ESMA output</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Implement source validation, mandatory-field preflight, ESMA output generation, schema validation, and warning records.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Golden-file tests, validation evidence, rejected/accepted fixture coverage.</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5. CySEC workflow</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Implement durable workflow state machine, CySEC submission client, feedback poller, retry policy, and rejection classification.</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End-to-end test against mock CySEC endpoint or client test environment.</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6. Archive and compliance evidence</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Implement local archive structure, SHA-256 manifests, hash chain, SQLite workflow store, M365 mirror hooks, and recovery behaviour.</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Archive package examples, recovery tests, compliance evidence pack.</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7. Operator UI</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Implement queue, status, warnings, rejection triage, manual import, configuration screens, and operational diagnostics.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UAT-ready desktop app with operator workflow guide.</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8. Installer and update</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Create signed MSI or bootstrapper EXE with install, update, repair, guarded uninstall, and future Intune-compatible silent commands.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Installer package, update/rollback evidence, installation guide.</w:t>
            </w:r>
          </w:p>
        </w:tc>
      </w:tr>
      <w:tr>
        <w:tc>
          <w:tcPr>
            <w:tcW w:type="dxa" w:w="1450"/>
            <w:tcMar>
              <w:top w:w="80" w:type="dxa"/>
              <w:start w:w="120" w:type="dxa"/>
              <w:bottom w:w="80" w:type="dxa"/>
              <w:end w:w="120" w:type="dxa"/>
            </w:tcMar>
            <w:vAlign w:val="center"/>
          </w:tcPr>
          <w:p>
            <w:pPr>
              <w:spacing w:after="0" w:line="264" w:lineRule="auto"/>
            </w:pPr>
            <w:r>
              <w:rPr>
                <w:rFonts w:ascii="Calibri" w:hAnsi="Calibri"/>
                <w:sz w:val="19"/>
              </w:rPr>
              <w:t>9. Testing, documentation, handover</w:t>
            </w:r>
          </w:p>
        </w:tc>
        <w:tc>
          <w:tcPr>
            <w:tcW w:type="dxa" w:w="4750"/>
            <w:tcMar>
              <w:top w:w="80" w:type="dxa"/>
              <w:start w:w="120" w:type="dxa"/>
              <w:bottom w:w="80" w:type="dxa"/>
              <w:end w:w="120" w:type="dxa"/>
            </w:tcMar>
            <w:vAlign w:val="center"/>
          </w:tcPr>
          <w:p>
            <w:pPr>
              <w:spacing w:after="0" w:line="264" w:lineRule="auto"/>
            </w:pPr>
            <w:r>
              <w:rPr>
                <w:rFonts w:ascii="Calibri" w:hAnsi="Calibri"/>
                <w:sz w:val="19"/>
              </w:rPr>
              <w:t>Run regression, recovery, security, no-payload logging, archive, and deployment tests; prepare admin/operator docs.</w:t>
            </w:r>
          </w:p>
        </w:tc>
        <w:tc>
          <w:tcPr>
            <w:tcW w:type="dxa" w:w="3160"/>
            <w:tcMar>
              <w:top w:w="80" w:type="dxa"/>
              <w:start w:w="120" w:type="dxa"/>
              <w:bottom w:w="80" w:type="dxa"/>
              <w:end w:w="120" w:type="dxa"/>
            </w:tcMar>
            <w:vAlign w:val="center"/>
          </w:tcPr>
          <w:p>
            <w:pPr>
              <w:spacing w:after="0" w:line="264" w:lineRule="auto"/>
            </w:pPr>
            <w:r>
              <w:rPr>
                <w:rFonts w:ascii="Calibri" w:hAnsi="Calibri"/>
                <w:sz w:val="19"/>
              </w:rPr>
              <w:t>Release candidate, test report, handover pack, open issues register.</w:t>
            </w:r>
          </w:p>
        </w:tc>
      </w:tr>
    </w:tbl>
    <w:p/>
    <w:p>
      <w:pPr>
        <w:pStyle w:val="Heading1"/>
      </w:pPr>
      <w:r>
        <w:t>5. Deliverables</w:t>
      </w:r>
    </w:p>
    <w:p>
      <w:pPr>
        <w:pStyle w:val="ListBullet"/>
        <w:spacing w:after="80" w:line="290" w:lineRule="auto"/>
      </w:pPr>
      <w:r>
        <w:t>Refactored .NET solution with core library, adapters, ESMA module, storage module, worker service, and WPF desktop console.</w:t>
      </w:r>
    </w:p>
    <w:p>
      <w:pPr>
        <w:pStyle w:val="ListBullet"/>
        <w:spacing w:after="80" w:line="290" w:lineRule="auto"/>
      </w:pPr>
      <w:r>
        <w:t>Deutsche Boerse DBRegHub and UnaVista input adapters, subject to receipt of authoritative samples/specifications.</w:t>
      </w:r>
    </w:p>
    <w:p>
      <w:pPr>
        <w:pStyle w:val="ListBullet"/>
        <w:spacing w:after="80" w:line="290" w:lineRule="auto"/>
      </w:pPr>
      <w:r>
        <w:t>CySEC submission and feedback processing module, subject to CySEC TRS technical access and test credentials.</w:t>
      </w:r>
    </w:p>
    <w:p>
      <w:pPr>
        <w:pStyle w:val="ListBullet"/>
        <w:spacing w:after="80" w:line="290" w:lineRule="auto"/>
      </w:pPr>
      <w:r>
        <w:t>SQLite workflow database and explicit migration scripts.</w:t>
      </w:r>
    </w:p>
    <w:p>
      <w:pPr>
        <w:pStyle w:val="ListBullet"/>
        <w:spacing w:after="80" w:line="290" w:lineRule="auto"/>
      </w:pPr>
      <w:r>
        <w:t>Local archive manager with immutable batch folders and SHA-256 evidence manifests.</w:t>
      </w:r>
    </w:p>
    <w:p>
      <w:pPr>
        <w:pStyle w:val="ListBullet"/>
        <w:spacing w:after="80" w:line="290" w:lineRule="auto"/>
      </w:pPr>
      <w:r>
        <w:t>Optional M365 archive mirror and notifications, subject to tenant permissions and licensing.</w:t>
      </w:r>
    </w:p>
    <w:p>
      <w:pPr>
        <w:pStyle w:val="ListBullet"/>
        <w:spacing w:after="80" w:line="290" w:lineRule="auto"/>
      </w:pPr>
      <w:r>
        <w:t>Standalone signed MSI or bootstrapper EXE with update, repair, uninstall, and guardrails.</w:t>
      </w:r>
    </w:p>
    <w:p>
      <w:pPr>
        <w:pStyle w:val="ListBullet"/>
        <w:spacing w:after="80" w:line="290" w:lineRule="auto"/>
      </w:pPr>
      <w:r>
        <w:t>Automated test suite covering format detection, mapping, validation, archive, recovery, and CySEC mock workflows.</w:t>
      </w:r>
    </w:p>
    <w:p>
      <w:pPr>
        <w:pStyle w:val="ListBullet"/>
        <w:spacing w:after="80" w:line="290" w:lineRule="auto"/>
      </w:pPr>
      <w:r>
        <w:t>Operator guide, administrator/deployment guide, release notes, and support handover materials.</w:t>
      </w:r>
    </w:p>
    <w:p>
      <w:pPr>
        <w:pStyle w:val="Heading1"/>
      </w:pPr>
      <w:r>
        <w:t>6. Compliance, Security, and Resilience Approach</w:t>
      </w:r>
    </w:p>
    <w:p>
      <w:r>
        <w:rPr>
          <w:rFonts w:ascii="Calibri" w:hAnsi="Calibri"/>
          <w:b w:val="0"/>
          <w:i w:val="0"/>
        </w:rPr>
        <w:t>The solution will be designed to support regulated-entity operation, but it will not replace the client's legal, compliance, outsourcing, DPIA, DORA, or regulatory obligations. The client remains responsible for filing accuracy, sign-off, regulatory interpretation, and final production controls.</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1900"/>
        <w:gridCol w:w="7460"/>
      </w:tblGrid>
      <w:t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9"/>
              </w:rPr>
              <w:t>Area</w:t>
            </w:r>
          </w:p>
        </w:tc>
        <w:tc>
          <w:tcPr>
            <w:tcW w:type="dxa" w:w="7460"/>
            <w:tcMar>
              <w:top w:w="80" w:type="dxa"/>
              <w:start w:w="120" w:type="dxa"/>
              <w:bottom w:w="80" w:type="dxa"/>
              <w:end w:w="120" w:type="dxa"/>
            </w:tcMar>
            <w:vAlign w:val="center"/>
            <w:shd w:fill="E8EEF5"/>
          </w:tcPr>
          <w:p>
            <w:pPr>
              <w:spacing w:after="0" w:line="240" w:lineRule="auto"/>
            </w:pPr>
            <w:r>
              <w:rPr>
                <w:rFonts w:ascii="Calibri" w:hAnsi="Calibri"/>
                <w:b/>
                <w:color w:val="0B2545"/>
                <w:sz w:val="19"/>
              </w:rPr>
              <w:t>Planned Control</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MiFIR / RTS 22</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Deterministic mappings, mandatory-field validation, schema validation where schemas are available, accepted/rejected/pending tracking, and reproducible filing evidence.</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CySEC TRS</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Asynchronous submission and feedback handling, no inferred acceptance without CySEC evidence, endpoint/configuration versioning.</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DORA</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Local resilience, event logging, incident classification, restore/replay tests, update evidence, third-party register inputs.</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DPIA / GDPR</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No-payload logging, local encrypted archive, role-based access, data minimisation, and optional M365 mirror subject to tenant compliance review.</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Operational resilience</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Crash-safe workflow state, idempotent submission controls, retry/defer rules, recovery from archive manifests.</w:t>
            </w:r>
          </w:p>
        </w:tc>
      </w:tr>
      <w:tr>
        <w:tc>
          <w:tcPr>
            <w:tcW w:type="dxa" w:w="1900"/>
            <w:tcMar>
              <w:top w:w="80" w:type="dxa"/>
              <w:start w:w="120" w:type="dxa"/>
              <w:bottom w:w="80" w:type="dxa"/>
              <w:end w:w="120" w:type="dxa"/>
            </w:tcMar>
            <w:vAlign w:val="center"/>
          </w:tcPr>
          <w:p>
            <w:pPr>
              <w:spacing w:after="0" w:line="264" w:lineRule="auto"/>
            </w:pPr>
            <w:r>
              <w:rPr>
                <w:rFonts w:ascii="Calibri" w:hAnsi="Calibri"/>
                <w:sz w:val="19"/>
              </w:rPr>
              <w:t>Security</w:t>
            </w:r>
          </w:p>
        </w:tc>
        <w:tc>
          <w:tcPr>
            <w:tcW w:type="dxa" w:w="7460"/>
            <w:tcMar>
              <w:top w:w="80" w:type="dxa"/>
              <w:start w:w="120" w:type="dxa"/>
              <w:bottom w:w="80" w:type="dxa"/>
              <w:end w:w="120" w:type="dxa"/>
            </w:tcMar>
            <w:vAlign w:val="center"/>
          </w:tcPr>
          <w:p>
            <w:pPr>
              <w:spacing w:after="0" w:line="264" w:lineRule="auto"/>
            </w:pPr>
            <w:r>
              <w:rPr>
                <w:rFonts w:ascii="Calibri" w:hAnsi="Calibri"/>
                <w:sz w:val="19"/>
              </w:rPr>
              <w:t>Signed binaries, Windows ACLs, BitLocker recommendation, DPAPI/Certificate Store secrets, dependency review, SBOM.</w:t>
            </w:r>
          </w:p>
        </w:tc>
      </w:tr>
    </w:tbl>
    <w:p/>
    <w:p>
      <w:pPr>
        <w:pStyle w:val="Heading1"/>
      </w:pPr>
      <w:r>
        <w:t>7. Archive, Versioning, and Recovery</w:t>
      </w:r>
    </w:p>
    <w:p>
      <w:r>
        <w:rPr>
          <w:rFonts w:ascii="Calibri" w:hAnsi="Calibri"/>
          <w:b w:val="0"/>
          <w:i w:val="0"/>
        </w:rPr>
        <w:t>The local archive will be the operational source of truth. A restricted SharePoint library may be used as a compliance mirror, but SharePoint version history will not be the only audit mechanism. Each filing batch will preserve source, transformed, submitted, feedback, and evidence artefacts.</w:t>
      </w:r>
    </w:p>
    <w:p>
      <w:pPr>
        <w:pStyle w:val="ListBullet"/>
        <w:spacing w:after="80" w:line="290" w:lineRule="auto"/>
      </w:pPr>
      <w:r>
        <w:t>Each batch receives a stable batch ID and immutable archive folder.</w:t>
      </w:r>
    </w:p>
    <w:p>
      <w:pPr>
        <w:pStyle w:val="ListBullet"/>
        <w:spacing w:after="80" w:line="290" w:lineRule="auto"/>
      </w:pPr>
      <w:r>
        <w:t>No finalised archive file is overwritten; corrections create linked remediation batches.</w:t>
      </w:r>
    </w:p>
    <w:p>
      <w:pPr>
        <w:pStyle w:val="ListBullet"/>
        <w:spacing w:after="80" w:line="290" w:lineRule="auto"/>
      </w:pPr>
      <w:r>
        <w:t>Each batch manifest records source hash, submitted hash, feedback hash, app version, adapter version, schema version, mapping version, user actions, machine identity, and state timestamps.</w:t>
      </w:r>
    </w:p>
    <w:p>
      <w:pPr>
        <w:pStyle w:val="ListBullet"/>
        <w:spacing w:after="80" w:line="290" w:lineRule="auto"/>
      </w:pPr>
      <w:r>
        <w:t>SQLite records workflow state; archive manifests are sufficient to reconstruct state after local database damage.</w:t>
      </w:r>
    </w:p>
    <w:p>
      <w:pPr>
        <w:pStyle w:val="ListBullet"/>
        <w:spacing w:after="80" w:line="290" w:lineRule="auto"/>
      </w:pPr>
      <w:r>
        <w:t>Accepted, rejected, quarantined, and remediated filings retain full evidence packages.</w:t>
      </w:r>
    </w:p>
    <w:p>
      <w:pPr>
        <w:pStyle w:val="Heading1"/>
      </w:pPr>
      <w:r>
        <w:t>8. Update and Installer Strategy</w:t>
      </w:r>
    </w:p>
    <w:p>
      <w:r>
        <w:rPr>
          <w:rFonts w:ascii="Calibri" w:hAnsi="Calibri"/>
          <w:b w:val="0"/>
          <w:i w:val="0"/>
        </w:rPr>
        <w:t>At this stage, the recommended delivery vehicle is a standalone signed MSI or bootstrapper EXE. This supports client installation without requiring Intune, while still preserving a path to Intune Win32 deployment later.</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2300"/>
        <w:gridCol w:w="7060"/>
      </w:tblGrid>
      <w:tr>
        <w:tc>
          <w:tcPr>
            <w:tcW w:type="dxa" w:w="2300"/>
            <w:tcMar>
              <w:top w:w="80" w:type="dxa"/>
              <w:start w:w="120" w:type="dxa"/>
              <w:bottom w:w="80" w:type="dxa"/>
              <w:end w:w="120" w:type="dxa"/>
            </w:tcMar>
            <w:vAlign w:val="center"/>
            <w:shd w:fill="E8EEF5"/>
          </w:tcPr>
          <w:p>
            <w:pPr>
              <w:spacing w:after="0" w:line="240" w:lineRule="auto"/>
            </w:pPr>
            <w:r>
              <w:rPr>
                <w:rFonts w:ascii="Calibri" w:hAnsi="Calibri"/>
                <w:b/>
                <w:color w:val="0B2545"/>
                <w:sz w:val="19"/>
              </w:rPr>
              <w:t>Installer Capability</w:t>
            </w:r>
          </w:p>
        </w:tc>
        <w:tc>
          <w:tcPr>
            <w:tcW w:type="dxa" w:w="7060"/>
            <w:tcMar>
              <w:top w:w="80" w:type="dxa"/>
              <w:start w:w="120" w:type="dxa"/>
              <w:bottom w:w="80" w:type="dxa"/>
              <w:end w:w="120" w:type="dxa"/>
            </w:tcMar>
            <w:vAlign w:val="center"/>
            <w:shd w:fill="E8EEF5"/>
          </w:tcPr>
          <w:p>
            <w:pPr>
              <w:spacing w:after="0" w:line="240" w:lineRule="auto"/>
            </w:pPr>
            <w:r>
              <w:rPr>
                <w:rFonts w:ascii="Calibri" w:hAnsi="Calibri"/>
                <w:b/>
                <w:color w:val="0B2545"/>
                <w:sz w:val="19"/>
              </w:rPr>
              <w:t>Guardrail</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Fresh install</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Requires administrator rights; installs UI and service; creates ProgramData folders; applies ACLs; validates disk and OS prerequisites.</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In-place update</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Verifies signed package; backs up database/config; defers if active submission or feedback polling is in progress; runs migrations; restarts service; records update evidence.</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Repair</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Restores missing binaries, service registration, ACLs, and non-data folders without touching archive, database, config, credentials, or logs.</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Default uninstall</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Removes binaries and service but preserves regulatory evidence under ProgramData.</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Full removal</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Separate explicit option requiring administrator confirmation and evidence export acknowledgement.</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Future Intune</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Installer will support silent install/uninstall, version detection, clear return codes, and stable upgrade strategy.</w:t>
            </w:r>
          </w:p>
        </w:tc>
      </w:tr>
    </w:tbl>
    <w:p/>
    <w:p>
      <w:pPr>
        <w:pStyle w:val="Heading1"/>
      </w:pPr>
      <w:r>
        <w:t>9. Assumptions and Client Responsibilities</w:t>
      </w:r>
    </w:p>
    <w:p>
      <w:pPr>
        <w:pStyle w:val="ListBullet"/>
        <w:spacing w:after="80" w:line="290" w:lineRule="auto"/>
      </w:pPr>
      <w:r>
        <w:t>Client will provide representative Deutsche Boerse and UnaVista files, using synthetic or anonymised data where possible.</w:t>
      </w:r>
    </w:p>
    <w:p>
      <w:pPr>
        <w:pStyle w:val="ListBullet"/>
        <w:spacing w:after="80" w:line="290" w:lineRule="auto"/>
      </w:pPr>
      <w:r>
        <w:t>Client will provide authoritative CySEC TRS technical documentation, test credentials, endpoint details, and feedback samples.</w:t>
      </w:r>
    </w:p>
    <w:p>
      <w:pPr>
        <w:pStyle w:val="ListBullet"/>
        <w:spacing w:after="80" w:line="290" w:lineRule="auto"/>
      </w:pPr>
      <w:r>
        <w:t>Client will confirm the ESMA schema package and namespace accepted by CySEC or its reporting operations process.</w:t>
      </w:r>
    </w:p>
    <w:p>
      <w:pPr>
        <w:pStyle w:val="ListBullet"/>
        <w:spacing w:after="80" w:line="290" w:lineRule="auto"/>
      </w:pPr>
      <w:r>
        <w:t>Client will provide access to a test workstation and, where applicable, M365/SharePoint test location.</w:t>
      </w:r>
    </w:p>
    <w:p>
      <w:pPr>
        <w:pStyle w:val="ListBullet"/>
        <w:spacing w:after="80" w:line="290" w:lineRule="auto"/>
      </w:pPr>
      <w:r>
        <w:t>Client will designate compliance, operations, and IT reviewers for UAT and sign-off.</w:t>
      </w:r>
    </w:p>
    <w:p>
      <w:pPr>
        <w:pStyle w:val="ListBullet"/>
        <w:spacing w:after="80" w:line="290" w:lineRule="auto"/>
      </w:pPr>
      <w:r>
        <w:t>Client will conduct legal, regulatory, DORA, outsourcing, and DPIA review before production use.</w:t>
      </w:r>
    </w:p>
    <w:p>
      <w:pPr>
        <w:pStyle w:val="ListBullet"/>
        <w:spacing w:after="80" w:line="290" w:lineRule="auto"/>
      </w:pPr>
      <w:r>
        <w:t>Client remains responsible for filing decisions, regulatory interpretation, data completeness, and final submissions.</w:t>
      </w:r>
    </w:p>
    <w:p>
      <w:pPr>
        <w:pStyle w:val="Heading1"/>
      </w:pPr>
      <w:r>
        <w:t>10. Out of Scope</w:t>
      </w:r>
    </w:p>
    <w:p>
      <w:pPr>
        <w:pStyle w:val="ListBullet"/>
        <w:spacing w:after="80" w:line="290" w:lineRule="auto"/>
      </w:pPr>
      <w:r>
        <w:t>Legal or regulatory advice, including final interpretation of MiFIR, RTS 22, DORA, GDPR, or CySEC obligations.</w:t>
      </w:r>
    </w:p>
    <w:p>
      <w:pPr>
        <w:pStyle w:val="ListBullet"/>
        <w:spacing w:after="80" w:line="290" w:lineRule="auto"/>
      </w:pPr>
      <w:r>
        <w:t>Operating as an Approved Reporting Mechanism or replacing a regulated ARM service.</w:t>
      </w:r>
    </w:p>
    <w:p>
      <w:pPr>
        <w:pStyle w:val="ListBullet"/>
        <w:spacing w:after="80" w:line="290" w:lineRule="auto"/>
      </w:pPr>
      <w:r>
        <w:t>Guaranteed regulatory acceptance of any filing.</w:t>
      </w:r>
    </w:p>
    <w:p>
      <w:pPr>
        <w:pStyle w:val="ListBullet"/>
        <w:spacing w:after="80" w:line="290" w:lineRule="auto"/>
      </w:pPr>
      <w:r>
        <w:t>Correction of inaccurate source data unless separately agreed.</w:t>
      </w:r>
    </w:p>
    <w:p>
      <w:pPr>
        <w:pStyle w:val="ListBullet"/>
        <w:spacing w:after="80" w:line="290" w:lineRule="auto"/>
      </w:pPr>
      <w:r>
        <w:t>Production M365 tenant administration beyond app-specific integration guidance.</w:t>
      </w:r>
    </w:p>
    <w:p>
      <w:pPr>
        <w:pStyle w:val="ListBullet"/>
        <w:spacing w:after="80" w:line="290" w:lineRule="auto"/>
      </w:pPr>
      <w:r>
        <w:t>Procurement, licensing, or operation of commercial reporting platforms.</w:t>
      </w:r>
    </w:p>
    <w:p>
      <w:pPr>
        <w:pStyle w:val="ListBullet"/>
        <w:spacing w:after="80" w:line="290" w:lineRule="auto"/>
      </w:pPr>
      <w:r>
        <w:t>Cloud hosting, unless separately scoped.</w:t>
      </w:r>
    </w:p>
    <w:p>
      <w:pPr>
        <w:pStyle w:val="ListBullet"/>
        <w:spacing w:after="80" w:line="290" w:lineRule="auto"/>
      </w:pPr>
      <w:r>
        <w:t>Long-term managed service, 24/7 support, or regulatory operations staffing unless separately contracted.</w:t>
      </w:r>
    </w:p>
    <w:p>
      <w:pPr>
        <w:pStyle w:val="Heading1"/>
      </w:pPr>
      <w:r>
        <w:t>11. Indicative Timeline</w:t>
      </w:r>
    </w:p>
    <w:p>
      <w:r>
        <w:rPr>
          <w:rFonts w:ascii="Calibri" w:hAnsi="Calibri"/>
          <w:b w:val="0"/>
          <w:i w:val="0"/>
        </w:rPr>
        <w:t>The following timeline is indicative and assumes timely access to source samples, CySEC test connectivity, client reviewers, and the target workstation environment.</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5000"/>
        <w:gridCol w:w="4360"/>
      </w:tblGrid>
      <w:tr>
        <w:tc>
          <w:tcPr>
            <w:tcW w:type="dxa" w:w="5000"/>
            <w:tcMar>
              <w:top w:w="80" w:type="dxa"/>
              <w:start w:w="120" w:type="dxa"/>
              <w:bottom w:w="80" w:type="dxa"/>
              <w:end w:w="120" w:type="dxa"/>
            </w:tcMar>
            <w:vAlign w:val="center"/>
            <w:shd w:fill="E8EEF5"/>
          </w:tcPr>
          <w:p>
            <w:pPr>
              <w:spacing w:after="0" w:line="240" w:lineRule="auto"/>
            </w:pPr>
            <w:r>
              <w:rPr>
                <w:rFonts w:ascii="Calibri" w:hAnsi="Calibri"/>
                <w:b/>
                <w:color w:val="0B2545"/>
                <w:sz w:val="19"/>
              </w:rPr>
              <w:t>Workstream</w:t>
            </w:r>
          </w:p>
        </w:tc>
        <w:tc>
          <w:tcPr>
            <w:tcW w:type="dxa" w:w="4360"/>
            <w:tcMar>
              <w:top w:w="80" w:type="dxa"/>
              <w:start w:w="120" w:type="dxa"/>
              <w:bottom w:w="80" w:type="dxa"/>
              <w:end w:w="120" w:type="dxa"/>
            </w:tcMar>
            <w:vAlign w:val="center"/>
            <w:shd w:fill="E8EEF5"/>
          </w:tcPr>
          <w:p>
            <w:pPr>
              <w:spacing w:after="0" w:line="240" w:lineRule="auto"/>
            </w:pPr>
            <w:r>
              <w:rPr>
                <w:rFonts w:ascii="Calibri" w:hAnsi="Calibri"/>
                <w:b/>
                <w:color w:val="0B2545"/>
                <w:sz w:val="19"/>
              </w:rPr>
              <w:t>Indicative Duration</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Discovery and specification</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2-3 weeks</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Core refactor and Deutsche Boerse adapter</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3-4 weeks</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UnaVista adapter and canonical validation</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3-5 weeks</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CySEC workflow, archive, and recovery</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4-6 weeks</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Operator UI, installer, and update guardrails</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3-5 weeks</w:t>
            </w:r>
          </w:p>
        </w:tc>
      </w:tr>
      <w:tr>
        <w:tc>
          <w:tcPr>
            <w:tcW w:type="dxa" w:w="5000"/>
            <w:tcMar>
              <w:top w:w="80" w:type="dxa"/>
              <w:start w:w="120" w:type="dxa"/>
              <w:bottom w:w="80" w:type="dxa"/>
              <w:end w:w="120" w:type="dxa"/>
            </w:tcMar>
            <w:vAlign w:val="center"/>
          </w:tcPr>
          <w:p>
            <w:pPr>
              <w:spacing w:after="0" w:line="264" w:lineRule="auto"/>
            </w:pPr>
            <w:r>
              <w:rPr>
                <w:rFonts w:ascii="Calibri" w:hAnsi="Calibri"/>
                <w:sz w:val="19"/>
              </w:rPr>
              <w:t>UAT, remediation, documentation, and release</w:t>
            </w:r>
          </w:p>
        </w:tc>
        <w:tc>
          <w:tcPr>
            <w:tcW w:type="dxa" w:w="4360"/>
            <w:tcMar>
              <w:top w:w="80" w:type="dxa"/>
              <w:start w:w="120" w:type="dxa"/>
              <w:bottom w:w="80" w:type="dxa"/>
              <w:end w:w="120" w:type="dxa"/>
            </w:tcMar>
            <w:vAlign w:val="center"/>
          </w:tcPr>
          <w:p>
            <w:pPr>
              <w:spacing w:after="0" w:line="264" w:lineRule="auto"/>
            </w:pPr>
            <w:r>
              <w:rPr>
                <w:rFonts w:ascii="Calibri" w:hAnsi="Calibri"/>
                <w:sz w:val="19"/>
              </w:rPr>
              <w:t>2-4 weeks</w:t>
            </w:r>
          </w:p>
        </w:tc>
      </w:tr>
    </w:tbl>
    <w:p/>
    <w:p>
      <w:r>
        <w:rPr>
          <w:rFonts w:ascii="Calibri" w:hAnsi="Calibri"/>
          <w:b w:val="0"/>
          <w:i/>
          <w:color w:val="5A5A5A"/>
        </w:rPr>
        <w:t>A realistic first production candidate is expected in approximately 16-24 weeks after discovery, depending primarily on UnaVista specification complexity, CySEC test access, and the depth of compliance evidence required.</w:t>
      </w:r>
    </w:p>
    <w:p>
      <w:pPr>
        <w:pStyle w:val="Heading1"/>
      </w:pPr>
      <w:r>
        <w:t>12. Commercial Framework</w:t>
      </w:r>
    </w:p>
    <w:p>
      <w:r>
        <w:rPr>
          <w:rFonts w:ascii="Calibri" w:hAnsi="Calibri"/>
          <w:b w:val="0"/>
          <w:i w:val="0"/>
        </w:rPr>
        <w:t>Commercial terms are placeholders for negotiation and should be replaced by the final statement of work and master services agreement.</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2300"/>
        <w:gridCol w:w="7060"/>
      </w:tblGrid>
      <w:tr>
        <w:tc>
          <w:tcPr>
            <w:tcW w:type="dxa" w:w="2300"/>
            <w:tcMar>
              <w:top w:w="80" w:type="dxa"/>
              <w:start w:w="120" w:type="dxa"/>
              <w:bottom w:w="80" w:type="dxa"/>
              <w:end w:w="120" w:type="dxa"/>
            </w:tcMar>
            <w:vAlign w:val="center"/>
            <w:shd w:fill="E8EEF5"/>
          </w:tcPr>
          <w:p>
            <w:pPr>
              <w:spacing w:after="0" w:line="240" w:lineRule="auto"/>
            </w:pPr>
            <w:r>
              <w:rPr>
                <w:rFonts w:ascii="Calibri" w:hAnsi="Calibri"/>
                <w:b/>
                <w:color w:val="0B2545"/>
                <w:sz w:val="19"/>
              </w:rPr>
              <w:t>Term</w:t>
            </w:r>
          </w:p>
        </w:tc>
        <w:tc>
          <w:tcPr>
            <w:tcW w:type="dxa" w:w="7060"/>
            <w:tcMar>
              <w:top w:w="80" w:type="dxa"/>
              <w:start w:w="120" w:type="dxa"/>
              <w:bottom w:w="80" w:type="dxa"/>
              <w:end w:w="120" w:type="dxa"/>
            </w:tcMar>
            <w:vAlign w:val="center"/>
            <w:shd w:fill="E8EEF5"/>
          </w:tcPr>
          <w:p>
            <w:pPr>
              <w:spacing w:after="0" w:line="240" w:lineRule="auto"/>
            </w:pPr>
            <w:r>
              <w:rPr>
                <w:rFonts w:ascii="Calibri" w:hAnsi="Calibri"/>
                <w:b/>
                <w:color w:val="0B2545"/>
                <w:sz w:val="19"/>
              </w:rPr>
              <w:t>Draft Position</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Engagement model</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Fixed-fee by phase or time-and-materials with capped milestones, to be agreed.</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Fees</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[Insert fees, currency, VAT treatment, and payment schedule].</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Expenses</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Pre-approved out-of-pocket expenses only.</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Change requests</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Scope changes, new formats, new regulators, or material CySEC changes require written change order.</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Support</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Post-release support, maintenance, and urgent patch SLA to be priced separately.</w:t>
            </w:r>
          </w:p>
        </w:tc>
      </w:tr>
      <w:tr>
        <w:tc>
          <w:tcPr>
            <w:tcW w:type="dxa" w:w="2300"/>
            <w:tcMar>
              <w:top w:w="80" w:type="dxa"/>
              <w:start w:w="120" w:type="dxa"/>
              <w:bottom w:w="80" w:type="dxa"/>
              <w:end w:w="120" w:type="dxa"/>
            </w:tcMar>
            <w:vAlign w:val="center"/>
          </w:tcPr>
          <w:p>
            <w:pPr>
              <w:spacing w:after="0" w:line="264" w:lineRule="auto"/>
            </w:pPr>
            <w:r>
              <w:rPr>
                <w:rFonts w:ascii="Calibri" w:hAnsi="Calibri"/>
                <w:sz w:val="19"/>
              </w:rPr>
              <w:t>Payment</w:t>
            </w:r>
          </w:p>
        </w:tc>
        <w:tc>
          <w:tcPr>
            <w:tcW w:type="dxa" w:w="7060"/>
            <w:tcMar>
              <w:top w:w="80" w:type="dxa"/>
              <w:start w:w="120" w:type="dxa"/>
              <w:bottom w:w="80" w:type="dxa"/>
              <w:end w:w="120" w:type="dxa"/>
            </w:tcMar>
            <w:vAlign w:val="center"/>
          </w:tcPr>
          <w:p>
            <w:pPr>
              <w:spacing w:after="0" w:line="264" w:lineRule="auto"/>
            </w:pPr>
            <w:r>
              <w:rPr>
                <w:rFonts w:ascii="Calibri" w:hAnsi="Calibri"/>
                <w:sz w:val="19"/>
              </w:rPr>
              <w:t>Invoices payable within [15/30] days unless otherwise agreed.</w:t>
            </w:r>
          </w:p>
        </w:tc>
      </w:tr>
    </w:tbl>
    <w:p/>
    <w:p>
      <w:pPr>
        <w:pStyle w:val="Heading1"/>
      </w:pPr>
      <w:r>
        <w:t>13. Intellectual Property</w:t>
      </w:r>
    </w:p>
    <w:p>
      <w:r>
        <w:rPr>
          <w:rFonts w:ascii="Calibri" w:hAnsi="Calibri"/>
          <w:b w:val="0"/>
          <w:i w:val="0"/>
        </w:rPr>
        <w:t>Unless a separately signed agreement states otherwise, [Consultant] retains all right, title, and interest in and to BP-MIFIR software, source code, object code, reusable components, adapters, frameworks, architecture, documentation templates, methods, know-how, tools, test harnesses, and all improvements or derivative works developed during the engagement, excluding Client Materials.</w:t>
      </w:r>
    </w:p>
    <w:p>
      <w:r>
        <w:rPr>
          <w:rFonts w:ascii="Calibri" w:hAnsi="Calibri"/>
          <w:b w:val="0"/>
          <w:i w:val="0"/>
        </w:rPr>
        <w:t>Client Materials include client-provided data, credentials, regulatory files, business information, and client-specific confidential information. Client retains ownership of Client Materials.</w:t>
      </w:r>
    </w:p>
    <w:p>
      <w:r>
        <w:rPr>
          <w:rFonts w:ascii="Calibri" w:hAnsi="Calibri"/>
          <w:b w:val="0"/>
          <w:i w:val="0"/>
        </w:rPr>
        <w:t>Upon full payment of all undisputed fees, [Consultant] grants Client a non-exclusive, non-transferable, non-sublicensable licence to use the configured BP-MIFIR deliverables internally for Client's own regulatory reporting operations. No ownership transfer, resale right, hosting right, source-code distribution right, or right to create competing commercial products is granted unless expressly agreed in writing.</w:t>
      </w:r>
    </w:p>
    <w:p>
      <w:r>
        <w:rPr>
          <w:rFonts w:ascii="Calibri" w:hAnsi="Calibri"/>
          <w:b w:val="0"/>
          <w:i w:val="0"/>
        </w:rPr>
        <w:t>Open-source or third-party components remain subject to their own licences. The final implementation will include a third-party register identifying package names, versions, licences, purposes, and update ownership.</w:t>
      </w:r>
    </w:p>
    <w:p>
      <w:pPr>
        <w:pStyle w:val="Heading1"/>
      </w:pPr>
      <w:r>
        <w:t>14. Standard Consulting Terms</w:t>
      </w:r>
    </w:p>
    <w:tbl>
      <w:tblPr>
        <w:tblW w:type="dxa" w:w="9360"/>
        <w:jc w:val="center"/>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Ind w:w="120" w:type="dxa"/>
      </w:tblPr>
      <w:tblGrid>
        <w:gridCol w:w="2100"/>
        <w:gridCol w:w="7260"/>
      </w:tblGrid>
      <w:tr>
        <w:tc>
          <w:tcPr>
            <w:tcW w:type="dxa" w:w="2100"/>
            <w:tcMar>
              <w:top w:w="80" w:type="dxa"/>
              <w:start w:w="120" w:type="dxa"/>
              <w:bottom w:w="80" w:type="dxa"/>
              <w:end w:w="120" w:type="dxa"/>
            </w:tcMar>
            <w:vAlign w:val="center"/>
            <w:shd w:fill="E8EEF5"/>
          </w:tcPr>
          <w:p>
            <w:pPr>
              <w:spacing w:after="0" w:line="240" w:lineRule="auto"/>
            </w:pPr>
            <w:r>
              <w:rPr>
                <w:rFonts w:ascii="Calibri" w:hAnsi="Calibri"/>
                <w:b/>
                <w:color w:val="0B2545"/>
                <w:sz w:val="19"/>
              </w:rPr>
              <w:t>Clause</w:t>
            </w:r>
          </w:p>
        </w:tc>
        <w:tc>
          <w:tcPr>
            <w:tcW w:type="dxa" w:w="7260"/>
            <w:tcMar>
              <w:top w:w="80" w:type="dxa"/>
              <w:start w:w="120" w:type="dxa"/>
              <w:bottom w:w="80" w:type="dxa"/>
              <w:end w:w="120" w:type="dxa"/>
            </w:tcMar>
            <w:vAlign w:val="center"/>
            <w:shd w:fill="E8EEF5"/>
          </w:tcPr>
          <w:p>
            <w:pPr>
              <w:spacing w:after="0" w:line="240" w:lineRule="auto"/>
            </w:pPr>
            <w:r>
              <w:rPr>
                <w:rFonts w:ascii="Calibri" w:hAnsi="Calibri"/>
                <w:b/>
                <w:color w:val="0B2545"/>
                <w:sz w:val="19"/>
              </w:rPr>
              <w:t>Draft Language</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Confidentiality</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Each party will protect the other party's confidential information using reasonable care and will use it only for the engagement.</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Data protection</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Client is controller for client and regulatory data. Consultant acts as processor or independent contractor as defined in the final agreement. DPIA and cross-border processing review are client responsibilities.</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Security</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Consultant will follow reasonable secure development practices and will not intentionally include malware, backdoors, or credential exfiltration mechanisms.</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Acceptance</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Deliverables are accepted when they materially conform to agreed acceptance criteria or are used in production, subject to a reasonable defect notification period.</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Warranty disclaimer</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Software is provided as configured professional services output, not as a regulated filing guarantee. Except as expressly agreed, warranties are disclaimed to the maximum extent permitted by law.</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Limitation of liability</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Liability cap, exclusion of indirect/consequential damages, and regulatory penalty exclusions to be agreed in the final contract.</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No regulatory advice</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Consultant provides software and technical implementation support only. Client remains responsible for regulatory interpretation and filing decisions.</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Termination</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Either party may terminate under the final agreement. Client pays for work performed, approved expenses, and non-cancellable commitments through termination date.</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9"/>
              </w:rPr>
              <w:t>Force majeure</w:t>
            </w:r>
          </w:p>
        </w:tc>
        <w:tc>
          <w:tcPr>
            <w:tcW w:type="dxa" w:w="7260"/>
            <w:tcMar>
              <w:top w:w="80" w:type="dxa"/>
              <w:start w:w="120" w:type="dxa"/>
              <w:bottom w:w="80" w:type="dxa"/>
              <w:end w:w="120" w:type="dxa"/>
            </w:tcMar>
            <w:vAlign w:val="center"/>
          </w:tcPr>
          <w:p>
            <w:pPr>
              <w:spacing w:after="0" w:line="264" w:lineRule="auto"/>
            </w:pPr>
            <w:r>
              <w:rPr>
                <w:rFonts w:ascii="Calibri" w:hAnsi="Calibri"/>
                <w:sz w:val="19"/>
              </w:rPr>
              <w:t>Neither party is liable for delay caused by events outside reasonable control, subject to notification and mitigation.</w:t>
            </w:r>
          </w:p>
        </w:tc>
      </w:tr>
    </w:tbl>
    <w:p/>
    <w:p>
      <w:pPr>
        <w:pStyle w:val="Heading1"/>
      </w:pPr>
      <w:r>
        <w:t>15. Disclaimers</w:t>
      </w:r>
    </w:p>
    <w:tbl>
      <w:tblPr>
        <w:tblW w:type="dxa" w:w="9360"/>
        <w:jc w:val="center"/>
        <w:tblLayout w:type="fixed"/>
        <w:tblLook w:firstColumn="1" w:firstRow="1" w:lastColumn="0" w:lastRow="0" w:noHBand="0" w:noVBand="1" w:val="04A0"/>
        <w:tblBorders>
          <w:top w:val="single" w:sz="6" w:space="0" w:color="D4DAE3"/>
          <w:left w:val="single" w:sz="6" w:space="0" w:color="D4DAE3"/>
          <w:bottom w:val="single" w:sz="6" w:space="0" w:color="D4DAE3"/>
          <w:right w:val="single" w:sz="6" w:space="0" w:color="D4DAE3"/>
          <w:insideH w:val="single" w:sz="6" w:space="0" w:color="D4DAE3"/>
          <w:insideV w:val="single" w:sz="6" w:space="0" w:color="D4DAE3"/>
        </w:tblBorders>
        <w:tblInd w:w="120" w:type="dxa"/>
      </w:tblPr>
      <w:tblGrid>
        <w:gridCol w:w="9360"/>
      </w:tblGrid>
      <w:tr>
        <w:tc>
          <w:tcPr>
            <w:tcW w:type="dxa" w:w="9360"/>
            <w:tcMar>
              <w:top w:w="80" w:type="dxa"/>
              <w:start w:w="120" w:type="dxa"/>
              <w:bottom w:w="80" w:type="dxa"/>
              <w:end w:w="120" w:type="dxa"/>
            </w:tcMar>
            <w:vAlign w:val="center"/>
            <w:shd w:fill="F4F6F9"/>
          </w:tcPr>
          <w:p>
            <w:pPr>
              <w:spacing w:after="0" w:line="280" w:lineRule="auto"/>
            </w:pPr>
            <w:r>
              <w:rPr>
                <w:rFonts w:ascii="Calibri" w:hAnsi="Calibri"/>
                <w:b/>
                <w:color w:val="0B2545"/>
              </w:rPr>
              <w:t xml:space="preserve">Important: </w:t>
            </w:r>
            <w:r>
              <w:rPr>
                <w:rFonts w:ascii="Calibri" w:hAnsi="Calibri"/>
                <w:color w:val="000000"/>
              </w:rPr>
              <w:t>This draft is not legal advice, regulatory advice, tax advice, or an executed statement of work. It should be reviewed by counsel and compliance before use with any client.</w:t>
            </w:r>
          </w:p>
        </w:tc>
      </w:tr>
    </w:tbl>
    <w:p/>
    <w:p>
      <w:pPr>
        <w:pStyle w:val="ListBullet"/>
        <w:spacing w:after="80" w:line="290" w:lineRule="auto"/>
      </w:pPr>
      <w:r>
        <w:t>The proposed software can support regulatory operations, but it cannot guarantee CySEC acceptance or regulatory compliance in isolation.</w:t>
      </w:r>
    </w:p>
    <w:p>
      <w:pPr>
        <w:pStyle w:val="ListBullet"/>
        <w:spacing w:after="80" w:line="290" w:lineRule="auto"/>
      </w:pPr>
      <w:r>
        <w:t>Regulatory obligations, accepted schemas, CySEC TRS procedures, and third-party formats may change and require maintenance releases.</w:t>
      </w:r>
    </w:p>
    <w:p>
      <w:pPr>
        <w:pStyle w:val="ListBullet"/>
        <w:spacing w:after="80" w:line="290" w:lineRule="auto"/>
      </w:pPr>
      <w:r>
        <w:t>Production use requires client approval of data protection, DORA, outsourcing, business continuity, access control, and operational procedures.</w:t>
      </w:r>
    </w:p>
    <w:p>
      <w:pPr>
        <w:pStyle w:val="ListBullet"/>
        <w:spacing w:after="80" w:line="290" w:lineRule="auto"/>
      </w:pPr>
      <w:r>
        <w:t>Any AI features, if later introduced, must remain outside the authoritative filing path unless separately approved through DPIA, compliance, and governance review.</w:t>
      </w:r>
    </w:p>
    <w:p>
      <w:pPr>
        <w:pStyle w:val="Heading1"/>
      </w:pPr>
      <w:r>
        <w:t>16. Next Steps</w:t>
      </w:r>
    </w:p>
    <w:p>
      <w:pPr>
        <w:pStyle w:val="ListNumber"/>
        <w:spacing w:after="80" w:line="290" w:lineRule="auto"/>
      </w:pPr>
      <w:r>
        <w:t>Confirm proposal recipient, contracting entity, and preferred commercial model.</w:t>
      </w:r>
    </w:p>
    <w:p>
      <w:pPr>
        <w:pStyle w:val="ListNumber"/>
        <w:spacing w:after="80" w:line="290" w:lineRule="auto"/>
      </w:pPr>
      <w:r>
        <w:t>Run a discovery workshop with operations, compliance, IT, and reporting owners.</w:t>
      </w:r>
    </w:p>
    <w:p>
      <w:pPr>
        <w:pStyle w:val="ListNumber"/>
        <w:spacing w:after="80" w:line="290" w:lineRule="auto"/>
      </w:pPr>
      <w:r>
        <w:t>Collect DBRegHub, UnaVista, ESMA, and CySEC TRS sample/specification materials.</w:t>
      </w:r>
    </w:p>
    <w:p>
      <w:pPr>
        <w:pStyle w:val="ListNumber"/>
        <w:spacing w:after="80" w:line="290" w:lineRule="auto"/>
      </w:pPr>
      <w:r>
        <w:t>Confirm production deployment assumptions, archive retention, M365 capability, and installer/update policy.</w:t>
      </w:r>
    </w:p>
    <w:p>
      <w:pPr>
        <w:pStyle w:val="ListNumber"/>
        <w:spacing w:after="80" w:line="290" w:lineRule="auto"/>
      </w:pPr>
      <w:r>
        <w:t>Convert this proposal into a signed statement of work with milestones, fees, acceptance criteria, and support model.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Draft proposal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A5A5A"/>
        <w:sz w:val="18"/>
      </w:rPr>
      <w:t>BP-MIFIR Regulatory Filing Automation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line="264" w:lineRule="auto"/>
    </w:pPr>
    <w:rPr>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BP-MIFIR Regulatory Filing Automation Proposal</dc:title>
  <dc:subject>Draft consulting proposal</dc:subject>
  <dc:creator>[Consultant / Consulting Company Name]</dc:creator>
  <cp:keywords/>
  <dc:description>Draft proposal generated from BP-MIFIR architecture decisions; subject to legal and commercial review.</dc:description>
  <cp:lastModifiedBy/>
  <cp:revision>1</cp:revision>
  <dcterms:created xsi:type="dcterms:W3CDTF">2013-12-23T23:15:00Z</dcterms:created>
  <dcterms:modified xsi:type="dcterms:W3CDTF">2013-12-23T23:15:00Z</dcterms:modified>
  <cp:category/>
</cp:coreProperties>
</file>