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E63C92" w14:textId="58824F04" w:rsidR="004F335D" w:rsidRPr="00DD1CE1" w:rsidRDefault="00DD24E4">
      <w:pPr>
        <w:rPr>
          <w:b/>
          <w:bCs/>
        </w:rPr>
      </w:pPr>
      <w:r w:rsidRPr="00DD1CE1">
        <w:rPr>
          <w:b/>
          <w:bCs/>
        </w:rPr>
        <w:t>Using a Susceptible-Infected-Removed</w:t>
      </w:r>
      <w:r w:rsidR="00DD683B" w:rsidRPr="00DD1CE1">
        <w:rPr>
          <w:b/>
          <w:bCs/>
        </w:rPr>
        <w:t xml:space="preserve"> Discrete</w:t>
      </w:r>
      <w:r w:rsidR="008B4446" w:rsidRPr="00DD1CE1">
        <w:rPr>
          <w:b/>
          <w:bCs/>
        </w:rPr>
        <w:t xml:space="preserve"> Time</w:t>
      </w:r>
      <w:r w:rsidR="00DD683B" w:rsidRPr="00DD1CE1">
        <w:rPr>
          <w:b/>
          <w:bCs/>
        </w:rPr>
        <w:t xml:space="preserve"> (SIR) model to predict the </w:t>
      </w:r>
      <w:r w:rsidR="00D84927" w:rsidRPr="00DD1CE1">
        <w:rPr>
          <w:b/>
          <w:bCs/>
        </w:rPr>
        <w:t xml:space="preserve">Future Proportion of English Speakers Under High-Migration </w:t>
      </w:r>
      <w:r w:rsidR="004C5DB4" w:rsidRPr="00DD1CE1">
        <w:rPr>
          <w:b/>
          <w:bCs/>
        </w:rPr>
        <w:t>Assumptions</w:t>
      </w:r>
    </w:p>
    <w:p w14:paraId="69F9F802" w14:textId="59E8F79A" w:rsidR="00DD683B" w:rsidRPr="00DD1CE1" w:rsidRDefault="00DE2CF8">
      <w:pPr>
        <w:rPr>
          <w:b/>
          <w:bCs/>
        </w:rPr>
      </w:pPr>
      <w:r w:rsidRPr="00DD1CE1">
        <w:rPr>
          <w:b/>
          <w:bCs/>
        </w:rPr>
        <w:t>Model</w:t>
      </w:r>
    </w:p>
    <w:p w14:paraId="579467A1" w14:textId="0A092251" w:rsidR="007920CA" w:rsidRPr="00DD1CE1" w:rsidRDefault="00131F4B">
      <w:r w:rsidRPr="00DD1CE1">
        <w:t>Drawing from a paper which uses an SIR model to predict indigenous language extinction</w:t>
      </w:r>
      <w:r w:rsidRPr="00DD1CE1">
        <w:rPr>
          <w:rStyle w:val="EndnoteReference"/>
        </w:rPr>
        <w:endnoteReference w:id="1"/>
      </w:r>
      <w:r w:rsidRPr="00DD1CE1">
        <w:t xml:space="preserve">, I use an epidemiological </w:t>
      </w:r>
      <w:r w:rsidR="00C201BA" w:rsidRPr="00DD1CE1">
        <w:t xml:space="preserve">model that treats English as a spreadable pathogen to predict the long-term </w:t>
      </w:r>
      <w:r w:rsidR="00C51108" w:rsidRPr="00DD1CE1">
        <w:t xml:space="preserve">proportion of English-speakers in the United States under the assumption of high migration </w:t>
      </w:r>
      <w:r w:rsidR="006B0603" w:rsidRPr="00DD1CE1">
        <w:t>from</w:t>
      </w:r>
      <w:r w:rsidR="00C51108" w:rsidRPr="00DD1CE1">
        <w:t xml:space="preserve"> non-English-speaking immigrants. </w:t>
      </w:r>
    </w:p>
    <w:p w14:paraId="17CD9593" w14:textId="59C49E35" w:rsidR="00187885" w:rsidRPr="00DD1CE1" w:rsidRDefault="000308AF">
      <w:r w:rsidRPr="00DD1CE1">
        <w:t>The basic model is a</w:t>
      </w:r>
      <w:r w:rsidR="00345D32" w:rsidRPr="00DD1CE1">
        <w:t>n open population discrete time</w:t>
      </w:r>
      <w:r w:rsidRPr="00DD1CE1">
        <w:t xml:space="preserve"> Susceptible-Infected</w:t>
      </w:r>
      <w:r w:rsidR="007920CA" w:rsidRPr="00DD1CE1">
        <w:t xml:space="preserve"> </w:t>
      </w:r>
      <w:r w:rsidRPr="00DD1CE1">
        <w:t>model</w:t>
      </w:r>
      <w:r w:rsidR="00475E88" w:rsidRPr="00DD1CE1">
        <w:t xml:space="preserve"> which </w:t>
      </w:r>
      <w:r w:rsidR="00CA617C" w:rsidRPr="00DD1CE1">
        <w:t>categorizes</w:t>
      </w:r>
      <w:r w:rsidR="00475E88" w:rsidRPr="00DD1CE1">
        <w:t xml:space="preserve"> people unable to speak English as ‘susceptible’ and those who speak English as ‘infected.’ There is no ‘removed’ or ‘recovered’ group, since individuals are assumed to</w:t>
      </w:r>
      <w:r w:rsidR="008B4446" w:rsidRPr="00DD1CE1">
        <w:t xml:space="preserve"> remain English</w:t>
      </w:r>
      <w:r w:rsidR="00D11787" w:rsidRPr="00DD1CE1">
        <w:t xml:space="preserve"> </w:t>
      </w:r>
      <w:r w:rsidR="008B4446" w:rsidRPr="00DD1CE1">
        <w:t>speakers</w:t>
      </w:r>
      <w:r w:rsidR="00D11787" w:rsidRPr="00DD1CE1">
        <w:t xml:space="preserve"> (ES</w:t>
      </w:r>
      <w:r w:rsidR="00F12006" w:rsidRPr="00DD1CE1">
        <w:t>s</w:t>
      </w:r>
      <w:r w:rsidR="00D11787" w:rsidRPr="00DD1CE1">
        <w:t>)</w:t>
      </w:r>
      <w:r w:rsidR="008B4446" w:rsidRPr="00DD1CE1">
        <w:t xml:space="preserve"> for life after acquiring the language</w:t>
      </w:r>
      <w:r w:rsidR="001D4B83" w:rsidRPr="00DD1CE1">
        <w:t>, and those who leave the population through death are assume</w:t>
      </w:r>
      <w:r w:rsidR="00C04E6F" w:rsidRPr="00DD1CE1">
        <w:t>d</w:t>
      </w:r>
      <w:r w:rsidR="001D4B83" w:rsidRPr="00DD1CE1">
        <w:t xml:space="preserve"> not to have any influence on the spread of English. </w:t>
      </w:r>
      <w:r w:rsidR="00A86F3C" w:rsidRPr="00DD1CE1">
        <w:t>Non-English speakers (NESs)</w:t>
      </w:r>
      <w:r w:rsidR="00835CF2" w:rsidRPr="00DD1CE1">
        <w:t xml:space="preserve"> can acquire English through contact with </w:t>
      </w:r>
      <w:r w:rsidR="00D11787" w:rsidRPr="00DD1CE1">
        <w:t>ESs</w:t>
      </w:r>
      <w:r w:rsidR="00C04E6F" w:rsidRPr="00DD1CE1">
        <w:t xml:space="preserve">; once they are ‘infected’, they enter the </w:t>
      </w:r>
      <w:r w:rsidR="00F123AE" w:rsidRPr="00DD1CE1">
        <w:t>‘infected’ group of the population in the next year</w:t>
      </w:r>
      <w:r w:rsidR="00187885" w:rsidRPr="00DD1CE1">
        <w:t xml:space="preserve">. This assumption does not imply that </w:t>
      </w:r>
      <w:r w:rsidR="005516A1" w:rsidRPr="00DD1CE1">
        <w:t xml:space="preserve">NESs usually become proficient speakers within a year; </w:t>
      </w:r>
      <w:r w:rsidR="00322A43" w:rsidRPr="00DD1CE1">
        <w:t>some</w:t>
      </w:r>
      <w:r w:rsidR="00910C99" w:rsidRPr="00DD1CE1">
        <w:t xml:space="preserve"> research shows that </w:t>
      </w:r>
      <w:r w:rsidR="00EB0349" w:rsidRPr="00DD1CE1">
        <w:t>a reasonable estimate is 3-5 years.</w:t>
      </w:r>
      <w:r w:rsidR="00910C99" w:rsidRPr="00DD1CE1">
        <w:rPr>
          <w:rStyle w:val="EndnoteReference"/>
        </w:rPr>
        <w:endnoteReference w:id="2"/>
      </w:r>
      <w:r w:rsidR="00910C99" w:rsidRPr="00DD1CE1">
        <w:t xml:space="preserve"> </w:t>
      </w:r>
      <w:r w:rsidR="00EB0349" w:rsidRPr="00DD1CE1">
        <w:t>However, acquiring a language is a gradual process</w:t>
      </w:r>
      <w:r w:rsidR="00123BC4" w:rsidRPr="00DD1CE1">
        <w:t xml:space="preserve"> which </w:t>
      </w:r>
      <w:r w:rsidR="00117914" w:rsidRPr="00DD1CE1">
        <w:t>may involve roping other NESs into</w:t>
      </w:r>
      <w:r w:rsidR="00191E00" w:rsidRPr="00DD1CE1">
        <w:t xml:space="preserve"> learning</w:t>
      </w:r>
      <w:r w:rsidR="00537916" w:rsidRPr="00DD1CE1">
        <w:t xml:space="preserve">, </w:t>
      </w:r>
      <w:r w:rsidR="00191E00" w:rsidRPr="00DD1CE1">
        <w:t>so</w:t>
      </w:r>
      <w:r w:rsidR="00537916" w:rsidRPr="00DD1CE1">
        <w:t xml:space="preserve"> one person’s time spent learning English should, in my view, be considered part of the ‘infectious period’.</w:t>
      </w:r>
      <w:r w:rsidR="00406E17" w:rsidRPr="00DD1CE1">
        <w:t xml:space="preserve"> Furthermore, NESs in this model are defined as those who speak English less than ‘very well’, so individuals </w:t>
      </w:r>
      <w:r w:rsidR="005916A3" w:rsidRPr="00DD1CE1">
        <w:t xml:space="preserve">in the </w:t>
      </w:r>
      <w:r w:rsidR="00D04258" w:rsidRPr="00DD1CE1">
        <w:t xml:space="preserve">‘susceptible’ group </w:t>
      </w:r>
      <w:r w:rsidR="00406E17" w:rsidRPr="00DD1CE1">
        <w:t>may be at differing points in the process of learning English.</w:t>
      </w:r>
    </w:p>
    <w:p w14:paraId="218690D9" w14:textId="77777777" w:rsidR="000E5FA4" w:rsidRPr="00DD1CE1" w:rsidRDefault="00102274">
      <w:r w:rsidRPr="00DD1CE1">
        <w:t>There are two communities</w:t>
      </w:r>
      <w:r w:rsidR="00973522" w:rsidRPr="00DD1CE1">
        <w:t xml:space="preserve"> in this model</w:t>
      </w:r>
      <w:r w:rsidR="00F64D7A" w:rsidRPr="00DD1CE1">
        <w:t>,</w:t>
      </w:r>
      <w:r w:rsidRPr="00DD1CE1">
        <w:t xml:space="preserve"> the natives and the </w:t>
      </w:r>
      <w:r w:rsidR="006728E4" w:rsidRPr="00DD1CE1">
        <w:t>immigrants</w:t>
      </w:r>
      <w:r w:rsidR="00F64D7A" w:rsidRPr="00DD1CE1">
        <w:t>,</w:t>
      </w:r>
      <w:r w:rsidR="006728E4" w:rsidRPr="00DD1CE1">
        <w:t xml:space="preserve"> who interact with one another</w:t>
      </w:r>
      <w:r w:rsidR="00BD4381" w:rsidRPr="00DD1CE1">
        <w:t xml:space="preserve"> at differing rates (in SIR models, this is called non-homogenous mixing)</w:t>
      </w:r>
      <w:r w:rsidR="006728E4" w:rsidRPr="00DD1CE1">
        <w:t>. All natives are assumed to speak English</w:t>
      </w:r>
      <w:r w:rsidR="00F25A7C" w:rsidRPr="00DD1CE1">
        <w:t xml:space="preserve"> at all times</w:t>
      </w:r>
      <w:r w:rsidR="002B380E" w:rsidRPr="00DD1CE1">
        <w:t xml:space="preserve"> and give birth to English-speaking children</w:t>
      </w:r>
      <w:r w:rsidR="006728E4" w:rsidRPr="00DD1CE1">
        <w:t>, and some proportion of immigrants are assumed to speak English</w:t>
      </w:r>
      <w:r w:rsidR="00541C55" w:rsidRPr="00DD1CE1">
        <w:t xml:space="preserve"> at t = </w:t>
      </w:r>
      <w:r w:rsidR="002B380E" w:rsidRPr="00DD1CE1">
        <w:t>0</w:t>
      </w:r>
      <w:r w:rsidR="00541C55" w:rsidRPr="00DD1CE1">
        <w:t xml:space="preserve">. </w:t>
      </w:r>
      <w:r w:rsidR="00686E22" w:rsidRPr="00DD1CE1">
        <w:t xml:space="preserve">Every year, some positive number of migrants arrive, none of whom are assumed to speak English, and all of whom enter the immigrant community. </w:t>
      </w:r>
    </w:p>
    <w:p w14:paraId="0FC1E1CF" w14:textId="660D3765" w:rsidR="0026409B" w:rsidRPr="00DD1CE1" w:rsidRDefault="000E5FA4">
      <w:r w:rsidRPr="00DD1CE1">
        <w:t>Since the</w:t>
      </w:r>
      <w:r w:rsidRPr="00DD1CE1">
        <w:t xml:space="preserve"> typical application of SIR models is to infectious diseases</w:t>
      </w:r>
      <w:r w:rsidRPr="00DD1CE1">
        <w:t xml:space="preserve">, </w:t>
      </w:r>
      <w:r w:rsidRPr="00DD1CE1">
        <w:t>the infected are</w:t>
      </w:r>
      <w:r w:rsidRPr="00DD1CE1">
        <w:t xml:space="preserve"> usually</w:t>
      </w:r>
      <w:r w:rsidRPr="00DD1CE1">
        <w:t xml:space="preserve"> a minority of the population to begin with. The spread of the disease is a function of the transmissibility, the number of the infected, and number of susceptible individuals, and the contact rate between members of the population. </w:t>
      </w:r>
      <w:r w:rsidR="00224B28" w:rsidRPr="00DD1CE1">
        <w:t xml:space="preserve">Transmissibility and contact are typically represented by the parameter </w:t>
      </w:r>
      <w:r w:rsidR="00224B28" w:rsidRPr="00DD1CE1">
        <w:rPr>
          <w:rFonts w:cstheme="minorHAnsi"/>
          <w:i/>
          <w:iCs/>
        </w:rPr>
        <w:t>β</w:t>
      </w:r>
      <w:r w:rsidR="00AE71E0" w:rsidRPr="00DD1CE1">
        <w:t xml:space="preserve">, </w:t>
      </w:r>
      <w:r w:rsidR="004E3E6D" w:rsidRPr="00DD1CE1">
        <w:t>and the growth of the infected population</w:t>
      </w:r>
      <w:r w:rsidR="00D9526A" w:rsidRPr="00DD1CE1">
        <w:t>, assuming no recovery,</w:t>
      </w:r>
      <w:r w:rsidR="004E3E6D" w:rsidRPr="00DD1CE1">
        <w:t xml:space="preserve"> is usually formulated as:</w:t>
      </w:r>
    </w:p>
    <w:p w14:paraId="19C997ED" w14:textId="328764BF" w:rsidR="004E3E6D" w:rsidRPr="00DD1CE1" w:rsidRDefault="004E3E6D">
      <w:pPr>
        <w:rPr>
          <w:rStyle w:val="mi"/>
          <w:rFonts w:eastAsiaTheme="minorEastAsia"/>
          <w:bdr w:val="none" w:sz="0" w:space="0" w:color="auto" w:frame="1"/>
          <w:shd w:val="clear" w:color="auto" w:fill="FFFFFF"/>
        </w:rPr>
      </w:pPr>
      <m:oMath>
        <m:f>
          <m:fPr>
            <m:ctrlPr>
              <w:rPr>
                <w:rStyle w:val="mi"/>
                <w:rFonts w:ascii="Cambria Math" w:hAnsi="Cambria Math"/>
                <w:bdr w:val="none" w:sz="0" w:space="0" w:color="auto" w:frame="1"/>
                <w:shd w:val="clear" w:color="auto" w:fill="FFFFFF"/>
              </w:rPr>
            </m:ctrlPr>
          </m:fPr>
          <m:num>
            <m:r>
              <w:rPr>
                <w:rStyle w:val="mi"/>
                <w:rFonts w:ascii="Cambria Math" w:hAnsi="Cambria Math"/>
                <w:bdr w:val="none" w:sz="0" w:space="0" w:color="auto" w:frame="1"/>
                <w:shd w:val="clear" w:color="auto" w:fill="FFFFFF"/>
              </w:rPr>
              <m:t>dI</m:t>
            </m:r>
          </m:num>
          <m:den>
            <m:r>
              <w:rPr>
                <w:rStyle w:val="mi"/>
                <w:rFonts w:ascii="Cambria Math" w:hAnsi="Cambria Math"/>
                <w:bdr w:val="none" w:sz="0" w:space="0" w:color="auto" w:frame="1"/>
                <w:shd w:val="clear" w:color="auto" w:fill="FFFFFF"/>
              </w:rPr>
              <m:t>dt</m:t>
            </m:r>
          </m:den>
        </m:f>
        <m:r>
          <m:rPr>
            <m:sty m:val="p"/>
          </m:rPr>
          <w:rPr>
            <w:rStyle w:val="mo"/>
            <w:rFonts w:ascii="Cambria Math" w:hAnsi="Cambria Math"/>
            <w:bdr w:val="none" w:sz="0" w:space="0" w:color="auto" w:frame="1"/>
            <w:shd w:val="clear" w:color="auto" w:fill="FFFFFF"/>
          </w:rPr>
          <m:t>=</m:t>
        </m:r>
        <m:r>
          <m:rPr>
            <m:sty m:val="p"/>
          </m:rPr>
          <w:rPr>
            <w:rStyle w:val="mi"/>
            <w:rFonts w:ascii="Cambria Math" w:hAnsi="Cambria Math"/>
            <w:bdr w:val="none" w:sz="0" w:space="0" w:color="auto" w:frame="1"/>
            <w:shd w:val="clear" w:color="auto" w:fill="FFFFFF"/>
          </w:rPr>
          <m:t>β</m:t>
        </m:r>
        <m:r>
          <m:rPr>
            <m:sty m:val="p"/>
          </m:rPr>
          <w:rPr>
            <w:rStyle w:val="mo"/>
            <w:rFonts w:ascii="Cambria Math" w:hAnsi="Cambria Math"/>
            <w:bdr w:val="none" w:sz="0" w:space="0" w:color="auto" w:frame="1"/>
            <w:shd w:val="clear" w:color="auto" w:fill="FFFFFF"/>
          </w:rPr>
          <m:t>×</m:t>
        </m:r>
        <m:r>
          <w:rPr>
            <w:rStyle w:val="mi"/>
            <w:rFonts w:ascii="Cambria Math" w:hAnsi="Cambria Math"/>
            <w:bdr w:val="none" w:sz="0" w:space="0" w:color="auto" w:frame="1"/>
            <w:shd w:val="clear" w:color="auto" w:fill="FFFFFF"/>
          </w:rPr>
          <m:t>I</m:t>
        </m:r>
        <m:r>
          <m:rPr>
            <m:sty m:val="p"/>
          </m:rPr>
          <w:rPr>
            <w:rStyle w:val="mo"/>
            <w:rFonts w:ascii="Cambria Math" w:hAnsi="Cambria Math"/>
            <w:bdr w:val="none" w:sz="0" w:space="0" w:color="auto" w:frame="1"/>
            <w:shd w:val="clear" w:color="auto" w:fill="FFFFFF"/>
          </w:rPr>
          <m:t>×</m:t>
        </m:r>
        <m:r>
          <w:rPr>
            <w:rStyle w:val="mi"/>
            <w:rFonts w:ascii="Cambria Math" w:hAnsi="Cambria Math"/>
            <w:bdr w:val="none" w:sz="0" w:space="0" w:color="auto" w:frame="1"/>
            <w:shd w:val="clear" w:color="auto" w:fill="FFFFFF"/>
          </w:rPr>
          <m:t>S</m:t>
        </m:r>
      </m:oMath>
      <w:r w:rsidR="00D9526A" w:rsidRPr="00DD1CE1">
        <w:rPr>
          <w:rStyle w:val="mi"/>
          <w:rFonts w:eastAsiaTheme="minorEastAsia"/>
          <w:bdr w:val="none" w:sz="0" w:space="0" w:color="auto" w:frame="1"/>
          <w:shd w:val="clear" w:color="auto" w:fill="FFFFFF"/>
        </w:rPr>
        <w:t xml:space="preserve"> ,</w:t>
      </w:r>
    </w:p>
    <w:p w14:paraId="50115F3A" w14:textId="39997FD8" w:rsidR="000E5FA4" w:rsidRDefault="00415C8E">
      <w:r w:rsidRPr="00DD1CE1">
        <w:rPr>
          <w:rStyle w:val="mi"/>
          <w:rFonts w:eastAsiaTheme="minorEastAsia"/>
          <w:bdr w:val="none" w:sz="0" w:space="0" w:color="auto" w:frame="1"/>
          <w:shd w:val="clear" w:color="auto" w:fill="FFFFFF"/>
        </w:rPr>
        <w:t xml:space="preserve">where </w:t>
      </w:r>
      <w:r w:rsidRPr="00DD1CE1">
        <w:rPr>
          <w:rStyle w:val="mi"/>
          <w:rFonts w:eastAsiaTheme="minorEastAsia"/>
          <w:i/>
          <w:iCs/>
          <w:bdr w:val="none" w:sz="0" w:space="0" w:color="auto" w:frame="1"/>
          <w:shd w:val="clear" w:color="auto" w:fill="FFFFFF"/>
        </w:rPr>
        <w:t xml:space="preserve">I </w:t>
      </w:r>
      <w:r w:rsidRPr="00DD1CE1">
        <w:rPr>
          <w:rStyle w:val="mi"/>
          <w:rFonts w:eastAsiaTheme="minorEastAsia"/>
          <w:bdr w:val="none" w:sz="0" w:space="0" w:color="auto" w:frame="1"/>
          <w:shd w:val="clear" w:color="auto" w:fill="FFFFFF"/>
        </w:rPr>
        <w:t xml:space="preserve">represents the number of infected individuals and </w:t>
      </w:r>
      <w:r w:rsidRPr="00DD1CE1">
        <w:rPr>
          <w:rStyle w:val="mi"/>
          <w:rFonts w:eastAsiaTheme="minorEastAsia"/>
          <w:i/>
          <w:iCs/>
          <w:bdr w:val="none" w:sz="0" w:space="0" w:color="auto" w:frame="1"/>
          <w:shd w:val="clear" w:color="auto" w:fill="FFFFFF"/>
        </w:rPr>
        <w:t xml:space="preserve">S </w:t>
      </w:r>
      <w:r w:rsidRPr="00DD1CE1">
        <w:rPr>
          <w:rStyle w:val="mi"/>
          <w:rFonts w:eastAsiaTheme="minorEastAsia"/>
          <w:bdr w:val="none" w:sz="0" w:space="0" w:color="auto" w:frame="1"/>
          <w:shd w:val="clear" w:color="auto" w:fill="FFFFFF"/>
        </w:rPr>
        <w:t>represents the number of susceptible individuals.</w:t>
      </w:r>
      <w:r w:rsidRPr="00DD1CE1">
        <w:t xml:space="preserve"> </w:t>
      </w:r>
      <w:r w:rsidR="000E5FA4" w:rsidRPr="00DD1CE1">
        <w:t>In this study, the infected vastly outnumber the susceptible to begin with.</w:t>
      </w:r>
      <w:r w:rsidR="00290612" w:rsidRPr="00DD1CE1">
        <w:t xml:space="preserve"> Under the ordinary definitions of the </w:t>
      </w:r>
      <w:r w:rsidR="00DD1CE1">
        <w:t>transmission parameter</w:t>
      </w:r>
      <w:r w:rsidR="00290612" w:rsidRPr="00DD1CE1">
        <w:t xml:space="preserve">, </w:t>
      </w:r>
      <w:r w:rsidRPr="00DD1CE1">
        <w:rPr>
          <w:rFonts w:cstheme="minorHAnsi"/>
          <w:i/>
          <w:iCs/>
        </w:rPr>
        <w:t>β</w:t>
      </w:r>
      <w:r w:rsidRPr="00DD1CE1">
        <w:rPr>
          <w:i/>
          <w:iCs/>
        </w:rPr>
        <w:t xml:space="preserve"> </w:t>
      </w:r>
      <w:r w:rsidR="00290612" w:rsidRPr="00DD1CE1">
        <w:t xml:space="preserve">would have to be very small in order for any susceptible </w:t>
      </w:r>
      <w:r w:rsidR="001001F9" w:rsidRPr="00DD1CE1">
        <w:t>individuals to avoid infection for more than a few periods</w:t>
      </w:r>
      <w:r w:rsidR="00EB08A8" w:rsidRPr="00DD1CE1">
        <w:t>, even under the assumption of non-homogenous mixing.</w:t>
      </w:r>
      <w:r w:rsidR="007132C8" w:rsidRPr="00DD1CE1">
        <w:t xml:space="preserve"> </w:t>
      </w:r>
      <w:r w:rsidR="006E48AC" w:rsidRPr="00DD1CE1">
        <w:t xml:space="preserve">This does not </w:t>
      </w:r>
      <w:r w:rsidR="00B5242C" w:rsidRPr="00DD1CE1">
        <w:t>lend itself well to interpretation, nor does it intuitively represent the situation we are attempting to model.</w:t>
      </w:r>
    </w:p>
    <w:p w14:paraId="50CA4D5F" w14:textId="5C5679C7" w:rsidR="00B9198C" w:rsidRPr="00DD1CE1" w:rsidRDefault="00B9198C">
      <w:r>
        <w:t xml:space="preserve">In this two-community model, immigrants are assumed to make contact with the native community at a rate that is independent of the number of natives. </w:t>
      </w:r>
      <w:r w:rsidR="009963E7">
        <w:t xml:space="preserve">Therefore, the transmissibility parameter should not </w:t>
      </w:r>
      <w:r w:rsidR="009963E7">
        <w:lastRenderedPageBreak/>
        <w:t xml:space="preserve">be a function of the number of </w:t>
      </w:r>
      <w:r w:rsidR="00BA7325">
        <w:t xml:space="preserve">natives. The number of ‘infected’ immigrants is important however… </w:t>
      </w:r>
      <w:r w:rsidR="00BA7325" w:rsidRPr="007C272E">
        <w:rPr>
          <w:color w:val="FF0000"/>
        </w:rPr>
        <w:t>[CHANGE MODEL EQUATIONS TO INCORPORATE X]</w:t>
      </w:r>
    </w:p>
    <w:p w14:paraId="49B446A0" w14:textId="426FA4C8" w:rsidR="00475E88" w:rsidRPr="00DD1CE1" w:rsidRDefault="00541C55">
      <w:r w:rsidRPr="00DD1CE1">
        <w:t>The model and its parameters are defined below:</w:t>
      </w:r>
    </w:p>
    <w:p w14:paraId="4BA50C6C" w14:textId="77777777" w:rsidR="00FE3842" w:rsidRPr="00DD1CE1" w:rsidRDefault="007C272E" w:rsidP="00FE3842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FE3842" w:rsidRPr="00DD1CE1">
        <w:rPr>
          <w:rFonts w:eastAsiaTheme="minorEastAsia"/>
        </w:rPr>
        <w:t xml:space="preserve"> : Native population at time </w:t>
      </w:r>
      <w:r w:rsidR="00FE3842" w:rsidRPr="00DD1CE1">
        <w:rPr>
          <w:rFonts w:eastAsiaTheme="minorEastAsia"/>
          <w:i/>
          <w:iCs/>
        </w:rPr>
        <w:t xml:space="preserve">t, </w:t>
      </w:r>
      <w:r w:rsidR="00FE3842" w:rsidRPr="00DD1CE1">
        <w:rPr>
          <w:rFonts w:eastAsiaTheme="minorEastAsia"/>
        </w:rPr>
        <w:t>assumed to be 100% English-speaking.</w:t>
      </w:r>
    </w:p>
    <w:p w14:paraId="15DA7722" w14:textId="77777777" w:rsidR="00FE3842" w:rsidRPr="00DD1CE1" w:rsidRDefault="007C272E" w:rsidP="00FE3842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FE3842" w:rsidRPr="00DD1CE1">
        <w:rPr>
          <w:rFonts w:eastAsiaTheme="minorEastAsia"/>
        </w:rPr>
        <w:t xml:space="preserve"> : Immigrant population at time </w:t>
      </w:r>
      <w:r w:rsidR="00FE3842" w:rsidRPr="00DD1CE1">
        <w:rPr>
          <w:rFonts w:eastAsiaTheme="minorEastAsia"/>
          <w:i/>
          <w:iCs/>
        </w:rPr>
        <w:t>t</w:t>
      </w:r>
      <w:r w:rsidR="00FE3842" w:rsidRPr="00DD1CE1">
        <w:rPr>
          <w:rFonts w:eastAsiaTheme="minorEastAsia"/>
        </w:rPr>
        <w:t>.</w:t>
      </w:r>
    </w:p>
    <w:p w14:paraId="79191C67" w14:textId="77777777" w:rsidR="00FE3842" w:rsidRPr="00DD1CE1" w:rsidRDefault="007C272E" w:rsidP="00FE3842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FE3842" w:rsidRPr="00DD1CE1">
        <w:rPr>
          <w:rFonts w:eastAsiaTheme="minorEastAsia"/>
        </w:rPr>
        <w:t xml:space="preserve"> : Total population at time </w:t>
      </w:r>
      <w:r w:rsidR="00FE3842" w:rsidRPr="00DD1CE1">
        <w:rPr>
          <w:rFonts w:eastAsiaTheme="minorEastAsia"/>
          <w:i/>
          <w:iCs/>
        </w:rPr>
        <w:t>t</w:t>
      </w:r>
      <w:r w:rsidR="00FE3842" w:rsidRPr="00DD1CE1">
        <w:rPr>
          <w:rFonts w:eastAsiaTheme="minorEastAsia"/>
        </w:rPr>
        <w:t>.</w:t>
      </w:r>
    </w:p>
    <w:p w14:paraId="53639F71" w14:textId="77777777" w:rsidR="00FE3842" w:rsidRPr="00DD1CE1" w:rsidRDefault="007C272E" w:rsidP="00FE3842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FE3842" w:rsidRPr="00DD1CE1">
        <w:rPr>
          <w:rFonts w:eastAsiaTheme="minorEastAsia"/>
        </w:rPr>
        <w:t xml:space="preserve"> : English-speaking immigrant population at time </w:t>
      </w:r>
      <w:r w:rsidR="00FE3842" w:rsidRPr="00DD1CE1">
        <w:rPr>
          <w:rFonts w:eastAsiaTheme="minorEastAsia"/>
          <w:i/>
          <w:iCs/>
        </w:rPr>
        <w:t>t</w:t>
      </w:r>
      <w:r w:rsidR="00FE3842" w:rsidRPr="00DD1CE1">
        <w:rPr>
          <w:rFonts w:eastAsiaTheme="minorEastAsia"/>
        </w:rPr>
        <w:t>.</w:t>
      </w:r>
    </w:p>
    <w:p w14:paraId="2FE88DFD" w14:textId="77777777" w:rsidR="00FE3842" w:rsidRPr="00DD1CE1" w:rsidRDefault="007C272E" w:rsidP="00FE3842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FE3842" w:rsidRPr="00DD1CE1">
        <w:rPr>
          <w:rFonts w:eastAsiaTheme="minorEastAsia"/>
        </w:rPr>
        <w:t xml:space="preserve"> : Total Non-English-speaking population at time </w:t>
      </w:r>
      <w:r w:rsidR="00FE3842" w:rsidRPr="00DD1CE1">
        <w:rPr>
          <w:rFonts w:eastAsiaTheme="minorEastAsia"/>
          <w:i/>
          <w:iCs/>
        </w:rPr>
        <w:t>t</w:t>
      </w:r>
      <w:r w:rsidR="00FE3842" w:rsidRPr="00DD1CE1">
        <w:rPr>
          <w:rFonts w:eastAsiaTheme="minorEastAsia"/>
        </w:rPr>
        <w:t>.</w:t>
      </w:r>
    </w:p>
    <w:p w14:paraId="079BF7E2" w14:textId="77777777" w:rsidR="00FE3842" w:rsidRPr="00DD1CE1" w:rsidRDefault="007C272E" w:rsidP="00FE3842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FE3842" w:rsidRPr="00DD1CE1">
        <w:rPr>
          <w:rFonts w:eastAsiaTheme="minorEastAsia"/>
        </w:rPr>
        <w:t xml:space="preserve"> : Total English-speaking population at time </w:t>
      </w:r>
      <w:r w:rsidR="00FE3842" w:rsidRPr="00DD1CE1">
        <w:rPr>
          <w:rFonts w:eastAsiaTheme="minorEastAsia"/>
          <w:i/>
          <w:iCs/>
        </w:rPr>
        <w:t>t</w:t>
      </w:r>
      <w:r w:rsidR="00FE3842" w:rsidRPr="00DD1CE1">
        <w:rPr>
          <w:rFonts w:eastAsiaTheme="minorEastAsia"/>
        </w:rPr>
        <w:t>.</w:t>
      </w:r>
    </w:p>
    <w:p w14:paraId="05814BD5" w14:textId="77777777" w:rsidR="00FE3842" w:rsidRPr="00DD1CE1" w:rsidRDefault="007C272E" w:rsidP="00FE3842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FE3842" w:rsidRPr="00DD1CE1">
        <w:rPr>
          <w:rFonts w:eastAsiaTheme="minorEastAsia"/>
        </w:rPr>
        <w:t xml:space="preserve"> : Number of arrived migrants at time </w:t>
      </w:r>
      <w:r w:rsidR="00FE3842" w:rsidRPr="00DD1CE1">
        <w:rPr>
          <w:rFonts w:eastAsiaTheme="minorEastAsia"/>
          <w:i/>
          <w:iCs/>
        </w:rPr>
        <w:t xml:space="preserve">t, </w:t>
      </w:r>
      <w:r w:rsidR="00FE3842" w:rsidRPr="00DD1CE1">
        <w:rPr>
          <w:rFonts w:eastAsiaTheme="minorEastAsia"/>
        </w:rPr>
        <w:t>assumed to be entirely non-English speaking.</w:t>
      </w:r>
    </w:p>
    <w:p w14:paraId="4C46DCBB" w14:textId="77777777" w:rsidR="00FE3842" w:rsidRPr="00DD1CE1" w:rsidRDefault="00FE3842" w:rsidP="00FE3842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b, 0≤b≤1</m:t>
        </m:r>
      </m:oMath>
      <w:r w:rsidRPr="00DD1CE1">
        <w:rPr>
          <w:rFonts w:eastAsiaTheme="minorEastAsia"/>
        </w:rPr>
        <w:t xml:space="preserve"> : Annual birth rate</w:t>
      </w:r>
    </w:p>
    <w:p w14:paraId="558ECE2B" w14:textId="77777777" w:rsidR="00FE3842" w:rsidRPr="00DD1CE1" w:rsidRDefault="00FE3842" w:rsidP="00FE3842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d, 0≤d≤1</m:t>
        </m:r>
      </m:oMath>
      <w:r w:rsidRPr="00DD1CE1">
        <w:rPr>
          <w:rFonts w:eastAsiaTheme="minorEastAsia"/>
        </w:rPr>
        <w:t xml:space="preserve"> : Annual death rate</w:t>
      </w:r>
    </w:p>
    <w:p w14:paraId="62883876" w14:textId="77777777" w:rsidR="00FE3842" w:rsidRPr="00DD1CE1" w:rsidRDefault="00FE3842" w:rsidP="00FE3842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c, 0≤c≤1</m:t>
        </m:r>
      </m:oMath>
      <w:r w:rsidRPr="00DD1CE1">
        <w:rPr>
          <w:rFonts w:eastAsiaTheme="minorEastAsia"/>
        </w:rPr>
        <w:t xml:space="preserve"> : Contact parameter between immigrant and native communities.</w:t>
      </w:r>
    </w:p>
    <w:p w14:paraId="1EEAF5D7" w14:textId="44DA7610" w:rsidR="00FE3842" w:rsidRPr="00DD1CE1" w:rsidRDefault="00FE3842" w:rsidP="00FE3842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β, 0≤β≤1</m:t>
        </m:r>
      </m:oMath>
      <w:r w:rsidRPr="00DD1CE1">
        <w:rPr>
          <w:rFonts w:eastAsiaTheme="minorEastAsia"/>
        </w:rPr>
        <w:t xml:space="preserve"> : Transmission rate of English </w:t>
      </w:r>
      <w:r w:rsidR="00A27A17" w:rsidRPr="00DD1CE1">
        <w:rPr>
          <w:rFonts w:eastAsiaTheme="minorEastAsia"/>
        </w:rPr>
        <w:t>from the native community to immigrant individuals.</w:t>
      </w:r>
    </w:p>
    <w:p w14:paraId="36E5ECF5" w14:textId="66FEC17F" w:rsidR="00FE3842" w:rsidRPr="00DD1CE1" w:rsidRDefault="007C272E" w:rsidP="00FE3842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=β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den>
        </m:f>
      </m:oMath>
      <w:r w:rsidR="00FE3842" w:rsidRPr="00DD1CE1">
        <w:rPr>
          <w:rFonts w:eastAsiaTheme="minorEastAsia"/>
        </w:rPr>
        <w:t xml:space="preserve"> +</w:t>
      </w:r>
      <m:oMath>
        <m:r>
          <w:rPr>
            <w:rFonts w:ascii="Cambria Math" w:hAnsi="Cambria Math"/>
          </w:rPr>
          <m:t xml:space="preserve"> cβ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den>
        </m:f>
      </m:oMath>
      <w:r w:rsidR="00FE3842" w:rsidRPr="00DD1CE1">
        <w:rPr>
          <w:rFonts w:eastAsiaTheme="minorEastAsia"/>
        </w:rPr>
        <w:t>: Weighted transmission rate under non-homogenous mixing.</w:t>
      </w:r>
    </w:p>
    <w:p w14:paraId="2DC04128" w14:textId="77777777" w:rsidR="00FE3842" w:rsidRPr="00DD1CE1" w:rsidRDefault="007C272E" w:rsidP="00FE3842">
      <w:pPr>
        <w:rPr>
          <w:rFonts w:eastAsiaTheme="minorEastAsia"/>
          <w:i/>
          <w:iCs/>
        </w:rPr>
      </w:pPr>
      <m:oMath>
        <m:acc>
          <m:accPr>
            <m:chr m:val="̇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N</m:t>
            </m:r>
          </m:e>
        </m:acc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t+1</m:t>
                </m:r>
              </m:sub>
            </m:sSub>
            <m:r>
              <w:rPr>
                <w:rFonts w:ascii="Cambria Math" w:hAnsi="Cambria Math"/>
              </w:rPr>
              <m:t>-N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FE3842" w:rsidRPr="00DD1CE1">
        <w:rPr>
          <w:rFonts w:eastAsiaTheme="minorEastAsia"/>
        </w:rPr>
        <w:t xml:space="preserve"> : Discrete time evolution of </w:t>
      </w:r>
      <w:r w:rsidR="00FE3842" w:rsidRPr="00DD1CE1">
        <w:rPr>
          <w:rFonts w:eastAsiaTheme="minorEastAsia"/>
          <w:i/>
          <w:iCs/>
        </w:rPr>
        <w:t>N.</w:t>
      </w:r>
    </w:p>
    <w:p w14:paraId="16185D6D" w14:textId="77777777" w:rsidR="00DE2CF8" w:rsidRPr="00DD1CE1" w:rsidRDefault="00DE2CF8" w:rsidP="00FE3842">
      <w:pPr>
        <w:rPr>
          <w:rFonts w:eastAsiaTheme="minorEastAsia"/>
        </w:rPr>
      </w:pPr>
    </w:p>
    <w:p w14:paraId="43906051" w14:textId="709B6FAE" w:rsidR="00FE3842" w:rsidRPr="00DD1CE1" w:rsidRDefault="00DE2CF8" w:rsidP="00FE3842">
      <w:pPr>
        <w:rPr>
          <w:rFonts w:eastAsiaTheme="minorEastAsia"/>
        </w:rPr>
      </w:pPr>
      <w:r w:rsidRPr="00DD1CE1">
        <w:rPr>
          <w:rFonts w:eastAsiaTheme="minorEastAsia"/>
        </w:rPr>
        <w:t>Model Equations:</w:t>
      </w:r>
    </w:p>
    <w:p w14:paraId="14CBD387" w14:textId="0A102A40" w:rsidR="00FE3842" w:rsidRPr="00DD1CE1" w:rsidRDefault="007C272E" w:rsidP="00FE3842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acc>
          <m:accPr>
            <m:chr m:val="̇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  <m:r>
          <w:rPr>
            <w:rFonts w:ascii="Cambria Math" w:eastAsiaTheme="minorEastAsia" w:hAnsi="Cambria Math"/>
          </w:rPr>
          <m:t>=</m:t>
        </m:r>
        <m:r>
          <w:rPr>
            <w:rFonts w:ascii="Cambria Math" w:hAnsi="Cambria Math"/>
          </w:rPr>
          <m:t>b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-d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t+1</m:t>
            </m:r>
          </m:sub>
        </m:sSub>
      </m:oMath>
      <w:r w:rsidR="00FE3842" w:rsidRPr="00DD1CE1">
        <w:rPr>
          <w:rFonts w:eastAsiaTheme="minorEastAsia"/>
        </w:rPr>
        <w:t xml:space="preserve"> </w:t>
      </w:r>
    </w:p>
    <w:p w14:paraId="6A7E9C2F" w14:textId="405F0DBD" w:rsidR="00FE3842" w:rsidRPr="00DD1CE1" w:rsidRDefault="007C272E" w:rsidP="00FE3842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acc>
          <m:accPr>
            <m:chr m:val="̇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n</m:t>
            </m:r>
          </m:e>
        </m:acc>
        <m:r>
          <w:rPr>
            <w:rFonts w:ascii="Cambria Math" w:eastAsiaTheme="minorEastAsia" w:hAnsi="Cambria Math"/>
          </w:rPr>
          <m:t>=</m:t>
        </m:r>
        <m:r>
          <w:rPr>
            <w:rFonts w:ascii="Cambria Math" w:hAnsi="Cambria Math"/>
          </w:rPr>
          <m:t>b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-d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FE3842" w:rsidRPr="00DD1CE1">
        <w:rPr>
          <w:rFonts w:eastAsiaTheme="minorEastAsia"/>
        </w:rPr>
        <w:t xml:space="preserve"> </w:t>
      </w:r>
    </w:p>
    <w:p w14:paraId="163AB57B" w14:textId="747A4970" w:rsidR="00FE3842" w:rsidRPr="00DD1CE1" w:rsidRDefault="007C272E" w:rsidP="00FE3842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acc>
          <m:accPr>
            <m:chr m:val="̇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S</m:t>
            </m:r>
          </m:e>
        </m:acc>
        <m:r>
          <w:rPr>
            <w:rFonts w:ascii="Cambria Math" w:eastAsiaTheme="minorEastAsia" w:hAnsi="Cambria Math"/>
          </w:rPr>
          <m:t>=</m:t>
        </m:r>
        <m:r>
          <w:rPr>
            <w:rFonts w:ascii="Cambria Math" w:hAnsi="Cambria Math"/>
          </w:rPr>
          <m:t>b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-d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t+1</m:t>
            </m:r>
          </m:sub>
        </m:sSub>
        <m:r>
          <w:rPr>
            <w:rFonts w:ascii="Cambria Math" w:hAnsi="Cambria Math"/>
          </w:rPr>
          <m:t>-</m:t>
        </m:r>
        <m:acc>
          <m:accPr>
            <m:chr m:val="̇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</m:oMath>
      <w:r w:rsidR="00FE3842" w:rsidRPr="00DD1CE1">
        <w:rPr>
          <w:rFonts w:eastAsiaTheme="minorEastAsia"/>
        </w:rPr>
        <w:t xml:space="preserve"> </w:t>
      </w:r>
    </w:p>
    <w:p w14:paraId="6550F391" w14:textId="2EEEBE6D" w:rsidR="00FE3842" w:rsidRPr="007C272E" w:rsidRDefault="007C272E" w:rsidP="00FE3842">
      <w:pPr>
        <w:pStyle w:val="ListParagraph"/>
        <w:numPr>
          <w:ilvl w:val="0"/>
          <w:numId w:val="1"/>
        </w:numPr>
        <w:rPr>
          <w:rFonts w:eastAsiaTheme="minorEastAsia"/>
          <w:color w:val="FF0000"/>
        </w:rPr>
      </w:pPr>
      <m:oMath>
        <m:acc>
          <m:accPr>
            <m:chr m:val="̇"/>
            <m:ctrlPr>
              <w:rPr>
                <w:rFonts w:ascii="Cambria Math" w:eastAsiaTheme="minorEastAsia" w:hAnsi="Cambria Math"/>
                <w:i/>
                <w:color w:val="FF0000"/>
              </w:rPr>
            </m:ctrlPr>
          </m:accPr>
          <m:e>
            <m:r>
              <w:rPr>
                <w:rFonts w:ascii="Cambria Math" w:eastAsiaTheme="minorEastAsia" w:hAnsi="Cambria Math"/>
                <w:color w:val="FF0000"/>
              </w:rPr>
              <m:t>I</m:t>
            </m:r>
          </m:e>
        </m:acc>
        <m:r>
          <w:rPr>
            <w:rFonts w:ascii="Cambria Math" w:eastAsiaTheme="minorEastAsia" w:hAnsi="Cambria Math"/>
            <w:color w:val="FF0000"/>
          </w:rPr>
          <m:t>=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W</m:t>
            </m:r>
          </m:e>
          <m:sub>
            <m:r>
              <w:rPr>
                <w:rFonts w:ascii="Cambria Math" w:hAnsi="Cambria Math"/>
                <w:color w:val="FF0000"/>
              </w:rPr>
              <m:t>t</m:t>
            </m:r>
          </m:sub>
        </m:sSub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S</m:t>
            </m:r>
          </m:e>
          <m:sub>
            <m:r>
              <w:rPr>
                <w:rFonts w:ascii="Cambria Math" w:hAnsi="Cambria Math"/>
                <w:color w:val="FF0000"/>
              </w:rPr>
              <m:t>t</m:t>
            </m:r>
          </m:sub>
        </m:sSub>
        <m:r>
          <w:rPr>
            <w:rFonts w:ascii="Cambria Math" w:hAnsi="Cambria Math"/>
            <w:color w:val="FF0000"/>
          </w:rPr>
          <m:t>+b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n</m:t>
            </m:r>
          </m:e>
          <m:sub>
            <m:r>
              <w:rPr>
                <w:rFonts w:ascii="Cambria Math" w:hAnsi="Cambria Math"/>
                <w:color w:val="FF0000"/>
              </w:rPr>
              <m:t>t</m:t>
            </m:r>
          </m:sub>
        </m:sSub>
        <m:r>
          <w:rPr>
            <w:rFonts w:ascii="Cambria Math" w:hAnsi="Cambria Math"/>
            <w:color w:val="FF0000"/>
          </w:rPr>
          <m:t>-d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n</m:t>
            </m:r>
          </m:e>
          <m:sub>
            <m:r>
              <w:rPr>
                <w:rFonts w:ascii="Cambria Math" w:hAnsi="Cambria Math"/>
                <w:color w:val="FF0000"/>
              </w:rPr>
              <m:t>t</m:t>
            </m:r>
          </m:sub>
        </m:sSub>
      </m:oMath>
      <w:r w:rsidR="00FE3842" w:rsidRPr="007C272E">
        <w:rPr>
          <w:rFonts w:eastAsiaTheme="minorEastAsia"/>
          <w:color w:val="FF0000"/>
        </w:rPr>
        <w:t xml:space="preserve"> </w:t>
      </w:r>
    </w:p>
    <w:p w14:paraId="6D9CF13E" w14:textId="278A79F0" w:rsidR="00FE3842" w:rsidRPr="007C272E" w:rsidRDefault="007C272E" w:rsidP="00FE3842">
      <w:pPr>
        <w:pStyle w:val="ListParagraph"/>
        <w:numPr>
          <w:ilvl w:val="0"/>
          <w:numId w:val="1"/>
        </w:numPr>
        <w:rPr>
          <w:rFonts w:eastAsiaTheme="minorEastAsia"/>
          <w:color w:val="FF0000"/>
        </w:rPr>
      </w:pPr>
      <m:oMath>
        <m:acc>
          <m:accPr>
            <m:chr m:val="̇"/>
            <m:ctrlPr>
              <w:rPr>
                <w:rFonts w:ascii="Cambria Math" w:eastAsiaTheme="minorEastAsia" w:hAnsi="Cambria Math"/>
                <w:i/>
                <w:color w:val="FF0000"/>
              </w:rPr>
            </m:ctrlPr>
          </m:accPr>
          <m:e>
            <m:r>
              <w:rPr>
                <w:rFonts w:ascii="Cambria Math" w:eastAsiaTheme="minorEastAsia" w:hAnsi="Cambria Math"/>
                <w:color w:val="FF0000"/>
              </w:rPr>
              <m:t>x</m:t>
            </m:r>
          </m:e>
        </m:acc>
        <m:r>
          <w:rPr>
            <w:rFonts w:ascii="Cambria Math" w:eastAsiaTheme="minorEastAsia" w:hAnsi="Cambria Math"/>
            <w:color w:val="FF0000"/>
          </w:rPr>
          <m:t>=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W</m:t>
            </m:r>
          </m:e>
          <m:sub>
            <m:r>
              <w:rPr>
                <w:rFonts w:ascii="Cambria Math" w:hAnsi="Cambria Math"/>
                <w:color w:val="FF0000"/>
              </w:rPr>
              <m:t>t</m:t>
            </m:r>
          </m:sub>
        </m:sSub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S</m:t>
            </m:r>
          </m:e>
          <m:sub>
            <m:r>
              <w:rPr>
                <w:rFonts w:ascii="Cambria Math" w:hAnsi="Cambria Math"/>
                <w:color w:val="FF0000"/>
              </w:rPr>
              <m:t>t</m:t>
            </m:r>
          </m:sub>
        </m:sSub>
      </m:oMath>
      <w:r w:rsidR="00FE3842" w:rsidRPr="007C272E">
        <w:rPr>
          <w:rFonts w:eastAsiaTheme="minorEastAsia"/>
          <w:color w:val="FF0000"/>
        </w:rPr>
        <w:t xml:space="preserve"> </w:t>
      </w:r>
    </w:p>
    <w:p w14:paraId="3C9F7054" w14:textId="596FC2DC" w:rsidR="00FE3842" w:rsidRPr="00DD1CE1" w:rsidRDefault="00FE3842"/>
    <w:p w14:paraId="2F934BB0" w14:textId="44828666" w:rsidR="00DE2CF8" w:rsidRPr="00DD1CE1" w:rsidRDefault="00DE2CF8">
      <w:pPr>
        <w:rPr>
          <w:b/>
          <w:bCs/>
        </w:rPr>
      </w:pPr>
      <w:r w:rsidRPr="00DD1CE1">
        <w:rPr>
          <w:b/>
          <w:bCs/>
        </w:rPr>
        <w:t>Data and Calibration</w:t>
      </w:r>
    </w:p>
    <w:p w14:paraId="21D8C7FB" w14:textId="2CA84CB4" w:rsidR="00843A75" w:rsidRPr="00DD1CE1" w:rsidRDefault="00170302">
      <w:pPr>
        <w:rPr>
          <w:rFonts w:cstheme="minorHAnsi"/>
        </w:rPr>
      </w:pPr>
      <w:r w:rsidRPr="00DD1CE1">
        <w:t xml:space="preserve">The birth and death rates </w:t>
      </w:r>
      <w:r w:rsidR="00E0169D" w:rsidRPr="00DD1CE1">
        <w:t xml:space="preserve">are </w:t>
      </w:r>
      <w:r w:rsidRPr="00DD1CE1">
        <w:t xml:space="preserve">assumed to be fixed across years and identical between immigrant and native communities. </w:t>
      </w:r>
      <w:r w:rsidR="00E0169D" w:rsidRPr="00DD1CE1">
        <w:t>For both, I use the 2021 value</w:t>
      </w:r>
      <w:r w:rsidR="00FB24AA" w:rsidRPr="00DD1CE1">
        <w:t>s</w:t>
      </w:r>
      <w:r w:rsidRPr="00DD1CE1">
        <w:t xml:space="preserve"> </w:t>
      </w:r>
      <w:r w:rsidR="00E0169D" w:rsidRPr="00DD1CE1">
        <w:t>from</w:t>
      </w:r>
      <w:r w:rsidRPr="00DD1CE1">
        <w:t xml:space="preserve"> </w:t>
      </w:r>
      <w:r w:rsidR="006E1D45" w:rsidRPr="00DD1CE1">
        <w:t>Macro</w:t>
      </w:r>
      <w:r w:rsidR="00E0169D" w:rsidRPr="00DD1CE1">
        <w:t>trends.net</w:t>
      </w:r>
      <w:r w:rsidR="00E0169D" w:rsidRPr="00DD1CE1">
        <w:rPr>
          <w:rStyle w:val="EndnoteReference"/>
        </w:rPr>
        <w:endnoteReference w:id="3"/>
      </w:r>
      <w:r w:rsidR="00D960EE" w:rsidRPr="00DD1CE1">
        <w:t xml:space="preserve">, </w:t>
      </w:r>
      <w:r w:rsidR="00FB24AA" w:rsidRPr="00DD1CE1">
        <w:t xml:space="preserve">which </w:t>
      </w:r>
      <w:r w:rsidR="00567D43" w:rsidRPr="00DD1CE1">
        <w:t>are</w:t>
      </w:r>
      <w:r w:rsidR="00D960EE" w:rsidRPr="00DD1CE1">
        <w:t xml:space="preserve"> </w:t>
      </w:r>
      <w:r w:rsidR="00D86613" w:rsidRPr="00DD1CE1">
        <w:t>1.2% and 0.9% respectively</w:t>
      </w:r>
      <w:r w:rsidR="003666B4" w:rsidRPr="00DD1CE1">
        <w:t xml:space="preserve">. </w:t>
      </w:r>
      <w:r w:rsidR="00553559" w:rsidRPr="00DD1CE1">
        <w:rPr>
          <w:rFonts w:cstheme="minorHAnsi"/>
        </w:rPr>
        <w:t xml:space="preserve">For immigrant and native populations, I use the </w:t>
      </w:r>
      <w:r w:rsidR="0023385A" w:rsidRPr="00DD1CE1">
        <w:rPr>
          <w:rFonts w:cstheme="minorHAnsi"/>
        </w:rPr>
        <w:t xml:space="preserve">American Community Survey (ACS) one-year estimates available through the Integrated Public Use Microdata Series (IPUMS), an individual-level population database. By employing a residual statistical method created by economist Christian </w:t>
      </w:r>
      <w:proofErr w:type="spellStart"/>
      <w:r w:rsidR="0023385A" w:rsidRPr="00DD1CE1">
        <w:rPr>
          <w:rFonts w:cstheme="minorHAnsi"/>
        </w:rPr>
        <w:t>Gunadi</w:t>
      </w:r>
      <w:proofErr w:type="spellEnd"/>
      <w:r w:rsidR="0023385A" w:rsidRPr="00DD1CE1">
        <w:rPr>
          <w:rFonts w:cstheme="minorHAnsi"/>
        </w:rPr>
        <w:t xml:space="preserve">, </w:t>
      </w:r>
      <w:r w:rsidR="000663DA" w:rsidRPr="00DD1CE1">
        <w:rPr>
          <w:rFonts w:cstheme="minorHAnsi"/>
        </w:rPr>
        <w:t>I estimate the</w:t>
      </w:r>
      <w:r w:rsidR="0023385A" w:rsidRPr="00DD1CE1">
        <w:rPr>
          <w:rFonts w:cstheme="minorHAnsi"/>
        </w:rPr>
        <w:t xml:space="preserve"> immigrant population</w:t>
      </w:r>
      <w:r w:rsidR="000663DA" w:rsidRPr="00DD1CE1">
        <w:rPr>
          <w:rFonts w:cstheme="minorHAnsi"/>
        </w:rPr>
        <w:t>, legal and illegal,</w:t>
      </w:r>
      <w:r w:rsidR="0023385A" w:rsidRPr="00DD1CE1">
        <w:rPr>
          <w:rFonts w:cstheme="minorHAnsi"/>
        </w:rPr>
        <w:t xml:space="preserve"> at the state level</w:t>
      </w:r>
      <w:r w:rsidR="00034D8F" w:rsidRPr="00DD1CE1">
        <w:rPr>
          <w:rFonts w:cstheme="minorHAnsi"/>
        </w:rPr>
        <w:t xml:space="preserve"> for the 2005-2019 period</w:t>
      </w:r>
      <w:r w:rsidR="0023385A" w:rsidRPr="00DD1CE1">
        <w:rPr>
          <w:rStyle w:val="EndnoteReference"/>
          <w:rFonts w:cstheme="minorHAnsi"/>
        </w:rPr>
        <w:endnoteReference w:id="4"/>
      </w:r>
      <w:r w:rsidR="00034D8F" w:rsidRPr="00DD1CE1">
        <w:rPr>
          <w:rFonts w:cstheme="minorHAnsi"/>
        </w:rPr>
        <w:t>.</w:t>
      </w:r>
      <w:r w:rsidR="000663DA" w:rsidRPr="00DD1CE1">
        <w:rPr>
          <w:rFonts w:cstheme="minorHAnsi"/>
        </w:rPr>
        <w:t xml:space="preserve"> Estimates f</w:t>
      </w:r>
      <w:r w:rsidR="00612ACA" w:rsidRPr="00DD1CE1">
        <w:rPr>
          <w:rFonts w:cstheme="minorHAnsi"/>
        </w:rPr>
        <w:t>or</w:t>
      </w:r>
      <w:r w:rsidR="000663DA" w:rsidRPr="00DD1CE1">
        <w:rPr>
          <w:rFonts w:cstheme="minorHAnsi"/>
        </w:rPr>
        <w:t xml:space="preserve"> yearly </w:t>
      </w:r>
      <w:r w:rsidR="00612ACA" w:rsidRPr="00DD1CE1">
        <w:rPr>
          <w:rFonts w:cstheme="minorHAnsi"/>
        </w:rPr>
        <w:t xml:space="preserve">migration </w:t>
      </w:r>
      <w:r w:rsidR="006D0746" w:rsidRPr="00DD1CE1">
        <w:rPr>
          <w:rFonts w:cstheme="minorHAnsi"/>
        </w:rPr>
        <w:t>come from the Department of Homeland Security’s Yearbook of Immigration Statistics</w:t>
      </w:r>
      <w:r w:rsidR="006D0746" w:rsidRPr="00DD1CE1">
        <w:rPr>
          <w:rStyle w:val="EndnoteReference"/>
          <w:rFonts w:cstheme="minorHAnsi"/>
        </w:rPr>
        <w:endnoteReference w:id="5"/>
      </w:r>
      <w:r w:rsidR="006D0746" w:rsidRPr="00DD1CE1">
        <w:rPr>
          <w:rFonts w:cstheme="minorHAnsi"/>
        </w:rPr>
        <w:t xml:space="preserve">, which record the number of </w:t>
      </w:r>
      <w:r w:rsidR="00034D8F" w:rsidRPr="00DD1CE1">
        <w:rPr>
          <w:rFonts w:cstheme="minorHAnsi"/>
        </w:rPr>
        <w:t xml:space="preserve">immigrants obtaining lawful permanent residence in </w:t>
      </w:r>
      <w:r w:rsidR="00034D8F" w:rsidRPr="00DD1CE1">
        <w:rPr>
          <w:rFonts w:cstheme="minorHAnsi"/>
        </w:rPr>
        <w:lastRenderedPageBreak/>
        <w:t>the United States by state and year.</w:t>
      </w:r>
      <w:r w:rsidR="00FB2914" w:rsidRPr="00DD1CE1">
        <w:rPr>
          <w:rFonts w:cstheme="minorHAnsi"/>
        </w:rPr>
        <w:t xml:space="preserve"> While this data does </w:t>
      </w:r>
      <w:r w:rsidR="005223EB" w:rsidRPr="00DD1CE1">
        <w:rPr>
          <w:rFonts w:cstheme="minorHAnsi"/>
        </w:rPr>
        <w:t>only reflect legal immigration … [</w:t>
      </w:r>
      <w:r w:rsidR="00183FD0" w:rsidRPr="00DD1CE1">
        <w:rPr>
          <w:rFonts w:cstheme="minorHAnsi"/>
        </w:rPr>
        <w:t>still thinking about how to address this given that there isn’t reliable data</w:t>
      </w:r>
      <w:r w:rsidR="00A4764C" w:rsidRPr="00DD1CE1">
        <w:rPr>
          <w:rFonts w:cstheme="minorHAnsi"/>
        </w:rPr>
        <w:t xml:space="preserve"> on</w:t>
      </w:r>
      <w:r w:rsidR="003C79FF" w:rsidRPr="00DD1CE1">
        <w:rPr>
          <w:rFonts w:cstheme="minorHAnsi"/>
        </w:rPr>
        <w:t xml:space="preserve"> new arrivals from illegals</w:t>
      </w:r>
      <w:r w:rsidR="005223EB" w:rsidRPr="00DD1CE1">
        <w:rPr>
          <w:rFonts w:cstheme="minorHAnsi"/>
        </w:rPr>
        <w:t>]</w:t>
      </w:r>
    </w:p>
    <w:p w14:paraId="510A2D60" w14:textId="5CD39236" w:rsidR="005E506A" w:rsidRPr="00DD1CE1" w:rsidRDefault="005E506A">
      <w:pPr>
        <w:rPr>
          <w:rFonts w:cstheme="minorHAnsi"/>
        </w:rPr>
      </w:pPr>
      <w:r w:rsidRPr="00DD1CE1">
        <w:rPr>
          <w:rFonts w:cstheme="minorHAnsi"/>
        </w:rPr>
        <w:t xml:space="preserve">Estimates for the share of English-speaking immigrants </w:t>
      </w:r>
      <w:r w:rsidR="000F0AD6" w:rsidRPr="00DD1CE1">
        <w:rPr>
          <w:rFonts w:cstheme="minorHAnsi"/>
        </w:rPr>
        <w:t xml:space="preserve">are more difficult to obtain for the </w:t>
      </w:r>
      <w:r w:rsidR="00FC3900" w:rsidRPr="00DD1CE1">
        <w:rPr>
          <w:rFonts w:cstheme="minorHAnsi"/>
        </w:rPr>
        <w:t xml:space="preserve">full </w:t>
      </w:r>
      <w:r w:rsidR="000F0AD6" w:rsidRPr="00DD1CE1">
        <w:rPr>
          <w:rFonts w:cstheme="minorHAnsi"/>
        </w:rPr>
        <w:t xml:space="preserve">2005-2019 period. </w:t>
      </w:r>
      <w:r w:rsidR="00EF4245" w:rsidRPr="00DD1CE1">
        <w:rPr>
          <w:rFonts w:cstheme="minorHAnsi"/>
        </w:rPr>
        <w:t xml:space="preserve">The U.S. Census Bureau’s ACS Table </w:t>
      </w:r>
      <w:r w:rsidR="00A356E2" w:rsidRPr="00DD1CE1">
        <w:rPr>
          <w:rFonts w:cstheme="minorHAnsi"/>
        </w:rPr>
        <w:t>B16005</w:t>
      </w:r>
      <w:r w:rsidR="00317E8D" w:rsidRPr="00DD1CE1">
        <w:rPr>
          <w:rFonts w:cstheme="minorHAnsi"/>
        </w:rPr>
        <w:t xml:space="preserve"> records the number of </w:t>
      </w:r>
      <w:r w:rsidR="007D4AEF" w:rsidRPr="00DD1CE1">
        <w:rPr>
          <w:rFonts w:cstheme="minorHAnsi"/>
        </w:rPr>
        <w:t>foreign-born residents who claim to speak English</w:t>
      </w:r>
      <w:r w:rsidR="00762B73" w:rsidRPr="00DD1CE1">
        <w:rPr>
          <w:rFonts w:cstheme="minorHAnsi"/>
        </w:rPr>
        <w:t xml:space="preserve"> </w:t>
      </w:r>
      <w:r w:rsidR="0085771B" w:rsidRPr="00DD1CE1">
        <w:rPr>
          <w:rFonts w:cstheme="minorHAnsi"/>
        </w:rPr>
        <w:t>‘</w:t>
      </w:r>
      <w:r w:rsidR="00762B73" w:rsidRPr="00DD1CE1">
        <w:rPr>
          <w:rFonts w:cstheme="minorHAnsi"/>
        </w:rPr>
        <w:t>exclusively</w:t>
      </w:r>
      <w:r w:rsidR="0085771B" w:rsidRPr="00DD1CE1">
        <w:rPr>
          <w:rFonts w:cstheme="minorHAnsi"/>
        </w:rPr>
        <w:t>’</w:t>
      </w:r>
      <w:r w:rsidR="00762B73" w:rsidRPr="00DD1CE1">
        <w:rPr>
          <w:rFonts w:cstheme="minorHAnsi"/>
        </w:rPr>
        <w:t>,</w:t>
      </w:r>
      <w:r w:rsidR="007D4AEF" w:rsidRPr="00DD1CE1">
        <w:rPr>
          <w:rFonts w:cstheme="minorHAnsi"/>
        </w:rPr>
        <w:t xml:space="preserve"> ‘very well’, </w:t>
      </w:r>
      <w:r w:rsidR="00BB61F9" w:rsidRPr="00DD1CE1">
        <w:rPr>
          <w:rFonts w:cstheme="minorHAnsi"/>
        </w:rPr>
        <w:t xml:space="preserve">‘well’, ‘not well’, </w:t>
      </w:r>
      <w:r w:rsidR="00762B73" w:rsidRPr="00DD1CE1">
        <w:rPr>
          <w:rFonts w:cstheme="minorHAnsi"/>
        </w:rPr>
        <w:t>or ‘not at all’</w:t>
      </w:r>
      <w:r w:rsidR="00175A93" w:rsidRPr="00DD1CE1">
        <w:rPr>
          <w:rFonts w:cstheme="minorHAnsi"/>
        </w:rPr>
        <w:t xml:space="preserve"> from 2010-2019.</w:t>
      </w:r>
      <w:r w:rsidR="00762B73" w:rsidRPr="00DD1CE1">
        <w:rPr>
          <w:rFonts w:cstheme="minorHAnsi"/>
        </w:rPr>
        <w:t xml:space="preserve"> For </w:t>
      </w:r>
      <w:r w:rsidR="00175A93" w:rsidRPr="00DD1CE1">
        <w:rPr>
          <w:rFonts w:cstheme="minorHAnsi"/>
        </w:rPr>
        <w:t xml:space="preserve">the </w:t>
      </w:r>
      <w:r w:rsidR="00762B73" w:rsidRPr="00DD1CE1">
        <w:rPr>
          <w:rFonts w:cstheme="minorHAnsi"/>
        </w:rPr>
        <w:t xml:space="preserve">purpose of this </w:t>
      </w:r>
      <w:r w:rsidR="0098066A" w:rsidRPr="00DD1CE1">
        <w:rPr>
          <w:rFonts w:cstheme="minorHAnsi"/>
        </w:rPr>
        <w:t xml:space="preserve">model, I assume those who speak English less than ‘very well’ to be the in the ‘susceptible’ group. </w:t>
      </w:r>
      <w:r w:rsidR="00175A93" w:rsidRPr="00DD1CE1">
        <w:rPr>
          <w:rFonts w:cstheme="minorHAnsi"/>
        </w:rPr>
        <w:t xml:space="preserve">In order to fill in the missing data for 2005-2009, I impute the missing </w:t>
      </w:r>
      <w:r w:rsidR="00960AD2" w:rsidRPr="00DD1CE1">
        <w:rPr>
          <w:rFonts w:cstheme="minorHAnsi"/>
        </w:rPr>
        <w:t xml:space="preserve">shares of the foreign-born </w:t>
      </w:r>
      <w:r w:rsidR="0037520A" w:rsidRPr="00DD1CE1">
        <w:rPr>
          <w:rFonts w:cstheme="minorHAnsi"/>
        </w:rPr>
        <w:t>population who speak English</w:t>
      </w:r>
      <w:r w:rsidR="00175A93" w:rsidRPr="00DD1CE1">
        <w:rPr>
          <w:rFonts w:cstheme="minorHAnsi"/>
        </w:rPr>
        <w:t xml:space="preserve"> using a linear trend</w:t>
      </w:r>
      <w:r w:rsidR="00960AD2" w:rsidRPr="00DD1CE1">
        <w:rPr>
          <w:rFonts w:cstheme="minorHAnsi"/>
        </w:rPr>
        <w:t xml:space="preserve"> calculated from the 2010-2019 values.</w:t>
      </w:r>
    </w:p>
    <w:p w14:paraId="44980002" w14:textId="0290A5C7" w:rsidR="00C200D9" w:rsidRPr="00DD1CE1" w:rsidRDefault="00C200D9">
      <w:pPr>
        <w:rPr>
          <w:rFonts w:cstheme="minorHAnsi"/>
        </w:rPr>
      </w:pPr>
      <w:r w:rsidRPr="00DD1CE1">
        <w:rPr>
          <w:rFonts w:cstheme="minorHAnsi"/>
        </w:rPr>
        <w:t>With these data, we can see the real observed trend in the English-speaking population over time by state</w:t>
      </w:r>
      <w:r w:rsidR="006F4DD1" w:rsidRPr="00DD1CE1">
        <w:rPr>
          <w:rFonts w:cstheme="minorHAnsi"/>
        </w:rPr>
        <w:t xml:space="preserve">. Using the 2005 observed values as the t = </w:t>
      </w:r>
      <w:r w:rsidR="002B380E" w:rsidRPr="00DD1CE1">
        <w:rPr>
          <w:rFonts w:cstheme="minorHAnsi"/>
        </w:rPr>
        <w:t>0</w:t>
      </w:r>
      <w:r w:rsidR="006F4DD1" w:rsidRPr="00DD1CE1">
        <w:rPr>
          <w:rFonts w:cstheme="minorHAnsi"/>
        </w:rPr>
        <w:t xml:space="preserve"> values for my model, </w:t>
      </w:r>
      <w:r w:rsidR="008B47B7" w:rsidRPr="00DD1CE1">
        <w:rPr>
          <w:rFonts w:cstheme="minorHAnsi"/>
        </w:rPr>
        <w:t>I calibrate the model by running it</w:t>
      </w:r>
      <w:r w:rsidR="006F4DD1" w:rsidRPr="00DD1CE1">
        <w:rPr>
          <w:rFonts w:cstheme="minorHAnsi"/>
        </w:rPr>
        <w:t xml:space="preserve"> for 2005-2019 </w:t>
      </w:r>
      <w:r w:rsidR="00F377A5" w:rsidRPr="00DD1CE1">
        <w:rPr>
          <w:rFonts w:cstheme="minorHAnsi"/>
        </w:rPr>
        <w:t xml:space="preserve">by state </w:t>
      </w:r>
      <w:r w:rsidR="006F4DD1" w:rsidRPr="00DD1CE1">
        <w:rPr>
          <w:rFonts w:cstheme="minorHAnsi"/>
        </w:rPr>
        <w:t xml:space="preserve">for all valid </w:t>
      </w:r>
      <w:r w:rsidR="00E17ECB" w:rsidRPr="00DD1CE1">
        <w:rPr>
          <w:rFonts w:cstheme="minorHAnsi"/>
        </w:rPr>
        <w:t>combinations</w:t>
      </w:r>
      <w:r w:rsidR="005C79D4" w:rsidRPr="00DD1CE1">
        <w:rPr>
          <w:rFonts w:cstheme="minorHAnsi"/>
        </w:rPr>
        <w:t xml:space="preserve"> </w:t>
      </w:r>
      <w:r w:rsidR="007A266B" w:rsidRPr="00DD1CE1">
        <w:rPr>
          <w:rFonts w:cstheme="minorHAnsi"/>
        </w:rPr>
        <w:t xml:space="preserve">(to three decimal points) </w:t>
      </w:r>
      <w:r w:rsidR="005C79D4" w:rsidRPr="00DD1CE1">
        <w:rPr>
          <w:rFonts w:cstheme="minorHAnsi"/>
        </w:rPr>
        <w:t xml:space="preserve">of the unknown parameters: the transmissibility </w:t>
      </w:r>
      <w:r w:rsidR="00F377A5" w:rsidRPr="00DD1CE1">
        <w:rPr>
          <w:rFonts w:cstheme="minorHAnsi"/>
        </w:rPr>
        <w:t>parameter</w:t>
      </w:r>
      <w:r w:rsidR="005C79D4" w:rsidRPr="00DD1CE1">
        <w:rPr>
          <w:rFonts w:cstheme="minorHAnsi"/>
        </w:rPr>
        <w:t xml:space="preserve"> </w:t>
      </w:r>
      <w:r w:rsidR="005C79D4" w:rsidRPr="00DD1CE1">
        <w:rPr>
          <w:rFonts w:cstheme="minorHAnsi"/>
          <w:i/>
          <w:iCs/>
        </w:rPr>
        <w:t>β</w:t>
      </w:r>
      <w:r w:rsidR="005C79D4" w:rsidRPr="00DD1CE1">
        <w:rPr>
          <w:rFonts w:cstheme="minorHAnsi"/>
        </w:rPr>
        <w:t xml:space="preserve"> and the native-immigrant contact parameter </w:t>
      </w:r>
      <w:r w:rsidR="00F377A5" w:rsidRPr="00DD1CE1">
        <w:rPr>
          <w:rFonts w:cstheme="minorHAnsi"/>
          <w:i/>
          <w:iCs/>
        </w:rPr>
        <w:t>c</w:t>
      </w:r>
      <w:r w:rsidR="00F377A5" w:rsidRPr="00DD1CE1">
        <w:rPr>
          <w:rFonts w:cstheme="minorHAnsi"/>
        </w:rPr>
        <w:t xml:space="preserve">. </w:t>
      </w:r>
      <w:r w:rsidR="00DB249D" w:rsidRPr="00DD1CE1">
        <w:rPr>
          <w:rFonts w:cstheme="minorHAnsi"/>
        </w:rPr>
        <w:t>I calculate the sum of squared errors</w:t>
      </w:r>
      <w:r w:rsidR="00414983" w:rsidRPr="00DD1CE1">
        <w:rPr>
          <w:rFonts w:cstheme="minorHAnsi"/>
        </w:rPr>
        <w:t xml:space="preserve"> (SSE)</w:t>
      </w:r>
      <w:r w:rsidR="00DB249D" w:rsidRPr="00DD1CE1">
        <w:rPr>
          <w:rFonts w:cstheme="minorHAnsi"/>
        </w:rPr>
        <w:t xml:space="preserve"> for </w:t>
      </w:r>
      <w:r w:rsidR="00466613" w:rsidRPr="00DD1CE1">
        <w:rPr>
          <w:rFonts w:cstheme="minorHAnsi"/>
        </w:rPr>
        <w:t xml:space="preserve">the </w:t>
      </w:r>
      <w:r w:rsidR="00B646B0" w:rsidRPr="00DD1CE1">
        <w:rPr>
          <w:rFonts w:cstheme="minorHAnsi"/>
        </w:rPr>
        <w:t xml:space="preserve">proportion of ESs produced by </w:t>
      </w:r>
      <w:r w:rsidR="00DB249D" w:rsidRPr="00DD1CE1">
        <w:rPr>
          <w:rFonts w:cstheme="minorHAnsi"/>
        </w:rPr>
        <w:t>each of these</w:t>
      </w:r>
      <w:r w:rsidR="008E2F06" w:rsidRPr="00DD1CE1">
        <w:rPr>
          <w:rFonts w:cstheme="minorHAnsi"/>
        </w:rPr>
        <w:t xml:space="preserve"> iterations of the model</w:t>
      </w:r>
      <w:r w:rsidR="00DB249D" w:rsidRPr="00DD1CE1">
        <w:rPr>
          <w:rFonts w:cstheme="minorHAnsi"/>
        </w:rPr>
        <w:t xml:space="preserve"> and take the parameter combination</w:t>
      </w:r>
      <w:r w:rsidR="00414983" w:rsidRPr="00DD1CE1">
        <w:rPr>
          <w:rFonts w:cstheme="minorHAnsi"/>
        </w:rPr>
        <w:t xml:space="preserve"> which minimizes the SSE</w:t>
      </w:r>
      <w:r w:rsidR="002B3392" w:rsidRPr="00DD1CE1">
        <w:rPr>
          <w:rFonts w:cstheme="minorHAnsi"/>
        </w:rPr>
        <w:t xml:space="preserve"> across the entire sample</w:t>
      </w:r>
      <w:r w:rsidR="00357D16" w:rsidRPr="00DD1CE1">
        <w:rPr>
          <w:rFonts w:cstheme="minorHAnsi"/>
        </w:rPr>
        <w:t xml:space="preserve"> as the chosen</w:t>
      </w:r>
      <w:r w:rsidR="002B3392" w:rsidRPr="00DD1CE1">
        <w:rPr>
          <w:rFonts w:cstheme="minorHAnsi"/>
        </w:rPr>
        <w:t xml:space="preserve"> values. The values obtained are </w:t>
      </w:r>
      <w:r w:rsidR="00A51ABB" w:rsidRPr="00DD1CE1">
        <w:rPr>
          <w:rFonts w:cstheme="minorHAnsi"/>
        </w:rPr>
        <w:t>0.05</w:t>
      </w:r>
      <w:r w:rsidR="005B66A1" w:rsidRPr="00DD1CE1">
        <w:rPr>
          <w:rFonts w:cstheme="minorHAnsi"/>
        </w:rPr>
        <w:t>5</w:t>
      </w:r>
      <w:r w:rsidR="002B3392" w:rsidRPr="00DD1CE1">
        <w:rPr>
          <w:rFonts w:cstheme="minorHAnsi"/>
        </w:rPr>
        <w:t xml:space="preserve"> for the transmissibility parameter and </w:t>
      </w:r>
      <w:r w:rsidR="00A56D9C" w:rsidRPr="00DD1CE1">
        <w:rPr>
          <w:rFonts w:cstheme="minorHAnsi"/>
        </w:rPr>
        <w:t>0.995</w:t>
      </w:r>
      <w:r w:rsidR="002B3392" w:rsidRPr="00DD1CE1">
        <w:rPr>
          <w:rFonts w:cstheme="minorHAnsi"/>
        </w:rPr>
        <w:t xml:space="preserve"> for the contact parameter.</w:t>
      </w:r>
      <w:r w:rsidR="00A56D9C" w:rsidRPr="00DD1CE1">
        <w:rPr>
          <w:rFonts w:cstheme="minorHAnsi"/>
        </w:rPr>
        <w:t xml:space="preserve"> </w:t>
      </w:r>
      <w:r w:rsidR="001F3622" w:rsidRPr="00DD1CE1">
        <w:rPr>
          <w:rFonts w:cstheme="minorHAnsi"/>
        </w:rPr>
        <w:t xml:space="preserve">Many other value combinations </w:t>
      </w:r>
      <w:r w:rsidR="005C31FA" w:rsidRPr="00DD1CE1">
        <w:rPr>
          <w:rFonts w:cstheme="minorHAnsi"/>
        </w:rPr>
        <w:t xml:space="preserve">work well, but the product of the two parameters </w:t>
      </w:r>
      <w:r w:rsidR="00836166" w:rsidRPr="00DD1CE1">
        <w:rPr>
          <w:rFonts w:cstheme="minorHAnsi"/>
        </w:rPr>
        <w:t xml:space="preserve">always stays within a </w:t>
      </w:r>
      <w:r w:rsidR="002F2C8B" w:rsidRPr="00DD1CE1">
        <w:rPr>
          <w:rFonts w:cstheme="minorHAnsi"/>
        </w:rPr>
        <w:t>narrow</w:t>
      </w:r>
      <w:r w:rsidR="00836166" w:rsidRPr="00DD1CE1">
        <w:rPr>
          <w:rFonts w:cstheme="minorHAnsi"/>
        </w:rPr>
        <w:t xml:space="preserve"> range. This suggests the intuitive fact that a high transmissibility rate may compensate for a low inter-community contact rate</w:t>
      </w:r>
      <w:r w:rsidR="002B6EB2" w:rsidRPr="00DD1CE1">
        <w:rPr>
          <w:rFonts w:cstheme="minorHAnsi"/>
        </w:rPr>
        <w:t xml:space="preserve"> and vice versa. The</w:t>
      </w:r>
      <w:r w:rsidR="00443ED1" w:rsidRPr="00DD1CE1">
        <w:rPr>
          <w:rFonts w:cstheme="minorHAnsi"/>
        </w:rPr>
        <w:t xml:space="preserve"> fact that the contact parameter is close to 1 or that the transmissibility rate is only </w:t>
      </w:r>
      <w:r w:rsidR="002240BD" w:rsidRPr="00DD1CE1">
        <w:rPr>
          <w:rFonts w:cstheme="minorHAnsi"/>
        </w:rPr>
        <w:t>0.05</w:t>
      </w:r>
      <w:r w:rsidR="00443ED1" w:rsidRPr="00DD1CE1">
        <w:rPr>
          <w:rFonts w:cstheme="minorHAnsi"/>
        </w:rPr>
        <w:t xml:space="preserve"> is somewhat arbitrary; a transmissibility of</w:t>
      </w:r>
      <w:r w:rsidR="00AD5DD4" w:rsidRPr="00DD1CE1">
        <w:rPr>
          <w:rFonts w:cstheme="minorHAnsi"/>
        </w:rPr>
        <w:t xml:space="preserve"> </w:t>
      </w:r>
      <w:r w:rsidR="002B6EB2" w:rsidRPr="00DD1CE1">
        <w:rPr>
          <w:rFonts w:cstheme="minorHAnsi"/>
        </w:rPr>
        <w:t>0.0</w:t>
      </w:r>
      <w:r w:rsidR="00AD5DD4" w:rsidRPr="00DD1CE1">
        <w:rPr>
          <w:rFonts w:cstheme="minorHAnsi"/>
        </w:rPr>
        <w:t xml:space="preserve">8 and a contact rate </w:t>
      </w:r>
      <w:r w:rsidR="00791C06" w:rsidRPr="00DD1CE1">
        <w:rPr>
          <w:rFonts w:cstheme="minorHAnsi"/>
        </w:rPr>
        <w:t>of 0.57 function nearly as well in terms of matching the observed data</w:t>
      </w:r>
      <w:r w:rsidR="00CE360A" w:rsidRPr="00DD1CE1">
        <w:rPr>
          <w:rFonts w:cstheme="minorHAnsi"/>
        </w:rPr>
        <w:t>, for example.</w:t>
      </w:r>
    </w:p>
    <w:p w14:paraId="721E20A9" w14:textId="08D7F8FF" w:rsidR="00305BCE" w:rsidRPr="00DD1CE1" w:rsidRDefault="00305BCE">
      <w:pPr>
        <w:rPr>
          <w:rFonts w:cstheme="minorHAnsi"/>
        </w:rPr>
      </w:pPr>
    </w:p>
    <w:p w14:paraId="6077FD04" w14:textId="14EC07AD" w:rsidR="00305BCE" w:rsidRPr="00DD1CE1" w:rsidRDefault="00305BCE">
      <w:pPr>
        <w:rPr>
          <w:rFonts w:cstheme="minorHAnsi"/>
          <w:b/>
          <w:bCs/>
        </w:rPr>
      </w:pPr>
      <w:r w:rsidRPr="00DD1CE1">
        <w:rPr>
          <w:rFonts w:cstheme="minorHAnsi"/>
          <w:b/>
          <w:bCs/>
        </w:rPr>
        <w:t>Projection</w:t>
      </w:r>
    </w:p>
    <w:p w14:paraId="46CABB4C" w14:textId="458F27DA" w:rsidR="00B511C5" w:rsidRPr="00DD1CE1" w:rsidRDefault="00827899">
      <w:pPr>
        <w:rPr>
          <w:rFonts w:cstheme="minorHAnsi"/>
        </w:rPr>
      </w:pPr>
      <w:r w:rsidRPr="00DD1CE1">
        <w:rPr>
          <w:rFonts w:cstheme="minorHAnsi"/>
        </w:rPr>
        <w:t>The only</w:t>
      </w:r>
      <w:r w:rsidR="00A415A8" w:rsidRPr="00DD1CE1">
        <w:rPr>
          <w:rFonts w:cstheme="minorHAnsi"/>
        </w:rPr>
        <w:t xml:space="preserve"> variable which is not predicted within the context of the model for years beyond 2019 is annual migration. </w:t>
      </w:r>
      <w:r w:rsidR="00196DF6" w:rsidRPr="00DD1CE1">
        <w:rPr>
          <w:rFonts w:cstheme="minorHAnsi"/>
        </w:rPr>
        <w:t xml:space="preserve">For this variable, </w:t>
      </w:r>
      <w:r w:rsidR="00E226D3" w:rsidRPr="00DD1CE1">
        <w:rPr>
          <w:rFonts w:cstheme="minorHAnsi"/>
        </w:rPr>
        <w:t xml:space="preserve">I </w:t>
      </w:r>
      <w:r w:rsidR="00196DF6" w:rsidRPr="00DD1CE1">
        <w:rPr>
          <w:rFonts w:cstheme="minorHAnsi"/>
        </w:rPr>
        <w:t xml:space="preserve">impute a linear trend using the 2005-2019 </w:t>
      </w:r>
      <w:r w:rsidR="0012232F" w:rsidRPr="00DD1CE1">
        <w:rPr>
          <w:rFonts w:cstheme="minorHAnsi"/>
        </w:rPr>
        <w:t xml:space="preserve">observed </w:t>
      </w:r>
      <w:r w:rsidR="00196DF6" w:rsidRPr="00DD1CE1">
        <w:rPr>
          <w:rFonts w:cstheme="minorHAnsi"/>
        </w:rPr>
        <w:t xml:space="preserve">values. This uniformly results in a stark upward trend </w:t>
      </w:r>
      <w:r w:rsidR="00B511C5" w:rsidRPr="00DD1CE1">
        <w:rPr>
          <w:rFonts w:cstheme="minorHAnsi"/>
        </w:rPr>
        <w:t>in yearly migration for e</w:t>
      </w:r>
      <w:r w:rsidR="006F2992" w:rsidRPr="00DD1CE1">
        <w:rPr>
          <w:rFonts w:cstheme="minorHAnsi"/>
        </w:rPr>
        <w:t>ach</w:t>
      </w:r>
      <w:r w:rsidR="00B511C5" w:rsidRPr="00DD1CE1">
        <w:rPr>
          <w:rFonts w:cstheme="minorHAnsi"/>
        </w:rPr>
        <w:t xml:space="preserve"> state, </w:t>
      </w:r>
      <w:r w:rsidR="00196DF6" w:rsidRPr="00DD1CE1">
        <w:rPr>
          <w:rFonts w:cstheme="minorHAnsi"/>
        </w:rPr>
        <w:t>which may not be realistic</w:t>
      </w:r>
      <w:r w:rsidR="00E542EC" w:rsidRPr="00DD1CE1">
        <w:rPr>
          <w:rFonts w:cstheme="minorHAnsi"/>
        </w:rPr>
        <w:t xml:space="preserve"> as it </w:t>
      </w:r>
      <w:r w:rsidR="00DF3D48" w:rsidRPr="00DD1CE1">
        <w:rPr>
          <w:rFonts w:cstheme="minorHAnsi"/>
        </w:rPr>
        <w:t xml:space="preserve">almost certainly </w:t>
      </w:r>
      <w:r w:rsidR="00E542EC" w:rsidRPr="00DD1CE1">
        <w:rPr>
          <w:rFonts w:cstheme="minorHAnsi"/>
        </w:rPr>
        <w:t xml:space="preserve">overstates the </w:t>
      </w:r>
      <w:r w:rsidR="0040357E" w:rsidRPr="00DD1CE1">
        <w:rPr>
          <w:rFonts w:cstheme="minorHAnsi"/>
        </w:rPr>
        <w:t xml:space="preserve">inflow of migrants in future years. However, </w:t>
      </w:r>
      <w:r w:rsidR="00E226D3" w:rsidRPr="00DD1CE1">
        <w:rPr>
          <w:rFonts w:cstheme="minorHAnsi"/>
        </w:rPr>
        <w:t>the purpose</w:t>
      </w:r>
      <w:r w:rsidR="0016221A" w:rsidRPr="00DD1CE1">
        <w:rPr>
          <w:rFonts w:cstheme="minorHAnsi"/>
        </w:rPr>
        <w:t xml:space="preserve"> of this research is to show that even under unrealistically strong assumptions regarding NESs (the other two of which are that all migrants are NSEs and all children born to </w:t>
      </w:r>
      <w:r w:rsidR="00166872" w:rsidRPr="00DD1CE1">
        <w:rPr>
          <w:rFonts w:cstheme="minorHAnsi"/>
        </w:rPr>
        <w:t>migrants are NESs), English remains proficiently spoken by the vast majority of the population for many decades</w:t>
      </w:r>
      <w:r w:rsidR="00B97691" w:rsidRPr="00DD1CE1">
        <w:rPr>
          <w:rFonts w:cstheme="minorHAnsi"/>
        </w:rPr>
        <w:t xml:space="preserve"> under this model.</w:t>
      </w:r>
    </w:p>
    <w:p w14:paraId="3D0F1778" w14:textId="3389208D" w:rsidR="00BB1934" w:rsidRPr="00DD1CE1" w:rsidRDefault="00305BCE">
      <w:pPr>
        <w:rPr>
          <w:rFonts w:cstheme="minorHAnsi"/>
        </w:rPr>
      </w:pPr>
      <w:r w:rsidRPr="00DD1CE1">
        <w:rPr>
          <w:rFonts w:cstheme="minorHAnsi"/>
        </w:rPr>
        <w:t xml:space="preserve">Using the parameter values obtained </w:t>
      </w:r>
      <w:r w:rsidR="004C0C12" w:rsidRPr="00DD1CE1">
        <w:rPr>
          <w:rFonts w:cstheme="minorHAnsi"/>
        </w:rPr>
        <w:t xml:space="preserve">above and the observed data for 2005 as values for t = </w:t>
      </w:r>
      <w:r w:rsidR="002B380E" w:rsidRPr="00DD1CE1">
        <w:rPr>
          <w:rFonts w:cstheme="minorHAnsi"/>
        </w:rPr>
        <w:t>0</w:t>
      </w:r>
      <w:r w:rsidR="004C0C12" w:rsidRPr="00DD1CE1">
        <w:rPr>
          <w:rFonts w:cstheme="minorHAnsi"/>
        </w:rPr>
        <w:t xml:space="preserve">, I then project the </w:t>
      </w:r>
      <w:r w:rsidR="00255243" w:rsidRPr="00DD1CE1">
        <w:rPr>
          <w:rFonts w:cstheme="minorHAnsi"/>
        </w:rPr>
        <w:t>proportion of the total population able to speak English at least ‘very well’ out to 2</w:t>
      </w:r>
      <w:r w:rsidR="00894214" w:rsidRPr="00DD1CE1">
        <w:rPr>
          <w:rFonts w:cstheme="minorHAnsi"/>
        </w:rPr>
        <w:t>100</w:t>
      </w:r>
      <w:r w:rsidR="00255243" w:rsidRPr="00DD1CE1">
        <w:rPr>
          <w:rFonts w:cstheme="minorHAnsi"/>
        </w:rPr>
        <w:t xml:space="preserve"> for each state and for the nation</w:t>
      </w:r>
      <w:r w:rsidR="00762635" w:rsidRPr="00DD1CE1">
        <w:rPr>
          <w:rFonts w:cstheme="minorHAnsi"/>
        </w:rPr>
        <w:t xml:space="preserve"> (Figure X)</w:t>
      </w:r>
      <w:r w:rsidR="00255243" w:rsidRPr="00DD1CE1">
        <w:rPr>
          <w:rFonts w:cstheme="minorHAnsi"/>
        </w:rPr>
        <w:t>.</w:t>
      </w:r>
      <w:r w:rsidR="001B01BE" w:rsidRPr="00DD1CE1">
        <w:rPr>
          <w:rFonts w:cstheme="minorHAnsi"/>
        </w:rPr>
        <w:t xml:space="preserve"> </w:t>
      </w:r>
      <w:r w:rsidR="001831D4" w:rsidRPr="00DD1CE1">
        <w:rPr>
          <w:rFonts w:cstheme="minorHAnsi"/>
        </w:rPr>
        <w:t>The</w:t>
      </w:r>
      <w:r w:rsidR="005F302C" w:rsidRPr="00DD1CE1">
        <w:rPr>
          <w:rFonts w:cstheme="minorHAnsi"/>
        </w:rPr>
        <w:t xml:space="preserve"> </w:t>
      </w:r>
      <w:r w:rsidR="00762635" w:rsidRPr="00DD1CE1">
        <w:rPr>
          <w:rFonts w:cstheme="minorHAnsi"/>
        </w:rPr>
        <w:t xml:space="preserve">long-run </w:t>
      </w:r>
      <w:r w:rsidR="005F302C" w:rsidRPr="00DD1CE1">
        <w:rPr>
          <w:rFonts w:cstheme="minorHAnsi"/>
        </w:rPr>
        <w:t xml:space="preserve">trend for </w:t>
      </w:r>
      <w:r w:rsidR="00762635" w:rsidRPr="00DD1CE1">
        <w:rPr>
          <w:rFonts w:cstheme="minorHAnsi"/>
        </w:rPr>
        <w:t>most</w:t>
      </w:r>
      <w:r w:rsidR="005F302C" w:rsidRPr="00DD1CE1">
        <w:rPr>
          <w:rFonts w:cstheme="minorHAnsi"/>
        </w:rPr>
        <w:t xml:space="preserve"> states </w:t>
      </w:r>
      <w:r w:rsidR="001831D4" w:rsidRPr="00DD1CE1">
        <w:rPr>
          <w:rFonts w:cstheme="minorHAnsi"/>
        </w:rPr>
        <w:t xml:space="preserve">and the nation </w:t>
      </w:r>
      <w:r w:rsidR="005F302C" w:rsidRPr="00DD1CE1">
        <w:rPr>
          <w:rFonts w:cstheme="minorHAnsi"/>
        </w:rPr>
        <w:t>is a nearly</w:t>
      </w:r>
      <w:r w:rsidR="00DB7CE6" w:rsidRPr="00DD1CE1">
        <w:rPr>
          <w:rFonts w:cstheme="minorHAnsi"/>
        </w:rPr>
        <w:t xml:space="preserve"> a</w:t>
      </w:r>
      <w:r w:rsidR="005F302C" w:rsidRPr="00DD1CE1">
        <w:rPr>
          <w:rFonts w:cstheme="minorHAnsi"/>
        </w:rPr>
        <w:t xml:space="preserve"> flat line. Even under these strong assumptions, the transmission of English </w:t>
      </w:r>
      <w:r w:rsidR="00DB7CE6" w:rsidRPr="00DD1CE1">
        <w:rPr>
          <w:rFonts w:cstheme="minorHAnsi"/>
        </w:rPr>
        <w:t xml:space="preserve">counteracts </w:t>
      </w:r>
      <w:r w:rsidR="00F01336" w:rsidRPr="00DD1CE1">
        <w:rPr>
          <w:rFonts w:cstheme="minorHAnsi"/>
        </w:rPr>
        <w:t>increasing migrant flows of NSEs as well as the birth of new NSEs within the population, and English re</w:t>
      </w:r>
      <w:r w:rsidR="007707EE" w:rsidRPr="00DD1CE1">
        <w:rPr>
          <w:rFonts w:cstheme="minorHAnsi"/>
        </w:rPr>
        <w:t>mains proficiently spoken by the vast majority of the population until the end of the model.</w:t>
      </w:r>
      <w:r w:rsidR="00296ABB" w:rsidRPr="00DD1CE1">
        <w:rPr>
          <w:rFonts w:cstheme="minorHAnsi"/>
        </w:rPr>
        <w:t xml:space="preserve"> Additionally, the slight decline observed in most states eventually flattens out, despite increasing migration which </w:t>
      </w:r>
      <w:r w:rsidR="00222813" w:rsidRPr="00DD1CE1">
        <w:rPr>
          <w:rFonts w:cstheme="minorHAnsi"/>
        </w:rPr>
        <w:t>in some states</w:t>
      </w:r>
      <w:r w:rsidR="00296ABB" w:rsidRPr="00DD1CE1">
        <w:rPr>
          <w:rFonts w:cstheme="minorHAnsi"/>
        </w:rPr>
        <w:t xml:space="preserve"> leads the immigrant communities to </w:t>
      </w:r>
      <w:r w:rsidR="00222813" w:rsidRPr="00DD1CE1">
        <w:rPr>
          <w:rFonts w:cstheme="minorHAnsi"/>
        </w:rPr>
        <w:t xml:space="preserve">eventually </w:t>
      </w:r>
      <w:r w:rsidR="00296ABB" w:rsidRPr="00DD1CE1">
        <w:rPr>
          <w:rFonts w:cstheme="minorHAnsi"/>
        </w:rPr>
        <w:t>dominate the native communities in terms of size</w:t>
      </w:r>
      <w:r w:rsidR="00271C5D" w:rsidRPr="00DD1CE1">
        <w:rPr>
          <w:rFonts w:cstheme="minorHAnsi"/>
        </w:rPr>
        <w:t xml:space="preserve"> (Figure Y)</w:t>
      </w:r>
      <w:r w:rsidR="00296ABB" w:rsidRPr="00DD1CE1">
        <w:rPr>
          <w:rFonts w:cstheme="minorHAnsi"/>
        </w:rPr>
        <w:t>.</w:t>
      </w:r>
    </w:p>
    <w:p w14:paraId="46EB222F" w14:textId="03503C96" w:rsidR="00BB1934" w:rsidRPr="00DD1CE1" w:rsidRDefault="001E07E2">
      <w:pPr>
        <w:rPr>
          <w:noProof/>
        </w:rPr>
      </w:pPr>
      <w:r w:rsidRPr="00DD1CE1">
        <w:rPr>
          <w:noProof/>
        </w:rPr>
        <w:t>Figure Xa: Estimated Proportion of the Population able to Speak English (2005-2</w:t>
      </w:r>
      <w:r w:rsidR="00894214" w:rsidRPr="00DD1CE1">
        <w:rPr>
          <w:noProof/>
        </w:rPr>
        <w:t>10</w:t>
      </w:r>
      <w:r w:rsidRPr="00DD1CE1">
        <w:rPr>
          <w:noProof/>
        </w:rPr>
        <w:t>0)</w:t>
      </w:r>
    </w:p>
    <w:p w14:paraId="71C2C4AB" w14:textId="044D87BB" w:rsidR="00FA7DE3" w:rsidRPr="00DD1CE1" w:rsidRDefault="003B5112" w:rsidP="001E07E2">
      <w:pPr>
        <w:jc w:val="center"/>
      </w:pPr>
      <w:r w:rsidRPr="00DD1CE1">
        <w:rPr>
          <w:noProof/>
        </w:rPr>
        <w:lastRenderedPageBreak/>
        <w:drawing>
          <wp:inline distT="0" distB="0" distL="0" distR="0" wp14:anchorId="2D5CBDD1" wp14:editId="59EACD32">
            <wp:extent cx="4037609" cy="6248543"/>
            <wp:effectExtent l="0" t="0" r="1270" b="0"/>
            <wp:docPr id="6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4A313D3E-AC95-4509-BF8A-F722B41B09A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4A313D3E-AC95-4509-BF8A-F722B41B09AE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259" b="53764"/>
                    <a:stretch/>
                  </pic:blipFill>
                  <pic:spPr bwMode="auto">
                    <a:xfrm>
                      <a:off x="0" y="0"/>
                      <a:ext cx="4037609" cy="6248543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14:paraId="7224CF51" w14:textId="77777777" w:rsidR="00AB7F9E" w:rsidRPr="00DD1CE1" w:rsidRDefault="00AB7F9E">
      <w:pPr>
        <w:rPr>
          <w:noProof/>
        </w:rPr>
      </w:pPr>
    </w:p>
    <w:p w14:paraId="7DBB5238" w14:textId="08A23131" w:rsidR="001E07E2" w:rsidRPr="00DD1CE1" w:rsidRDefault="001E07E2">
      <w:pPr>
        <w:rPr>
          <w:noProof/>
        </w:rPr>
      </w:pPr>
      <w:r w:rsidRPr="00DD1CE1">
        <w:rPr>
          <w:noProof/>
        </w:rPr>
        <w:t>Figure X</w:t>
      </w:r>
      <w:r w:rsidR="00AB7F9E" w:rsidRPr="00DD1CE1">
        <w:rPr>
          <w:noProof/>
        </w:rPr>
        <w:t>b</w:t>
      </w:r>
      <w:r w:rsidRPr="00DD1CE1">
        <w:rPr>
          <w:noProof/>
        </w:rPr>
        <w:t>: Estimated Proportion of the Population able to Speak English (2005-2</w:t>
      </w:r>
      <w:r w:rsidR="009E2A4C" w:rsidRPr="00DD1CE1">
        <w:rPr>
          <w:noProof/>
        </w:rPr>
        <w:t>10</w:t>
      </w:r>
      <w:r w:rsidRPr="00DD1CE1">
        <w:rPr>
          <w:noProof/>
        </w:rPr>
        <w:t>0)</w:t>
      </w:r>
    </w:p>
    <w:p w14:paraId="5145CED6" w14:textId="12E0591B" w:rsidR="001216C4" w:rsidRPr="00DD1CE1" w:rsidRDefault="001216C4" w:rsidP="001216C4">
      <w:pPr>
        <w:jc w:val="center"/>
        <w:rPr>
          <w:noProof/>
        </w:rPr>
      </w:pPr>
      <w:r w:rsidRPr="00DD1CE1">
        <w:rPr>
          <w:noProof/>
        </w:rPr>
        <w:lastRenderedPageBreak/>
        <w:drawing>
          <wp:inline distT="0" distB="0" distL="0" distR="0" wp14:anchorId="146879DD" wp14:editId="0717E257">
            <wp:extent cx="4048100" cy="7315087"/>
            <wp:effectExtent l="0" t="0" r="0" b="635"/>
            <wp:docPr id="9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CFBCB81B-09BB-4F3B-9978-0F109142EA3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>
                      <a:extLst>
                        <a:ext uri="{FF2B5EF4-FFF2-40B4-BE49-F238E27FC236}">
                          <a16:creationId xmlns:a16="http://schemas.microsoft.com/office/drawing/2014/main" id="{CFBCB81B-09BB-4F3B-9978-0F109142EA38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871"/>
                    <a:stretch/>
                  </pic:blipFill>
                  <pic:spPr bwMode="auto">
                    <a:xfrm>
                      <a:off x="0" y="0"/>
                      <a:ext cx="4048100" cy="7315087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14:paraId="40FEDF6C" w14:textId="77777777" w:rsidR="001216C4" w:rsidRPr="00DD1CE1" w:rsidRDefault="001216C4" w:rsidP="001216C4">
      <w:pPr>
        <w:rPr>
          <w:noProof/>
        </w:rPr>
      </w:pPr>
    </w:p>
    <w:p w14:paraId="19A6DC14" w14:textId="51EE9DE6" w:rsidR="001216C4" w:rsidRPr="00DD1CE1" w:rsidRDefault="001216C4" w:rsidP="001216C4">
      <w:pPr>
        <w:rPr>
          <w:noProof/>
        </w:rPr>
      </w:pPr>
      <w:r w:rsidRPr="00DD1CE1">
        <w:rPr>
          <w:noProof/>
        </w:rPr>
        <w:t xml:space="preserve">Figure </w:t>
      </w:r>
      <w:r w:rsidR="00271C5D" w:rsidRPr="00DD1CE1">
        <w:rPr>
          <w:noProof/>
        </w:rPr>
        <w:t>Y</w:t>
      </w:r>
      <w:r w:rsidRPr="00DD1CE1">
        <w:rPr>
          <w:noProof/>
        </w:rPr>
        <w:t>a: Estimated Population (2005-2100)</w:t>
      </w:r>
    </w:p>
    <w:p w14:paraId="43C71A21" w14:textId="232924B8" w:rsidR="001216C4" w:rsidRPr="00DD1CE1" w:rsidRDefault="0087441E" w:rsidP="0087441E">
      <w:pPr>
        <w:jc w:val="center"/>
        <w:rPr>
          <w:noProof/>
        </w:rPr>
      </w:pPr>
      <w:r w:rsidRPr="00DD1CE1">
        <w:rPr>
          <w:noProof/>
        </w:rPr>
        <w:lastRenderedPageBreak/>
        <w:drawing>
          <wp:inline distT="0" distB="0" distL="0" distR="0" wp14:anchorId="27715040" wp14:editId="412067D7">
            <wp:extent cx="4023360" cy="6205682"/>
            <wp:effectExtent l="0" t="0" r="0" b="5080"/>
            <wp:docPr id="8" name="Picture 7">
              <a:extLst xmlns:a="http://schemas.openxmlformats.org/drawingml/2006/main">
                <a:ext uri="{FF2B5EF4-FFF2-40B4-BE49-F238E27FC236}">
                  <a16:creationId xmlns:a16="http://schemas.microsoft.com/office/drawing/2014/main" id="{EB3AB7BF-28C4-4A9C-BCC2-1CC8E017B24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>
                      <a:extLst>
                        <a:ext uri="{FF2B5EF4-FFF2-40B4-BE49-F238E27FC236}">
                          <a16:creationId xmlns:a16="http://schemas.microsoft.com/office/drawing/2014/main" id="{EB3AB7BF-28C4-4A9C-BCC2-1CC8E017B244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3790"/>
                    <a:stretch/>
                  </pic:blipFill>
                  <pic:spPr bwMode="auto">
                    <a:xfrm>
                      <a:off x="0" y="0"/>
                      <a:ext cx="4023360" cy="6205682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14:paraId="7C72701F" w14:textId="4D4447D4" w:rsidR="0087441E" w:rsidRPr="00DD1CE1" w:rsidRDefault="0087441E" w:rsidP="0087441E">
      <w:pPr>
        <w:rPr>
          <w:noProof/>
        </w:rPr>
      </w:pPr>
    </w:p>
    <w:p w14:paraId="11090387" w14:textId="23695CCC" w:rsidR="008856E4" w:rsidRPr="00DD1CE1" w:rsidRDefault="008856E4" w:rsidP="008856E4">
      <w:pPr>
        <w:rPr>
          <w:noProof/>
        </w:rPr>
      </w:pPr>
      <w:r w:rsidRPr="00DD1CE1">
        <w:rPr>
          <w:noProof/>
        </w:rPr>
        <w:t xml:space="preserve">Figure </w:t>
      </w:r>
      <w:r w:rsidR="00271C5D" w:rsidRPr="00DD1CE1">
        <w:rPr>
          <w:noProof/>
        </w:rPr>
        <w:t>Y</w:t>
      </w:r>
      <w:r w:rsidRPr="00DD1CE1">
        <w:rPr>
          <w:noProof/>
        </w:rPr>
        <w:t>b: Estimated Population (2005-2100)</w:t>
      </w:r>
    </w:p>
    <w:p w14:paraId="4F845F84" w14:textId="35460E36" w:rsidR="0087441E" w:rsidRPr="00DD1CE1" w:rsidRDefault="008856E4" w:rsidP="0087441E">
      <w:pPr>
        <w:rPr>
          <w:noProof/>
        </w:rPr>
      </w:pPr>
      <w:r w:rsidRPr="00DD1CE1">
        <w:rPr>
          <w:noProof/>
        </w:rPr>
        <w:lastRenderedPageBreak/>
        <w:drawing>
          <wp:inline distT="0" distB="0" distL="0" distR="0" wp14:anchorId="5B9BEBA8" wp14:editId="07AC7529">
            <wp:extent cx="4023360" cy="7252474"/>
            <wp:effectExtent l="0" t="0" r="0" b="5715"/>
            <wp:docPr id="10" name="Picture 9">
              <a:extLst xmlns:a="http://schemas.openxmlformats.org/drawingml/2006/main">
                <a:ext uri="{FF2B5EF4-FFF2-40B4-BE49-F238E27FC236}">
                  <a16:creationId xmlns:a16="http://schemas.microsoft.com/office/drawing/2014/main" id="{C6C24988-0B6E-4D71-9FA5-9EAF30D5BA7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>
                      <a:extLst>
                        <a:ext uri="{FF2B5EF4-FFF2-40B4-BE49-F238E27FC236}">
                          <a16:creationId xmlns:a16="http://schemas.microsoft.com/office/drawing/2014/main" id="{C6C24988-0B6E-4D71-9FA5-9EAF30D5BA70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995"/>
                    <a:stretch/>
                  </pic:blipFill>
                  <pic:spPr bwMode="auto">
                    <a:xfrm>
                      <a:off x="0" y="0"/>
                      <a:ext cx="4023360" cy="7252474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14:paraId="0B1E6CE3" w14:textId="659FD859" w:rsidR="00E20949" w:rsidRPr="00DD1CE1" w:rsidRDefault="00E20949" w:rsidP="001E07E2">
      <w:pPr>
        <w:jc w:val="center"/>
      </w:pPr>
    </w:p>
    <w:sectPr w:rsidR="00E20949" w:rsidRPr="00DD1C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D4EB9D" w14:textId="77777777" w:rsidR="009D7F0D" w:rsidRDefault="009D7F0D" w:rsidP="00131F4B">
      <w:pPr>
        <w:spacing w:after="0" w:line="240" w:lineRule="auto"/>
      </w:pPr>
      <w:r>
        <w:separator/>
      </w:r>
    </w:p>
  </w:endnote>
  <w:endnote w:type="continuationSeparator" w:id="0">
    <w:p w14:paraId="62B5E40C" w14:textId="77777777" w:rsidR="009D7F0D" w:rsidRDefault="009D7F0D" w:rsidP="00131F4B">
      <w:pPr>
        <w:spacing w:after="0" w:line="240" w:lineRule="auto"/>
      </w:pPr>
      <w:r>
        <w:continuationSeparator/>
      </w:r>
    </w:p>
  </w:endnote>
  <w:endnote w:id="1">
    <w:p w14:paraId="0F078465" w14:textId="12305D96" w:rsidR="00131F4B" w:rsidRDefault="00131F4B" w:rsidP="00131F4B">
      <w:r>
        <w:rPr>
          <w:rStyle w:val="EndnoteReference"/>
        </w:rPr>
        <w:endnoteRef/>
      </w:r>
      <w:r>
        <w:t xml:space="preserve"> </w:t>
      </w:r>
      <w:hyperlink r:id="rId1" w:history="1">
        <w:r w:rsidRPr="0049331B">
          <w:rPr>
            <w:rStyle w:val="Hyperlink"/>
          </w:rPr>
          <w:t>https://www.econstor.eu/bitstream/10419/210691/1/10.21307_stattrans-2019-035.pdf</w:t>
        </w:r>
      </w:hyperlink>
    </w:p>
  </w:endnote>
  <w:endnote w:id="2">
    <w:p w14:paraId="7660CB8E" w14:textId="7B0AB1D1" w:rsidR="00910C99" w:rsidRDefault="00910C99">
      <w:pPr>
        <w:pStyle w:val="EndnoteText"/>
      </w:pPr>
      <w:r>
        <w:rPr>
          <w:rStyle w:val="EndnoteReference"/>
        </w:rPr>
        <w:endnoteRef/>
      </w:r>
      <w:r>
        <w:t xml:space="preserve"> </w:t>
      </w:r>
      <w:r w:rsidRPr="00910C99">
        <w:t>https://web.stanford.edu/~hakuta/Publications/(2000)%20-%20HOW%20LONG%20DOES%20IT%20TAKE%20ENGLISH%20LEARNERS%20TO%20ATTAIN%20PR.pdf</w:t>
      </w:r>
    </w:p>
  </w:endnote>
  <w:endnote w:id="3">
    <w:p w14:paraId="3470EB2F" w14:textId="567BE5D4" w:rsidR="00E0169D" w:rsidRDefault="00E0169D">
      <w:pPr>
        <w:pStyle w:val="EndnoteText"/>
      </w:pPr>
      <w:r>
        <w:rPr>
          <w:rStyle w:val="EndnoteReference"/>
        </w:rPr>
        <w:endnoteRef/>
      </w:r>
      <w:r>
        <w:t xml:space="preserve"> </w:t>
      </w:r>
      <w:hyperlink r:id="rId2" w:history="1">
        <w:r w:rsidR="000337D4" w:rsidRPr="002D1A38">
          <w:rPr>
            <w:rStyle w:val="Hyperlink"/>
          </w:rPr>
          <w:t>https://www.macrotrends.net/countries/USA/united-states</w:t>
        </w:r>
      </w:hyperlink>
      <w:r w:rsidR="00F82DFC">
        <w:t>. While one might expect the death rate to be higher in 2021 due to the COVID-19 pandemic,</w:t>
      </w:r>
      <w:r w:rsidR="000F06D5">
        <w:t xml:space="preserve"> the trend</w:t>
      </w:r>
      <w:r w:rsidR="003D67C6">
        <w:t xml:space="preserve"> in the US death rate</w:t>
      </w:r>
      <w:r w:rsidR="000F06D5">
        <w:t xml:space="preserve"> appears not to have been impacted</w:t>
      </w:r>
      <w:r w:rsidR="003D67C6">
        <w:t xml:space="preserve"> by the pandemic.</w:t>
      </w:r>
    </w:p>
  </w:endnote>
  <w:endnote w:id="4">
    <w:p w14:paraId="3FC44017" w14:textId="5D6A40CB" w:rsidR="0023385A" w:rsidRPr="003C7584" w:rsidRDefault="0023385A" w:rsidP="0023385A">
      <w:pPr>
        <w:pStyle w:val="EndnoteText"/>
        <w:spacing w:after="180" w:line="360" w:lineRule="auto"/>
        <w:rPr>
          <w:rFonts w:cstheme="minorHAnsi"/>
        </w:rPr>
      </w:pPr>
      <w:r w:rsidRPr="0023385A">
        <w:rPr>
          <w:rStyle w:val="EndnoteReference"/>
          <w:rFonts w:cstheme="minorHAnsi"/>
        </w:rPr>
        <w:endnoteRef/>
      </w:r>
      <w:r w:rsidRPr="0023385A">
        <w:rPr>
          <w:rFonts w:cstheme="minorHAnsi"/>
        </w:rPr>
        <w:t xml:space="preserve">. IPUMS USA, </w:t>
      </w:r>
      <w:hyperlink r:id="rId3" w:history="1">
        <w:r w:rsidRPr="0023385A">
          <w:rPr>
            <w:rStyle w:val="Hyperlink"/>
            <w:rFonts w:cstheme="minorHAnsi"/>
          </w:rPr>
          <w:t>https://usa.ipums.org/usa/</w:t>
        </w:r>
      </w:hyperlink>
      <w:r w:rsidRPr="0023385A">
        <w:rPr>
          <w:rFonts w:cstheme="minorHAnsi"/>
        </w:rPr>
        <w:t>; Christian</w:t>
      </w:r>
      <w:r w:rsidRPr="003C7584">
        <w:rPr>
          <w:rFonts w:cstheme="minorHAnsi"/>
        </w:rPr>
        <w:t xml:space="preserve"> Gunadi, “On the Association between Undocumented Immigration and Crime in the United States,” Oxford Economic Papers 73, no. 1 (January 2021): 200–24; Michelangelo Landgrave and Alex Nowrasteh, “Illegal Immigrant Incarceration Rates, 2010–2018: Demographics and Policy Implications,” Cato Institute Policy Analysis no. 890, April 21, 2020; Alex Nowrasteh, Andrew C. Forrester, and Michelangelo Landgrave, “Illegal Immigration and Crime in Texas,” Cato Institute Working Paper no. 60, October 13, 2020 (accepted for a chapter in the forthcoming book </w:t>
      </w:r>
      <w:r w:rsidRPr="00733A03">
        <w:rPr>
          <w:rFonts w:cstheme="minorHAnsi"/>
          <w:i/>
        </w:rPr>
        <w:t>On Inequality and Freedom</w:t>
      </w:r>
      <w:r w:rsidRPr="003C7584">
        <w:rPr>
          <w:rFonts w:cstheme="minorHAnsi"/>
        </w:rPr>
        <w:t>, edited by Lawrence Eppard, to be published by Oxford University Press in 2021).</w:t>
      </w:r>
    </w:p>
  </w:endnote>
  <w:endnote w:id="5">
    <w:p w14:paraId="699D0C95" w14:textId="584174DB" w:rsidR="006D0746" w:rsidRDefault="006D0746">
      <w:pPr>
        <w:pStyle w:val="EndnoteText"/>
      </w:pPr>
      <w:r>
        <w:rPr>
          <w:rStyle w:val="EndnoteReference"/>
        </w:rPr>
        <w:endnoteRef/>
      </w:r>
      <w:r>
        <w:t xml:space="preserve"> </w:t>
      </w:r>
      <w:r w:rsidRPr="006D0746">
        <w:t>https://www.dhs.gov/immigration-statistics/yearbook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6A44D5" w14:textId="77777777" w:rsidR="009D7F0D" w:rsidRDefault="009D7F0D" w:rsidP="00131F4B">
      <w:pPr>
        <w:spacing w:after="0" w:line="240" w:lineRule="auto"/>
      </w:pPr>
      <w:r>
        <w:separator/>
      </w:r>
    </w:p>
  </w:footnote>
  <w:footnote w:type="continuationSeparator" w:id="0">
    <w:p w14:paraId="18C376C5" w14:textId="77777777" w:rsidR="009D7F0D" w:rsidRDefault="009D7F0D" w:rsidP="00131F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E92A58"/>
    <w:multiLevelType w:val="hybridMultilevel"/>
    <w:tmpl w:val="C9F2F3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1566E0"/>
    <w:multiLevelType w:val="hybridMultilevel"/>
    <w:tmpl w:val="C9F2F3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605"/>
    <w:rsid w:val="000308AF"/>
    <w:rsid w:val="000337D4"/>
    <w:rsid w:val="00034D8F"/>
    <w:rsid w:val="000663DA"/>
    <w:rsid w:val="0007692E"/>
    <w:rsid w:val="000874D9"/>
    <w:rsid w:val="000C68E4"/>
    <w:rsid w:val="000E5FA4"/>
    <w:rsid w:val="000F06D5"/>
    <w:rsid w:val="000F0AD6"/>
    <w:rsid w:val="000F24EE"/>
    <w:rsid w:val="001001F9"/>
    <w:rsid w:val="00102274"/>
    <w:rsid w:val="00113180"/>
    <w:rsid w:val="00117914"/>
    <w:rsid w:val="001216C4"/>
    <w:rsid w:val="0012232F"/>
    <w:rsid w:val="00123BC4"/>
    <w:rsid w:val="00131F4B"/>
    <w:rsid w:val="0016221A"/>
    <w:rsid w:val="00166872"/>
    <w:rsid w:val="00170302"/>
    <w:rsid w:val="00175A93"/>
    <w:rsid w:val="001831D4"/>
    <w:rsid w:val="00183FD0"/>
    <w:rsid w:val="00187885"/>
    <w:rsid w:val="00191E00"/>
    <w:rsid w:val="00196DF6"/>
    <w:rsid w:val="001A2B77"/>
    <w:rsid w:val="001B01BE"/>
    <w:rsid w:val="001D4B83"/>
    <w:rsid w:val="001E07E2"/>
    <w:rsid w:val="001F3622"/>
    <w:rsid w:val="00222813"/>
    <w:rsid w:val="002240BD"/>
    <w:rsid w:val="00224B28"/>
    <w:rsid w:val="0023385A"/>
    <w:rsid w:val="00255243"/>
    <w:rsid w:val="0026409B"/>
    <w:rsid w:val="00271C5D"/>
    <w:rsid w:val="00290612"/>
    <w:rsid w:val="00296ABB"/>
    <w:rsid w:val="002A4773"/>
    <w:rsid w:val="002B3392"/>
    <w:rsid w:val="002B380E"/>
    <w:rsid w:val="002B6EB2"/>
    <w:rsid w:val="002F2C8B"/>
    <w:rsid w:val="00305BCE"/>
    <w:rsid w:val="00317E8D"/>
    <w:rsid w:val="00322A43"/>
    <w:rsid w:val="00345D32"/>
    <w:rsid w:val="00357D16"/>
    <w:rsid w:val="003666B4"/>
    <w:rsid w:val="0037520A"/>
    <w:rsid w:val="00387549"/>
    <w:rsid w:val="00396D7F"/>
    <w:rsid w:val="003B5112"/>
    <w:rsid w:val="003C79FF"/>
    <w:rsid w:val="003D29D0"/>
    <w:rsid w:val="003D67C6"/>
    <w:rsid w:val="003F4217"/>
    <w:rsid w:val="003F4B46"/>
    <w:rsid w:val="0040357E"/>
    <w:rsid w:val="00406E17"/>
    <w:rsid w:val="00414983"/>
    <w:rsid w:val="00415C8E"/>
    <w:rsid w:val="00443ED1"/>
    <w:rsid w:val="00466613"/>
    <w:rsid w:val="00472940"/>
    <w:rsid w:val="00475E88"/>
    <w:rsid w:val="004C0C12"/>
    <w:rsid w:val="004C5DB4"/>
    <w:rsid w:val="004E3E6D"/>
    <w:rsid w:val="005132A5"/>
    <w:rsid w:val="005223EB"/>
    <w:rsid w:val="00537916"/>
    <w:rsid w:val="00541C55"/>
    <w:rsid w:val="0054337C"/>
    <w:rsid w:val="005516A1"/>
    <w:rsid w:val="00553559"/>
    <w:rsid w:val="00567D43"/>
    <w:rsid w:val="005916A3"/>
    <w:rsid w:val="005A0095"/>
    <w:rsid w:val="005B2A13"/>
    <w:rsid w:val="005B66A1"/>
    <w:rsid w:val="005C31FA"/>
    <w:rsid w:val="005C79D4"/>
    <w:rsid w:val="005E506A"/>
    <w:rsid w:val="005F302C"/>
    <w:rsid w:val="00612ACA"/>
    <w:rsid w:val="00662D7D"/>
    <w:rsid w:val="006728E4"/>
    <w:rsid w:val="00686E22"/>
    <w:rsid w:val="006B0603"/>
    <w:rsid w:val="006D0746"/>
    <w:rsid w:val="006E1D45"/>
    <w:rsid w:val="006E48AC"/>
    <w:rsid w:val="006F2992"/>
    <w:rsid w:val="006F4DD1"/>
    <w:rsid w:val="007132C8"/>
    <w:rsid w:val="00762635"/>
    <w:rsid w:val="00762B73"/>
    <w:rsid w:val="007707EE"/>
    <w:rsid w:val="00791C06"/>
    <w:rsid w:val="007920CA"/>
    <w:rsid w:val="00792903"/>
    <w:rsid w:val="00795FD5"/>
    <w:rsid w:val="007A266B"/>
    <w:rsid w:val="007C272E"/>
    <w:rsid w:val="007D4AEF"/>
    <w:rsid w:val="007D594A"/>
    <w:rsid w:val="00813DDA"/>
    <w:rsid w:val="00827899"/>
    <w:rsid w:val="00835CF2"/>
    <w:rsid w:val="00836166"/>
    <w:rsid w:val="00843A75"/>
    <w:rsid w:val="0085771B"/>
    <w:rsid w:val="0087441E"/>
    <w:rsid w:val="008856E4"/>
    <w:rsid w:val="00894214"/>
    <w:rsid w:val="008A1E5D"/>
    <w:rsid w:val="008B2563"/>
    <w:rsid w:val="008B4446"/>
    <w:rsid w:val="008B47B7"/>
    <w:rsid w:val="008D5501"/>
    <w:rsid w:val="008E2F06"/>
    <w:rsid w:val="0090069F"/>
    <w:rsid w:val="00905684"/>
    <w:rsid w:val="00910C99"/>
    <w:rsid w:val="00913F79"/>
    <w:rsid w:val="00960AD2"/>
    <w:rsid w:val="00973522"/>
    <w:rsid w:val="0098066A"/>
    <w:rsid w:val="009963E7"/>
    <w:rsid w:val="009D7F0D"/>
    <w:rsid w:val="009E2A4C"/>
    <w:rsid w:val="009E3EBA"/>
    <w:rsid w:val="00A27A17"/>
    <w:rsid w:val="00A356E2"/>
    <w:rsid w:val="00A415A8"/>
    <w:rsid w:val="00A46CE7"/>
    <w:rsid w:val="00A4764C"/>
    <w:rsid w:val="00A51ABB"/>
    <w:rsid w:val="00A56D9C"/>
    <w:rsid w:val="00A86F3C"/>
    <w:rsid w:val="00AB7F9E"/>
    <w:rsid w:val="00AD5DD4"/>
    <w:rsid w:val="00AE71E0"/>
    <w:rsid w:val="00AE7605"/>
    <w:rsid w:val="00B2694D"/>
    <w:rsid w:val="00B4485A"/>
    <w:rsid w:val="00B4766B"/>
    <w:rsid w:val="00B511C5"/>
    <w:rsid w:val="00B5242C"/>
    <w:rsid w:val="00B545AB"/>
    <w:rsid w:val="00B646B0"/>
    <w:rsid w:val="00B9198C"/>
    <w:rsid w:val="00B97691"/>
    <w:rsid w:val="00BA7325"/>
    <w:rsid w:val="00BB1934"/>
    <w:rsid w:val="00BB61F9"/>
    <w:rsid w:val="00BD3382"/>
    <w:rsid w:val="00BD4381"/>
    <w:rsid w:val="00C04E6F"/>
    <w:rsid w:val="00C13AE1"/>
    <w:rsid w:val="00C200D9"/>
    <w:rsid w:val="00C201BA"/>
    <w:rsid w:val="00C51108"/>
    <w:rsid w:val="00C572FB"/>
    <w:rsid w:val="00CA617C"/>
    <w:rsid w:val="00CB078E"/>
    <w:rsid w:val="00CE360A"/>
    <w:rsid w:val="00D04258"/>
    <w:rsid w:val="00D11787"/>
    <w:rsid w:val="00D70888"/>
    <w:rsid w:val="00D84927"/>
    <w:rsid w:val="00D86613"/>
    <w:rsid w:val="00D9526A"/>
    <w:rsid w:val="00D9578A"/>
    <w:rsid w:val="00D960EE"/>
    <w:rsid w:val="00DB249D"/>
    <w:rsid w:val="00DB39C0"/>
    <w:rsid w:val="00DB7CE6"/>
    <w:rsid w:val="00DD1CE1"/>
    <w:rsid w:val="00DD24E4"/>
    <w:rsid w:val="00DD683B"/>
    <w:rsid w:val="00DE2CF8"/>
    <w:rsid w:val="00DF3D48"/>
    <w:rsid w:val="00E0169D"/>
    <w:rsid w:val="00E14CB9"/>
    <w:rsid w:val="00E17ECB"/>
    <w:rsid w:val="00E20949"/>
    <w:rsid w:val="00E226D3"/>
    <w:rsid w:val="00E542EC"/>
    <w:rsid w:val="00EA7129"/>
    <w:rsid w:val="00EB0349"/>
    <w:rsid w:val="00EB08A8"/>
    <w:rsid w:val="00EF4245"/>
    <w:rsid w:val="00F01336"/>
    <w:rsid w:val="00F12006"/>
    <w:rsid w:val="00F123AE"/>
    <w:rsid w:val="00F25A7C"/>
    <w:rsid w:val="00F377A5"/>
    <w:rsid w:val="00F64D7A"/>
    <w:rsid w:val="00F76018"/>
    <w:rsid w:val="00F82DFC"/>
    <w:rsid w:val="00FA7DE3"/>
    <w:rsid w:val="00FB24AA"/>
    <w:rsid w:val="00FB2914"/>
    <w:rsid w:val="00FB36D2"/>
    <w:rsid w:val="00FC3900"/>
    <w:rsid w:val="00FD3814"/>
    <w:rsid w:val="00FE3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86CEC"/>
  <w15:chartTrackingRefBased/>
  <w15:docId w15:val="{1C80A495-E620-4FDB-AAC3-30450BEA9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unhideWhenUsed/>
    <w:qFormat/>
    <w:rsid w:val="00131F4B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131F4B"/>
    <w:rPr>
      <w:sz w:val="20"/>
      <w:szCs w:val="20"/>
    </w:rPr>
  </w:style>
  <w:style w:type="character" w:styleId="EndnoteReference">
    <w:name w:val="endnote reference"/>
    <w:basedOn w:val="DefaultParagraphFont"/>
    <w:uiPriority w:val="99"/>
    <w:unhideWhenUsed/>
    <w:qFormat/>
    <w:rsid w:val="00131F4B"/>
    <w:rPr>
      <w:vertAlign w:val="superscript"/>
    </w:rPr>
  </w:style>
  <w:style w:type="character" w:styleId="Hyperlink">
    <w:name w:val="Hyperlink"/>
    <w:basedOn w:val="DefaultParagraphFont"/>
    <w:uiPriority w:val="99"/>
    <w:unhideWhenUsed/>
    <w:qFormat/>
    <w:rsid w:val="00131F4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E3842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F82DFC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4E3E6D"/>
    <w:rPr>
      <w:color w:val="808080"/>
    </w:rPr>
  </w:style>
  <w:style w:type="character" w:customStyle="1" w:styleId="mi">
    <w:name w:val="mi"/>
    <w:basedOn w:val="DefaultParagraphFont"/>
    <w:rsid w:val="004E3E6D"/>
  </w:style>
  <w:style w:type="character" w:customStyle="1" w:styleId="mo">
    <w:name w:val="mo"/>
    <w:basedOn w:val="DefaultParagraphFont"/>
    <w:rsid w:val="004E3E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_rels/end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usa.ipums.org/usa/" TargetMode="External"/><Relationship Id="rId2" Type="http://schemas.openxmlformats.org/officeDocument/2006/relationships/hyperlink" Target="https://www.macrotrends.net/countries/USA/united-stateste" TargetMode="External"/><Relationship Id="rId1" Type="http://schemas.openxmlformats.org/officeDocument/2006/relationships/hyperlink" Target="https://www.econstor.eu/bitstream/10419/210691/1/10.21307_stattrans-2019-035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95583B-E172-4CBF-A363-0E274035D8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2045</TotalTime>
  <Pages>8</Pages>
  <Words>1388</Words>
  <Characters>7912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Howard</dc:creator>
  <cp:keywords/>
  <dc:description/>
  <cp:lastModifiedBy>Mike Howard</cp:lastModifiedBy>
  <cp:revision>214</cp:revision>
  <dcterms:created xsi:type="dcterms:W3CDTF">2021-06-16T14:18:00Z</dcterms:created>
  <dcterms:modified xsi:type="dcterms:W3CDTF">2021-07-20T18:33:00Z</dcterms:modified>
</cp:coreProperties>
</file>