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40" w:before="60"/>
              <w:jc w:val="center"/>
            </w:pPr>
            <w:r>
              <w:rPr>
                <w:rFonts w:ascii="Arial" w:cs="Arial" w:eastAsia="Arial" w:hAnsi="Arial"/>
                <w:b/>
                <w:bCs/>
                <w:caps/>
                <w:color w:val="666666"/>
                <w:sz w:val="18"/>
                <w:szCs w:val="18"/>
              </w:rPr>
              <w:t xml:space="preserve">LEGISLATIVE BRIEFING MEMORANDUM</w:t>
            </w:r>
          </w:p>
          <w:p>
            <w:pPr>
              <w:spacing w:after="60" w:before="0"/>
              <w:jc w:val="center"/>
            </w:pPr>
            <w:r>
              <w:rPr>
                <w:rFonts w:ascii="Arial" w:cs="Arial" w:eastAsia="Arial" w:hAnsi="Arial"/>
                <w:b/>
                <w:bCs/>
                <w:color w:val="1F3864"/>
                <w:sz w:val="32"/>
                <w:szCs w:val="32"/>
              </w:rPr>
              <w:t xml:space="preserve">EIA Data Integrity, Oil Price Transparency,
and the Threat to American Retirement Security</w:t>
            </w:r>
          </w:p>
          <w:p>
            <w:pPr>
              <w:spacing w:after="60" w:before="60"/>
              <w:jc w:val="center"/>
            </w:pPr>
            <w:r>
              <w:rPr>
                <w:rFonts w:ascii="Arial" w:cs="Arial" w:eastAsia="Arial" w:hAnsi="Arial"/>
                <w:color w:val="444444"/>
                <w:sz w:val="18"/>
                <w:szCs w:val="18"/>
              </w:rPr>
              <w:t xml:space="preserve">Prepared by Michael Cirigliano  |  March 2026  |  oil-savings-nexus.vercel.app</w:t>
            </w:r>
          </w:p>
        </w:tc>
      </w:tr>
    </w:tbl>
    <w:p>
      <w:pPr>
        <w:spacing w:after="0" w:before="200"/>
      </w:pPr>
      <w:r>
        <w:t xml:space="preserve"/>
      </w:r>
    </w:p>
    <w:p>
      <w:pPr>
        <w:pBdr>
          <w:bottom w:val="single" w:color="2E75B6" w:sz="8" w:space="4"/>
        </w:pBdr>
        <w:spacing w:after="160" w:before="320"/>
      </w:pPr>
      <w:r>
        <w:rPr>
          <w:rFonts w:ascii="Arial" w:cs="Arial" w:eastAsia="Arial" w:hAnsi="Arial"/>
          <w:b/>
          <w:bCs/>
          <w:color w:val="1F3864"/>
          <w:sz w:val="26"/>
          <w:szCs w:val="26"/>
        </w:rPr>
        <w:t xml:space="preserve">ISSUE STATEMENT</w:t>
      </w:r>
    </w:p>
    <w:p>
      <w:pPr>
        <w:spacing w:after="80" w:before="80"/>
      </w:pPr>
      <w:r>
        <w:rPr>
          <w:rFonts w:ascii="Arial" w:cs="Arial" w:eastAsia="Arial" w:hAnsi="Arial"/>
          <w:color w:val="1A1A1A"/>
          <w:sz w:val="20"/>
          <w:szCs w:val="20"/>
        </w:rPr>
        <w:t xml:space="preserve">The U.S. Energy Information Administration — the federal government's designated neutral scorekeeper for energy data — now operates under a political appointee with documented ideological ties to fossil fuel industry advocacy. This creates a structural conflict of interest that threatens the integrity of the price-per-barrel data that anchors household energy costs, pension fund exposure, and national economic policy.</w:t>
      </w:r>
    </w:p>
    <w:p>
      <w:pPr>
        <w:spacing w:after="0" w:before="120"/>
      </w:pPr>
      <w:r>
        <w:t xml:space="preserve"/>
      </w:r>
    </w:p>
    <w:p>
      <w:pPr>
        <w:pBdr>
          <w:bottom w:val="single" w:color="2E75B6" w:sz="8" w:space="4"/>
        </w:pBdr>
        <w:spacing w:after="160" w:before="320"/>
      </w:pPr>
      <w:r>
        <w:rPr>
          <w:rFonts w:ascii="Arial" w:cs="Arial" w:eastAsia="Arial" w:hAnsi="Arial"/>
          <w:b/>
          <w:bCs/>
          <w:color w:val="1F3864"/>
          <w:sz w:val="26"/>
          <w:szCs w:val="26"/>
        </w:rPr>
        <w:t xml:space="preserve">THE PROBLEM: THREE DOCUMENTED FACTS</w:t>
      </w:r>
    </w:p>
    <w:p>
      <w:pPr>
        <w:spacing w:after="0" w:before="60"/>
      </w:pPr>
      <w:r>
        <w:t xml:space="preserve"/>
      </w:r>
    </w:p>
    <w:p>
      <w:pPr>
        <w:spacing w:after="120" w:before="240"/>
      </w:pPr>
      <w:r>
        <w:rPr>
          <w:rFonts w:ascii="Arial" w:cs="Arial" w:eastAsia="Arial" w:hAnsi="Arial"/>
          <w:b/>
          <w:bCs/>
          <w:color w:val="2E75B6"/>
          <w:sz w:val="22"/>
          <w:szCs w:val="22"/>
        </w:rPr>
        <w:t xml:space="preserve">1. The Chokepoint Has Changed the Math</w:t>
      </w:r>
    </w:p>
    <w:p>
      <w:pPr>
        <w:pStyle w:val="ListParagraph"/>
        <w:numPr>
          <w:ilvl w:val="0"/>
          <w:numId w:val="2"/>
        </w:numPr>
        <w:spacing w:after="60" w:before="60"/>
      </w:pPr>
      <w:r>
        <w:rPr>
          <w:rFonts w:ascii="Arial" w:cs="Arial" w:eastAsia="Arial" w:hAnsi="Arial"/>
          <w:color w:val="1A1A1A"/>
          <w:sz w:val="20"/>
          <w:szCs w:val="20"/>
        </w:rPr>
        <w:t xml:space="preserve">On February 28, 2026, U.S. and Israeli military operations against Iran triggered retaliatory strikes across at least nine Gulf nations, effectively closing the Strait of Hormuz — a transit point for approximately 20% of global petroleum consumption.</w:t>
      </w:r>
    </w:p>
    <w:p>
      <w:pPr>
        <w:pStyle w:val="ListParagraph"/>
        <w:numPr>
          <w:ilvl w:val="0"/>
          <w:numId w:val="2"/>
        </w:numPr>
        <w:spacing w:after="60" w:before="60"/>
      </w:pPr>
      <w:r>
        <w:rPr>
          <w:rFonts w:ascii="Arial" w:cs="Arial" w:eastAsia="Arial" w:hAnsi="Arial"/>
          <w:color w:val="1A1A1A"/>
          <w:sz w:val="20"/>
          <w:szCs w:val="20"/>
        </w:rPr>
        <w:t xml:space="preserve">In a worst-case closure scenario, crude prices could surge past $100 per barrel, with prolonged disruption risking global recession. Yet official EIA framing continues to emphasize supply surplus narratives.</w:t>
      </w:r>
    </w:p>
    <w:p>
      <w:pPr>
        <w:pStyle w:val="ListParagraph"/>
        <w:numPr>
          <w:ilvl w:val="0"/>
          <w:numId w:val="2"/>
        </w:numPr>
        <w:spacing w:after="60" w:before="60"/>
      </w:pPr>
      <w:r>
        <w:rPr>
          <w:rFonts w:ascii="Arial" w:cs="Arial" w:eastAsia="Arial" w:hAnsi="Arial"/>
          <w:color w:val="1A1A1A"/>
          <w:sz w:val="20"/>
          <w:szCs w:val="20"/>
        </w:rPr>
        <w:t xml:space="preserve">Independent tanker-tracking firms (Kpler, Vortexa) using satellite AIS data confirm physical flow disruptions that do not align with EIA's modeled projections — a traceable divergence that warrants congressional scrutiny.</w:t>
      </w:r>
    </w:p>
    <w:p>
      <w:pPr>
        <w:spacing w:after="0" w:before="80"/>
      </w:pPr>
      <w:r>
        <w:t xml:space="preserve"/>
      </w:r>
    </w:p>
    <w:p>
      <w:pPr>
        <w:spacing w:after="120" w:before="240"/>
      </w:pPr>
      <w:r>
        <w:rPr>
          <w:rFonts w:ascii="Arial" w:cs="Arial" w:eastAsia="Arial" w:hAnsi="Arial"/>
          <w:b/>
          <w:bCs/>
          <w:color w:val="2E75B6"/>
          <w:sz w:val="22"/>
          <w:szCs w:val="22"/>
        </w:rPr>
        <w:t xml:space="preserve">2. The Scorekeeper Changed Jerseys</w:t>
      </w:r>
    </w:p>
    <w:p>
      <w:pPr>
        <w:pStyle w:val="ListParagraph"/>
        <w:numPr>
          <w:ilvl w:val="0"/>
          <w:numId w:val="2"/>
        </w:numPr>
        <w:spacing w:after="60" w:before="60"/>
      </w:pPr>
      <w:r>
        <w:rPr>
          <w:rFonts w:ascii="Arial" w:cs="Arial" w:eastAsia="Arial" w:hAnsi="Arial"/>
          <w:color w:val="1A1A1A"/>
          <w:sz w:val="20"/>
          <w:szCs w:val="20"/>
        </w:rPr>
        <w:t xml:space="preserve">EIA's nominated administrator, Tristan Abbey, previously served on Trump's National Security Council (2017–2019), was a chief economist for Senate Republicans on the Energy Committee, and most recently worked at the America First Policy Institute — a fossil-fuel-aligned think tank that rejects the existence of an energy transition.</w:t>
      </w:r>
    </w:p>
    <w:p>
      <w:pPr>
        <w:pStyle w:val="ListParagraph"/>
        <w:numPr>
          <w:ilvl w:val="0"/>
          <w:numId w:val="2"/>
        </w:numPr>
        <w:spacing w:after="60" w:before="60"/>
      </w:pPr>
      <w:r>
        <w:rPr>
          <w:rFonts w:ascii="Arial" w:cs="Arial" w:eastAsia="Arial" w:hAnsi="Arial"/>
          <w:color w:val="1A1A1A"/>
          <w:sz w:val="20"/>
          <w:szCs w:val="20"/>
        </w:rPr>
        <w:t xml:space="preserve">Prior EIA administrators, including those serving in Trump's first term, were drawn from apolitical academic and industry expert backgrounds. Abbey represents a structural departure from that norm.</w:t>
      </w:r>
    </w:p>
    <w:p>
      <w:pPr>
        <w:pStyle w:val="ListParagraph"/>
        <w:numPr>
          <w:ilvl w:val="0"/>
          <w:numId w:val="2"/>
        </w:numPr>
        <w:spacing w:after="60" w:before="60"/>
      </w:pPr>
      <w:r>
        <w:rPr>
          <w:rFonts w:ascii="Arial" w:cs="Arial" w:eastAsia="Arial" w:hAnsi="Arial"/>
          <w:color w:val="1A1A1A"/>
          <w:sz w:val="20"/>
          <w:szCs w:val="20"/>
        </w:rPr>
        <w:t xml:space="preserve">The directional bias is specific and consequential: not falsifying today's price, but systematically understating long-term supply risk — which suppresses the policy case for energy diversification and inflates perceived stability in fossil-fuel-dependent investment portfolios.</w:t>
      </w:r>
    </w:p>
    <w:p>
      <w:pPr>
        <w:spacing w:after="0" w:before="80"/>
      </w:pPr>
      <w:r>
        <w:t xml:space="preserve"/>
      </w:r>
    </w:p>
    <w:p>
      <w:pPr>
        <w:spacing w:after="120" w:before="240"/>
      </w:pPr>
      <w:r>
        <w:rPr>
          <w:rFonts w:ascii="Arial" w:cs="Arial" w:eastAsia="Arial" w:hAnsi="Arial"/>
          <w:b/>
          <w:bCs/>
          <w:color w:val="2E75B6"/>
          <w:sz w:val="22"/>
          <w:szCs w:val="22"/>
        </w:rPr>
        <w:t xml:space="preserve">3. Distorted Data Has a Direct Consumer Cost</w:t>
      </w:r>
    </w:p>
    <w:p>
      <w:pPr>
        <w:pStyle w:val="ListParagraph"/>
        <w:numPr>
          <w:ilvl w:val="0"/>
          <w:numId w:val="2"/>
        </w:numPr>
        <w:spacing w:after="60" w:before="60"/>
      </w:pPr>
      <w:r>
        <w:rPr>
          <w:rFonts w:ascii="Arial" w:cs="Arial" w:eastAsia="Arial" w:hAnsi="Arial"/>
          <w:color w:val="1A1A1A"/>
          <w:sz w:val="20"/>
          <w:szCs w:val="20"/>
        </w:rPr>
        <w:t xml:space="preserve">Pension funds and 401(k) portfolios are priced against energy sector benchmarks that derive from EIA data. When supply risk is structurally underreported, institutional investors misprice exposure — and retail savers bear the downside when reality corrects.</w:t>
      </w:r>
    </w:p>
    <w:p>
      <w:pPr>
        <w:pStyle w:val="ListParagraph"/>
        <w:numPr>
          <w:ilvl w:val="0"/>
          <w:numId w:val="2"/>
        </w:numPr>
        <w:spacing w:after="60" w:before="60"/>
      </w:pPr>
      <w:r>
        <w:rPr>
          <w:rFonts w:ascii="Arial" w:cs="Arial" w:eastAsia="Arial" w:hAnsi="Arial"/>
          <w:color w:val="1A1A1A"/>
          <w:sz w:val="20"/>
          <w:szCs w:val="20"/>
        </w:rPr>
        <w:t xml:space="preserve">The savings-to-oil price nexus is not theoretical: a $20/barrel underestimation of sustained price risk translates to mispriced energy equities, miscalibrated inflation projections, and underprotected consumer purchasing power across tens of millions of American households.</w:t>
      </w:r>
    </w:p>
    <w:p>
      <w:pPr>
        <w:pStyle w:val="ListParagraph"/>
        <w:numPr>
          <w:ilvl w:val="0"/>
          <w:numId w:val="2"/>
        </w:numPr>
        <w:spacing w:after="60" w:before="60"/>
      </w:pPr>
      <w:r>
        <w:rPr>
          <w:rFonts w:ascii="Arial" w:cs="Arial" w:eastAsia="Arial" w:hAnsi="Arial"/>
          <w:color w:val="1A1A1A"/>
          <w:sz w:val="20"/>
          <w:szCs w:val="20"/>
        </w:rPr>
        <w:t xml:space="preserve">The IEA (Paris), Argus Media, S&amp;P Global Platts, OPEC Secretariat, and Columbia University's Center on Global Energy Policy all publish independent data streams that diverge measurably from recent EIA framing — the gap between these sources and official U.S. figures is the story.</w:t>
      </w:r>
    </w:p>
    <w:p>
      <w:pPr>
        <w:spacing w:after="0" w:before="120"/>
      </w:pPr>
      <w:r>
        <w:t xml:space="preserve"/>
      </w:r>
    </w:p>
    <w:p>
      <w:pPr>
        <w:pBdr>
          <w:bottom w:val="single" w:color="2E75B6" w:sz="8" w:space="4"/>
        </w:pBdr>
        <w:spacing w:after="160" w:before="320"/>
      </w:pPr>
      <w:r>
        <w:rPr>
          <w:rFonts w:ascii="Arial" w:cs="Arial" w:eastAsia="Arial" w:hAnsi="Arial"/>
          <w:b/>
          <w:bCs/>
          <w:color w:val="1F3864"/>
          <w:sz w:val="26"/>
          <w:szCs w:val="26"/>
        </w:rPr>
        <w:t xml:space="preserve">RESPONSIBLE PARTIES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Actor</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Role &amp; Conflict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Tristan Abbey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Nominated EIA Administrator; former NSC energy director (Trump 1.0); AFPI fellow; ideologically opposed to energy transition narrative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Stephen Nalley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Acting EIA Administrator; appointed Deputy Administrator by Trump in 2018; current institutional continuity figure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DOE Leadership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Departmental oversight of EIA; sets tone for data neutrality standards and public disclosure timelines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Senate Energy Committee (GOP majority)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Confirmed Abbey's nomination pathway; committee has direct oversight jurisdiction over EIA methodology and reporting standards</w:t>
            </w:r>
          </w:p>
        </w:tc>
      </w:tr>
    </w:tbl>
    <w:p>
      <w:pPr>
        <w:spacing w:after="0" w:before="120"/>
      </w:pPr>
      <w:r>
        <w:t xml:space="preserve"/>
      </w:r>
    </w:p>
    <w:p>
      <w:pPr>
        <w:pBdr>
          <w:bottom w:val="single" w:color="2E75B6" w:sz="8" w:space="4"/>
        </w:pBdr>
        <w:spacing w:after="160" w:before="320"/>
      </w:pPr>
      <w:r>
        <w:rPr>
          <w:rFonts w:ascii="Arial" w:cs="Arial" w:eastAsia="Arial" w:hAnsi="Arial"/>
          <w:b/>
          <w:bCs/>
          <w:color w:val="1F3864"/>
          <w:sz w:val="26"/>
          <w:szCs w:val="26"/>
        </w:rPr>
        <w:t xml:space="preserve">WHAT IT COSTS YOUR CONSTITUENTS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60"/>
            </w:pPr>
            <w:r>
              <w:rPr>
                <w:rFonts w:ascii="Arial" w:cs="Arial" w:eastAsia="Arial" w:hAnsi="Arial"/>
                <w:b/>
                <w:bCs/>
                <w:color w:val="1F3864"/>
                <w:sz w:val="22"/>
                <w:szCs w:val="22"/>
              </w:rPr>
              <w:t xml:space="preserve">The Oil-Savings Nexus</w:t>
            </w:r>
          </w:p>
          <w:p>
            <w:pPr>
              <w:spacing w:after="80" w:before="40"/>
            </w:pPr>
            <w:r>
              <w:rPr>
                <w:rFonts w:ascii="Arial" w:cs="Arial" w:eastAsia="Arial" w:hAnsi="Arial"/>
                <w:i/>
                <w:iCs/>
                <w:color w:val="1A1A1A"/>
                <w:sz w:val="20"/>
                <w:szCs w:val="20"/>
              </w:rPr>
              <w:t xml:space="preserve">Distorted price signals → mispriced energy futures → pension fund overexposure → retail investor harm → constituent savings erosion</w:t>
            </w:r>
          </w:p>
          <w:p>
            <w:pPr>
              <w:spacing w:after="60" w:before="40"/>
            </w:pPr>
            <w:r>
              <w:rPr>
                <w:rFonts w:ascii="Arial" w:cs="Arial" w:eastAsia="Arial" w:hAnsi="Arial"/>
                <w:color w:val="1A1A1A"/>
                <w:sz w:val="20"/>
                <w:szCs w:val="20"/>
              </w:rPr>
              <w:t xml:space="preserve">Every $10/barrel of unacknowledged price risk represents billions in mispriced institutional exposure. Your constituents' retirement accounts, home energy costs, and purchasing power are downstream of whatever the EIA publishes. When that data is politically managed, ordinary Americans absorb the correction — not the institutions that mispriced the exposure.</w:t>
            </w:r>
          </w:p>
          <w:p>
            <w:pPr>
              <w:spacing w:after="60" w:before="20"/>
            </w:pPr>
            <w:r>
              <w:rPr>
                <w:rFonts w:ascii="Arial" w:cs="Arial" w:eastAsia="Arial" w:hAnsi="Arial"/>
                <w:i/>
                <w:iCs/>
                <w:color w:val="2E75B6"/>
                <w:sz w:val="18"/>
                <w:szCs w:val="18"/>
              </w:rPr>
              <w:t xml:space="preserve">Full documentation of the oil-savings price nexus is publicly available at oil-savings-nexus.vercel.app</w:t>
            </w:r>
          </w:p>
        </w:tc>
      </w:tr>
    </w:tbl>
    <w:p>
      <w:pPr>
        <w:spacing w:after="0" w:before="120"/>
      </w:pPr>
      <w:r>
        <w:t xml:space="preserve"/>
      </w:r>
    </w:p>
    <w:p>
      <w:pPr>
        <w:pBdr>
          <w:bottom w:val="single" w:color="2E75B6" w:sz="8" w:space="4"/>
        </w:pBdr>
        <w:spacing w:after="160" w:before="320"/>
      </w:pPr>
      <w:r>
        <w:rPr>
          <w:rFonts w:ascii="Arial" w:cs="Arial" w:eastAsia="Arial" w:hAnsi="Arial"/>
          <w:b/>
          <w:bCs/>
          <w:color w:val="1F3864"/>
          <w:sz w:val="26"/>
          <w:szCs w:val="26"/>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00"/>
              <w:bottom w:type="dxa" w:w="160"/>
              <w:right w:type="dxa" w:w="200"/>
            </w:tcMar>
          </w:tcPr>
          <w:p>
            <w:pPr>
              <w:spacing w:after="80" w:before="80"/>
            </w:pPr>
            <w:r>
              <w:rPr>
                <w:rFonts w:ascii="Arial" w:cs="Arial" w:eastAsia="Arial" w:hAnsi="Arial"/>
                <w:color w:val="1A1A1A"/>
                <w:sz w:val="20"/>
                <w:szCs w:val="20"/>
              </w:rPr>
              <w:t xml:space="preserve">We respectfully request one specific action:</w:t>
            </w:r>
          </w:p>
          <w:p>
            <w:pPr>
              <w:spacing w:after="60" w:before="60"/>
            </w:pPr>
            <w:r>
              <w:rPr>
                <w:rFonts w:ascii="Arial" w:cs="Arial" w:eastAsia="Arial" w:hAnsi="Arial"/>
                <w:color w:val="1A1A1A"/>
                <w:sz w:val="20"/>
                <w:szCs w:val="20"/>
              </w:rPr>
              <w:t xml:space="preserve">Request a GAO audit of EIA methodology and data release practices for the period January 2025 – present, with specific attention to: (1) divergence between EIA projections and independent data sources (IEA, Argus, Kpler) during the Strait of Hormuz disruption; (2) the institutional process by which short-term price outlooks are formulated and reviewed; and (3) whether political appointee involvement in those processes is documented and disclosed.</w:t>
            </w:r>
          </w:p>
          <w:p>
            <w:pPr>
              <w:spacing w:after="80" w:before="40"/>
            </w:pPr>
            <w:r>
              <w:rPr>
                <w:rFonts w:ascii="Arial" w:cs="Arial" w:eastAsia="Arial" w:hAnsi="Arial"/>
                <w:i/>
                <w:iCs/>
                <w:color w:val="1A1A1A"/>
                <w:sz w:val="20"/>
                <w:szCs w:val="20"/>
              </w:rPr>
              <w:t xml:space="preserve">A GAO request requires only a letter from a committee chair or ranking member. It costs nothing. It creates a public record. And it sends an unambiguous signal that data integrity at federal energy agencies is under congressional watch.</w:t>
            </w:r>
          </w:p>
        </w:tc>
      </w:tr>
    </w:tbl>
    <w:p>
      <w:pPr>
        <w:spacing w:after="0" w:before="80"/>
      </w:pPr>
      <w:r>
        <w:t xml:space="preserve"/>
      </w:r>
    </w:p>
    <w:p>
      <w:pPr>
        <w:spacing w:after="120" w:before="240"/>
      </w:pPr>
      <w:r>
        <w:rPr>
          <w:rFonts w:ascii="Arial" w:cs="Arial" w:eastAsia="Arial" w:hAnsi="Arial"/>
          <w:b/>
          <w:bCs/>
          <w:color w:val="2E75B6"/>
          <w:sz w:val="22"/>
          <w:szCs w:val="22"/>
        </w:rPr>
        <w:t xml:space="preserve">Secondary Asks (Optional but Impactful)</w:t>
      </w:r>
    </w:p>
    <w:p>
      <w:pPr>
        <w:pStyle w:val="ListParagraph"/>
        <w:numPr>
          <w:ilvl w:val="0"/>
          <w:numId w:val="2"/>
        </w:numPr>
        <w:spacing w:after="60" w:before="60"/>
      </w:pPr>
      <w:r>
        <w:rPr>
          <w:rFonts w:ascii="Arial" w:cs="Arial" w:eastAsia="Arial" w:hAnsi="Arial"/>
          <w:color w:val="1A1A1A"/>
          <w:sz w:val="20"/>
          <w:szCs w:val="20"/>
        </w:rPr>
        <w:t xml:space="preserve">Schedule a hearing: Invite EIA administrator and independent price-reporting agencies (Argus, Platts/S&amp;P) to testify on methodology divergence since January 2026.</w:t>
      </w:r>
    </w:p>
    <w:p>
      <w:pPr>
        <w:pStyle w:val="ListParagraph"/>
        <w:numPr>
          <w:ilvl w:val="0"/>
          <w:numId w:val="2"/>
        </w:numPr>
        <w:spacing w:after="60" w:before="60"/>
      </w:pPr>
      <w:r>
        <w:rPr>
          <w:rFonts w:ascii="Arial" w:cs="Arial" w:eastAsia="Arial" w:hAnsi="Arial"/>
          <w:color w:val="1A1A1A"/>
          <w:sz w:val="20"/>
          <w:szCs w:val="20"/>
        </w:rPr>
        <w:t xml:space="preserve">Send a letter of inquiry: Direct written questions to EIA regarding the basis for surplus-framing in published outlooks during the Hormuz disruption period.</w:t>
      </w:r>
    </w:p>
    <w:p>
      <w:pPr>
        <w:pStyle w:val="ListParagraph"/>
        <w:numPr>
          <w:ilvl w:val="0"/>
          <w:numId w:val="2"/>
        </w:numPr>
        <w:spacing w:after="60" w:before="60"/>
      </w:pPr>
      <w:r>
        <w:rPr>
          <w:rFonts w:ascii="Arial" w:cs="Arial" w:eastAsia="Arial" w:hAnsi="Arial"/>
          <w:color w:val="1A1A1A"/>
          <w:sz w:val="20"/>
          <w:szCs w:val="20"/>
        </w:rPr>
        <w:t xml:space="preserve">Introduce a data integrity provision: Add language to the next DOE appropriations bill requiring that EIA administrators be subject to Senate confirmation and meet published independence criteria.</w:t>
      </w:r>
    </w:p>
    <w:p>
      <w:pPr>
        <w:spacing w:after="0" w:before="160"/>
      </w:pPr>
      <w:r>
        <w:t xml:space="preserve"/>
      </w:r>
    </w:p>
    <w:p>
      <w:pPr>
        <w:pBdr>
          <w:top w:val="single" w:color="2E75B6" w:sz="6" w:space="4"/>
        </w:pBdr>
        <w:spacing w:after="60" w:before="120"/>
      </w:pPr>
      <w:r>
        <w:rPr>
          <w:rFonts w:ascii="Arial" w:cs="Arial" w:eastAsia="Arial" w:hAnsi="Arial"/>
          <w:color w:val="666666"/>
          <w:sz w:val="17"/>
          <w:szCs w:val="17"/>
        </w:rPr>
        <w:t xml:space="preserve">Prepared by Michael Cirigliano  |  Operations &amp; Policy Analytics  |  Shenandoah Valley, VA</w:t>
      </w:r>
    </w:p>
    <w:p>
      <w:pPr>
        <w:spacing w:after="20" w:before="20"/>
      </w:pPr>
      <w:r>
        <w:rPr>
          <w:rFonts w:ascii="Arial" w:cs="Arial" w:eastAsia="Arial" w:hAnsi="Arial"/>
          <w:color w:val="2E75B6"/>
          <w:sz w:val="17"/>
          <w:szCs w:val="17"/>
        </w:rPr>
        <w:t xml:space="preserve">tykecirigliano@gmail.com  |  linkedin.com/in/michaelcirigliano  |  oil-savings-nexus.vercel.app</w:t>
      </w:r>
    </w:p>
    <w:p>
      <w:pPr>
        <w:spacing w:after="20" w:before="20"/>
      </w:pPr>
      <w:r>
        <w:rPr>
          <w:rFonts w:ascii="Arial" w:cs="Arial" w:eastAsia="Arial" w:hAnsi="Arial"/>
          <w:i/>
          <w:iCs/>
          <w:color w:val="888888"/>
          <w:sz w:val="16"/>
          <w:szCs w:val="16"/>
        </w:rPr>
        <w:t xml:space="preserve">Sources: Columbia University CGEP, IEA Monthly Oil Market Report, Kpler/Vortexa tanker tracking, Argus Media, S&amp;P Global Platts, OPEC Secretariat Monthly Report, March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2026-03-14T02:24:37.907Z</dcterms:created>
  <dcterms:modified xsi:type="dcterms:W3CDTF">2026-03-14T02:24:37.909Z</dcterms:modified>
</cp:coreProperties>
</file>

<file path=docProps/custom.xml><?xml version="1.0" encoding="utf-8"?>
<Properties xmlns="http://schemas.openxmlformats.org/officeDocument/2006/custom-properties" xmlns:vt="http://schemas.openxmlformats.org/officeDocument/2006/docPropsVTypes"/>
</file>