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20" w:type="dxa"/>
        <w:tblBorders>
          <w:bottom w:val="single" w:sz="8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40"/>
      </w:tblGrid>
      <w:tr w:rsidR="00C65517" w:rsidTr="00C65517">
        <w:tc>
          <w:tcPr>
            <w:tcW w:w="10053" w:type="dxa"/>
            <w:tcBorders>
              <w:top w:val="nil"/>
              <w:left w:val="nil"/>
              <w:bottom w:val="single" w:sz="8" w:space="0" w:color="auto"/>
              <w:right w:val="nil"/>
            </w:tcBorders>
          </w:tcPr>
          <w:p w:rsidR="00C65517" w:rsidRDefault="00C65517">
            <w:pPr>
              <w:pStyle w:val="Articletitl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Manuscript Title</w:t>
            </w:r>
          </w:p>
          <w:p w:rsidR="00C65517" w:rsidRDefault="00C65517">
            <w:pPr>
              <w:pStyle w:val="Authorname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W.M. Smith</w:t>
            </w:r>
            <w:r>
              <w:rPr>
                <w:rFonts w:ascii="Arial" w:hAnsi="Arial" w:cs="Arial"/>
                <w:vertAlign w:val="superscript"/>
              </w:rPr>
              <w:t>1*</w:t>
            </w:r>
            <w:r>
              <w:rPr>
                <w:rFonts w:ascii="Arial" w:hAnsi="Arial" w:cs="Arial"/>
              </w:rPr>
              <w:t>, J. Doe</w:t>
            </w:r>
            <w:r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 xml:space="preserve"> and S.D. Finley</w:t>
            </w:r>
            <w:r>
              <w:rPr>
                <w:rFonts w:ascii="Arial" w:hAnsi="Arial" w:cs="Arial"/>
                <w:vertAlign w:val="superscript"/>
              </w:rPr>
              <w:t>2</w:t>
            </w:r>
          </w:p>
          <w:p w:rsidR="00C65517" w:rsidRDefault="00C65517">
            <w:pPr>
              <w:pStyle w:val="Affilation"/>
              <w:rPr>
                <w:rFonts w:ascii="Arial" w:hAnsi="Arial" w:cs="Arial"/>
              </w:rPr>
            </w:pPr>
            <w:r>
              <w:rPr>
                <w:rFonts w:ascii="Arial" w:hAnsi="Arial" w:cs="Arial"/>
                <w:vertAlign w:val="superscript"/>
              </w:rPr>
              <w:t>1</w:t>
            </w:r>
            <w:r>
              <w:rPr>
                <w:rFonts w:ascii="Arial" w:hAnsi="Arial" w:cs="Arial"/>
              </w:rPr>
              <w:t>Department of XXXXXXX, Address XXXX etc.</w:t>
            </w:r>
          </w:p>
          <w:p w:rsidR="00C65517" w:rsidRDefault="00C65517">
            <w:pPr>
              <w:pStyle w:val="Affilation"/>
              <w:rPr>
                <w:rFonts w:ascii="Arial" w:hAnsi="Arial" w:cs="Arial"/>
              </w:rPr>
            </w:pPr>
            <w:r>
              <w:rPr>
                <w:rFonts w:ascii="Arial" w:hAnsi="Arial" w:cs="Arial"/>
                <w:vertAlign w:val="superscript"/>
              </w:rPr>
              <w:t>2</w:t>
            </w:r>
            <w:r>
              <w:rPr>
                <w:rFonts w:ascii="Arial" w:hAnsi="Arial" w:cs="Arial"/>
              </w:rPr>
              <w:t>Department of XXXXXXX, Address XXXX etc.</w:t>
            </w:r>
          </w:p>
          <w:p w:rsidR="00C65517" w:rsidRDefault="00C65517">
            <w:pPr>
              <w:pStyle w:val="Received"/>
              <w:rPr>
                <w:rFonts w:ascii="Arial" w:hAnsi="Arial" w:cs="Arial"/>
              </w:rPr>
            </w:pPr>
          </w:p>
        </w:tc>
      </w:tr>
    </w:tbl>
    <w:p w:rsidR="00AE0022" w:rsidRDefault="00AE0022">
      <w:pPr>
        <w:sectPr w:rsidR="00AE0022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:rsidR="006E5EA0" w:rsidRDefault="003A2F83">
      <w:r>
        <w:lastRenderedPageBreak/>
        <w:t>ABSTRACT</w:t>
      </w:r>
    </w:p>
    <w:p w:rsidR="00F25D78" w:rsidRDefault="00F25D78">
      <w:r>
        <w:t>Motivation</w:t>
      </w:r>
    </w:p>
    <w:p w:rsidR="00F25D78" w:rsidRDefault="00F25D78">
      <w:r>
        <w:t>Result</w:t>
      </w:r>
    </w:p>
    <w:p w:rsidR="00F25D78" w:rsidRDefault="00F25D78">
      <w:r>
        <w:t>Conclusion</w:t>
      </w:r>
    </w:p>
    <w:p w:rsidR="00F25D78" w:rsidRDefault="00F25D78"/>
    <w:p w:rsidR="00F25D78" w:rsidRDefault="00F25D78">
      <w:r>
        <w:t>1. I</w:t>
      </w:r>
      <w:r w:rsidR="00C65517">
        <w:t>NTRODUCTION</w:t>
      </w:r>
    </w:p>
    <w:p w:rsidR="002F72A9" w:rsidRPr="00B60511" w:rsidRDefault="002F72A9">
      <w:pPr>
        <w:rPr>
          <w:rFonts w:hint="eastAsia"/>
          <w:b/>
        </w:rPr>
      </w:pPr>
      <w:r w:rsidRPr="00B60511">
        <w:rPr>
          <w:rFonts w:hint="eastAsia"/>
          <w:b/>
        </w:rPr>
        <w:t xml:space="preserve">2. </w:t>
      </w:r>
      <w:r w:rsidR="00B60511" w:rsidRPr="00B60511">
        <w:rPr>
          <w:rFonts w:hint="eastAsia"/>
          <w:b/>
        </w:rPr>
        <w:t>MODELS AND SIMULATION RESULTS</w:t>
      </w:r>
    </w:p>
    <w:p w:rsidR="00C958BD" w:rsidRPr="001449CC" w:rsidRDefault="00C958BD">
      <w:pPr>
        <w:rPr>
          <w:b/>
        </w:rPr>
      </w:pPr>
      <w:r w:rsidRPr="001449CC">
        <w:rPr>
          <w:b/>
        </w:rPr>
        <w:t>The G1/S Model</w:t>
      </w:r>
    </w:p>
    <w:p w:rsidR="001449CC" w:rsidRDefault="00C958BD" w:rsidP="002F72A9">
      <w:pPr>
        <w:jc w:val="both"/>
      </w:pPr>
      <w:r>
        <w:t>The mathematical model of the G1/S transition in mammalian cells is modified based</w:t>
      </w:r>
      <w:r w:rsidR="001449CC">
        <w:t xml:space="preserve"> on</w:t>
      </w:r>
      <w:r>
        <w:t xml:space="preserve"> a previous model proposed by </w:t>
      </w:r>
      <w:proofErr w:type="spellStart"/>
      <w:r>
        <w:t>Kel</w:t>
      </w:r>
      <w:proofErr w:type="spellEnd"/>
      <w:r>
        <w:t xml:space="preserve"> et al. (2000)</w:t>
      </w:r>
      <w:r w:rsidR="001449CC">
        <w:t xml:space="preserve"> which includes a set of proteins and their regulatory gene </w:t>
      </w:r>
      <w:r w:rsidR="00ED4FC6">
        <w:t>factors</w:t>
      </w:r>
      <w:r w:rsidR="001449CC">
        <w:t xml:space="preserve">. The schematic diagram </w:t>
      </w:r>
      <w:r w:rsidR="00EE49A4">
        <w:t xml:space="preserve">of the </w:t>
      </w:r>
      <w:r w:rsidR="00ED4FC6">
        <w:t>G1/S transition network</w:t>
      </w:r>
      <w:r w:rsidR="00EE49A4">
        <w:t xml:space="preserve"> </w:t>
      </w:r>
      <w:r w:rsidR="001449CC">
        <w:t>is provided in Figure X</w:t>
      </w:r>
      <w:r w:rsidR="00EE49A4">
        <w:t xml:space="preserve"> and their relationship is</w:t>
      </w:r>
      <w:r w:rsidR="001449CC">
        <w:t xml:space="preserve"> presented</w:t>
      </w:r>
      <w:r w:rsidR="00EE49A4">
        <w:t xml:space="preserve"> as</w:t>
      </w:r>
      <w:r w:rsidR="001449CC">
        <w:t xml:space="preserve"> differential equations</w:t>
      </w:r>
      <w:r w:rsidR="00ED4FC6">
        <w:t xml:space="preserve"> provided</w:t>
      </w:r>
      <w:r w:rsidR="001449CC">
        <w:t xml:space="preserve"> </w:t>
      </w:r>
      <w:r w:rsidR="00EE49A4">
        <w:t>in the supplementary material section</w:t>
      </w:r>
      <w:r w:rsidR="00ED4FC6">
        <w:t xml:space="preserve"> [ref]</w:t>
      </w:r>
      <w:r w:rsidR="00EE49A4">
        <w:t xml:space="preserve">. </w:t>
      </w:r>
    </w:p>
    <w:p w:rsidR="002F72A9" w:rsidRDefault="00ED4FC6" w:rsidP="00ED4FC6">
      <w:pPr>
        <w:jc w:val="both"/>
      </w:pPr>
      <w:r>
        <w:t>T</w:t>
      </w:r>
      <w:r>
        <w:t xml:space="preserve">he level of E2F-1 is regulated by both </w:t>
      </w:r>
      <w:proofErr w:type="spellStart"/>
      <w:r>
        <w:t>cyclin</w:t>
      </w:r>
      <w:proofErr w:type="spellEnd"/>
      <w:r>
        <w:t xml:space="preserve"> D and </w:t>
      </w:r>
      <w:proofErr w:type="spellStart"/>
      <w:r>
        <w:t>cyclin</w:t>
      </w:r>
      <w:proofErr w:type="spellEnd"/>
      <w:r>
        <w:t xml:space="preserve"> E. At beginning of the cell cycle, E2F-1 is bound to the tumor suppressor (</w:t>
      </w:r>
      <w:proofErr w:type="spellStart"/>
      <w:r>
        <w:t>pRB</w:t>
      </w:r>
      <w:proofErr w:type="spellEnd"/>
      <w:r>
        <w:t>). The activated cyclinD-cdk4</w:t>
      </w:r>
      <w:proofErr w:type="gramStart"/>
      <w:r>
        <w:t>,6</w:t>
      </w:r>
      <w:proofErr w:type="gramEnd"/>
      <w:r>
        <w:t xml:space="preserve"> complex first promote the phosphorylation of </w:t>
      </w:r>
      <w:proofErr w:type="spellStart"/>
      <w:r>
        <w:t>pRB</w:t>
      </w:r>
      <w:proofErr w:type="spellEnd"/>
      <w:r>
        <w:t xml:space="preserve"> and then the activated </w:t>
      </w:r>
      <w:proofErr w:type="spellStart"/>
      <w:r>
        <w:t>cyclinE</w:t>
      </w:r>
      <w:proofErr w:type="spellEnd"/>
      <w:r>
        <w:t xml:space="preserve">/CDK2 complex promote the reaction of double-phosphorylated </w:t>
      </w:r>
      <w:proofErr w:type="spellStart"/>
      <w:r>
        <w:t>pRB</w:t>
      </w:r>
      <w:proofErr w:type="spellEnd"/>
      <w:r>
        <w:t xml:space="preserve"> from to fully release E2F-1 [4]. Moreover, E2F-1 will amplify the signal of the generation of </w:t>
      </w:r>
      <w:proofErr w:type="spellStart"/>
      <w:r>
        <w:t>cyclin</w:t>
      </w:r>
      <w:proofErr w:type="spellEnd"/>
      <w:r>
        <w:t xml:space="preserve"> D, </w:t>
      </w:r>
      <w:proofErr w:type="spellStart"/>
      <w:r>
        <w:t>cyclin</w:t>
      </w:r>
      <w:proofErr w:type="spellEnd"/>
      <w:r>
        <w:t xml:space="preserve"> E, and </w:t>
      </w:r>
      <w:proofErr w:type="spellStart"/>
      <w:r>
        <w:t>pRB</w:t>
      </w:r>
      <w:proofErr w:type="spellEnd"/>
      <w:r w:rsidR="002F72A9">
        <w:t xml:space="preserve"> and cause them to reach a higher steady state</w:t>
      </w:r>
      <w:r>
        <w:t xml:space="preserve">. </w:t>
      </w:r>
    </w:p>
    <w:p w:rsidR="002F72A9" w:rsidRDefault="002F72A9" w:rsidP="00ED4FC6">
      <w:pPr>
        <w:jc w:val="both"/>
      </w:pPr>
    </w:p>
    <w:p w:rsidR="002F72A9" w:rsidRDefault="002F72A9" w:rsidP="00ED4FC6">
      <w:pPr>
        <w:jc w:val="both"/>
        <w:rPr>
          <w:b/>
        </w:rPr>
      </w:pPr>
      <w:r>
        <w:rPr>
          <w:b/>
        </w:rPr>
        <w:t>Modified model to show cell proliferation oscillation</w:t>
      </w:r>
    </w:p>
    <w:p w:rsidR="002F72A9" w:rsidRPr="002F72A9" w:rsidRDefault="002F72A9" w:rsidP="00ED4FC6">
      <w:pPr>
        <w:jc w:val="both"/>
        <w:rPr>
          <w:b/>
        </w:rPr>
      </w:pPr>
    </w:p>
    <w:p w:rsidR="00ED4FC6" w:rsidRDefault="00ED4FC6" w:rsidP="00ED4FC6">
      <w:pPr>
        <w:jc w:val="both"/>
      </w:pPr>
      <w:r>
        <w:t xml:space="preserve">The </w:t>
      </w:r>
      <w:proofErr w:type="spellStart"/>
      <w:r>
        <w:t>pRB</w:t>
      </w:r>
      <w:proofErr w:type="spellEnd"/>
      <w:r>
        <w:t xml:space="preserve"> and the phosphorylated </w:t>
      </w:r>
      <w:proofErr w:type="spellStart"/>
      <w:r>
        <w:t>pRb</w:t>
      </w:r>
      <w:proofErr w:type="spellEnd"/>
      <w:r>
        <w:t xml:space="preserve"> will inhibit the </w:t>
      </w:r>
      <w:proofErr w:type="spellStart"/>
      <w:r>
        <w:t>cyclin</w:t>
      </w:r>
      <w:proofErr w:type="spellEnd"/>
      <w:r>
        <w:t xml:space="preserve"> D and </w:t>
      </w:r>
      <w:proofErr w:type="spellStart"/>
      <w:r>
        <w:t>cyclin</w:t>
      </w:r>
      <w:proofErr w:type="spellEnd"/>
      <w:r>
        <w:t xml:space="preserve"> E from being activated. The corresponding differential equations will be solved in </w:t>
      </w:r>
      <w:proofErr w:type="spellStart"/>
      <w:r>
        <w:t>Matlab</w:t>
      </w:r>
      <w:proofErr w:type="spellEnd"/>
      <w:r>
        <w:t xml:space="preserve"> to analyze its dynamic behavior. </w:t>
      </w:r>
    </w:p>
    <w:p w:rsidR="00C958BD" w:rsidRDefault="00C958BD" w:rsidP="00ED4FC6"/>
    <w:p w:rsidR="00BB5A5F" w:rsidRPr="00BB5A5F" w:rsidRDefault="00BB5A5F">
      <w:pPr>
        <w:rPr>
          <w:b/>
        </w:rPr>
      </w:pPr>
      <w:r>
        <w:rPr>
          <w:b/>
        </w:rPr>
        <w:t xml:space="preserve">Overexpression of </w:t>
      </w:r>
      <w:proofErr w:type="spellStart"/>
      <w:r>
        <w:rPr>
          <w:b/>
        </w:rPr>
        <w:t>Cyclins</w:t>
      </w:r>
      <w:proofErr w:type="spellEnd"/>
      <w:r>
        <w:rPr>
          <w:b/>
        </w:rPr>
        <w:t xml:space="preserve"> and the resulted </w:t>
      </w:r>
      <w:proofErr w:type="spellStart"/>
      <w:r>
        <w:rPr>
          <w:b/>
        </w:rPr>
        <w:t>transcritical</w:t>
      </w:r>
      <w:proofErr w:type="spellEnd"/>
      <w:r>
        <w:rPr>
          <w:b/>
        </w:rPr>
        <w:t xml:space="preserve"> bifurcations</w:t>
      </w:r>
    </w:p>
    <w:p w:rsidR="00556414" w:rsidRDefault="00EF7105" w:rsidP="00556414">
      <w:pPr>
        <w:ind w:firstLine="720"/>
        <w:jc w:val="both"/>
      </w:pPr>
      <w:r>
        <w:t xml:space="preserve">It has been found that the strength of the </w:t>
      </w:r>
      <w:proofErr w:type="spellStart"/>
      <w:r>
        <w:t>mitogenic</w:t>
      </w:r>
      <w:proofErr w:type="spellEnd"/>
      <w:r>
        <w:t xml:space="preserve"> stimulation, </w:t>
      </w:r>
      <w:proofErr w:type="spellStart"/>
      <w:r>
        <w:t>F</w:t>
      </w:r>
      <w:r w:rsidRPr="00814069">
        <w:rPr>
          <w:vertAlign w:val="subscript"/>
        </w:rPr>
        <w:t>m</w:t>
      </w:r>
      <w:proofErr w:type="spellEnd"/>
      <w:r>
        <w:t xml:space="preserve">, </w:t>
      </w:r>
      <w:r w:rsidR="00C56570">
        <w:t>serve</w:t>
      </w:r>
      <w:r w:rsidR="0028498F">
        <w:t>s</w:t>
      </w:r>
      <w:r w:rsidR="00C56570">
        <w:t xml:space="preserve"> as a significant bifurcation parameter affecting whether the cell will proliferate or not</w:t>
      </w:r>
      <w:r w:rsidR="0028498F">
        <w:t xml:space="preserve"> in the previous research [ref]</w:t>
      </w:r>
      <w:r w:rsidR="00C56570">
        <w:t xml:space="preserve">. </w:t>
      </w:r>
      <w:r w:rsidR="00B01D9E">
        <w:t>The sudden increase of the protein concentration indicates cell proliferation because high concentration of E2F1 is able to activate transcription of genes involved in S phase activities including DNA polymerase and thymidine kinase [ref].</w:t>
      </w:r>
      <w:r w:rsidR="00B01D9E">
        <w:t xml:space="preserve"> The simulation output</w:t>
      </w:r>
      <w:r w:rsidR="0028498F">
        <w:t xml:space="preserve"> from the model</w:t>
      </w:r>
      <w:r w:rsidR="00B01D9E">
        <w:t xml:space="preserve"> shown in </w:t>
      </w:r>
      <w:r w:rsidR="00622519">
        <w:t xml:space="preserve">Figure X. below </w:t>
      </w:r>
      <w:r w:rsidR="00814069">
        <w:t>performs the</w:t>
      </w:r>
      <w:r w:rsidR="00622519">
        <w:t xml:space="preserve"> time course of protein concentration at G1/S transition </w:t>
      </w:r>
      <w:r w:rsidR="00814069">
        <w:t>with</w:t>
      </w:r>
      <w:r w:rsidR="00622519">
        <w:t xml:space="preserve"> different </w:t>
      </w:r>
      <w:proofErr w:type="spellStart"/>
      <w:r w:rsidR="00622519">
        <w:t>F</w:t>
      </w:r>
      <w:r w:rsidR="00622519" w:rsidRPr="00622519">
        <w:rPr>
          <w:vertAlign w:val="subscript"/>
        </w:rPr>
        <w:t>m</w:t>
      </w:r>
      <w:proofErr w:type="spellEnd"/>
      <w:r w:rsidR="00814069">
        <w:t xml:space="preserve"> values</w:t>
      </w:r>
      <w:r w:rsidR="00622519">
        <w:t xml:space="preserve">. It is observed </w:t>
      </w:r>
      <w:r w:rsidR="00814069">
        <w:t xml:space="preserve">that these protein concentrations will </w:t>
      </w:r>
      <w:r w:rsidR="0028498F">
        <w:t xml:space="preserve">have </w:t>
      </w:r>
      <w:proofErr w:type="spellStart"/>
      <w:r w:rsidR="0028498F">
        <w:t>bist</w:t>
      </w:r>
      <w:r w:rsidR="00BB5A5F">
        <w:t>ability</w:t>
      </w:r>
      <w:proofErr w:type="spellEnd"/>
      <w:r w:rsidR="00814069">
        <w:t xml:space="preserve"> when </w:t>
      </w:r>
      <w:proofErr w:type="spellStart"/>
      <w:r w:rsidR="00814069">
        <w:t>F</w:t>
      </w:r>
      <w:r w:rsidR="00814069" w:rsidRPr="00814069">
        <w:rPr>
          <w:vertAlign w:val="subscript"/>
        </w:rPr>
        <w:t>m</w:t>
      </w:r>
      <w:proofErr w:type="spellEnd"/>
      <w:r w:rsidR="00814069">
        <w:t xml:space="preserve"> is greater than</w:t>
      </w:r>
      <w:r w:rsidR="00622519">
        <w:t xml:space="preserve"> the </w:t>
      </w:r>
      <w:proofErr w:type="spellStart"/>
      <w:r w:rsidR="00622519">
        <w:t>transcritical</w:t>
      </w:r>
      <w:proofErr w:type="spellEnd"/>
      <w:r w:rsidR="00622519">
        <w:t xml:space="preserve"> </w:t>
      </w:r>
      <w:r w:rsidR="000B5644">
        <w:t>bifurcation (TC) around 0.0035.</w:t>
      </w:r>
      <w:r w:rsidR="00814069">
        <w:t xml:space="preserve"> </w:t>
      </w:r>
      <w:r w:rsidR="00556414">
        <w:t xml:space="preserve">The study was further extended to evaluate the change of </w:t>
      </w:r>
      <w:proofErr w:type="spellStart"/>
      <w:r w:rsidR="00556414">
        <w:t>transcritical</w:t>
      </w:r>
      <w:proofErr w:type="spellEnd"/>
      <w:r w:rsidR="00556414">
        <w:t xml:space="preserve"> bifurcation</w:t>
      </w:r>
      <w:r w:rsidR="00B01D9E">
        <w:t xml:space="preserve"> point</w:t>
      </w:r>
      <w:r w:rsidR="0028498F">
        <w:t xml:space="preserve"> when </w:t>
      </w:r>
      <w:r w:rsidR="0028498F">
        <w:lastRenderedPageBreak/>
        <w:t>overexpressed</w:t>
      </w:r>
      <w:r w:rsidR="00556414">
        <w:t xml:space="preserve"> </w:t>
      </w:r>
      <w:r w:rsidR="0028498F">
        <w:t xml:space="preserve">the </w:t>
      </w:r>
      <w:proofErr w:type="spellStart"/>
      <w:r w:rsidR="00556414">
        <w:t>cyclin</w:t>
      </w:r>
      <w:proofErr w:type="spellEnd"/>
      <w:r w:rsidR="0028498F">
        <w:t xml:space="preserve"> E, </w:t>
      </w:r>
      <w:proofErr w:type="spellStart"/>
      <w:r w:rsidR="0028498F">
        <w:t>cyclinD</w:t>
      </w:r>
      <w:proofErr w:type="spellEnd"/>
      <w:r w:rsidR="0028498F">
        <w:t>, and combination by increasing their constitutive concentration.</w:t>
      </w:r>
      <w:r w:rsidR="00556414">
        <w:t xml:space="preserve"> </w:t>
      </w:r>
    </w:p>
    <w:p w:rsidR="00B01D9E" w:rsidRDefault="008F5B96" w:rsidP="00B01D9E">
      <w:pPr>
        <w:keepNext/>
      </w:pPr>
      <w:r w:rsidRPr="008F5B96">
        <w:rPr>
          <w:noProof/>
        </w:rPr>
        <w:drawing>
          <wp:inline distT="0" distB="0" distL="0" distR="0" wp14:anchorId="4A74D8D4" wp14:editId="7FAF2589">
            <wp:extent cx="2981325" cy="156210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294" r="5859" b="50701"/>
                    <a:stretch/>
                  </pic:blipFill>
                  <pic:spPr bwMode="auto">
                    <a:xfrm>
                      <a:off x="0" y="0"/>
                      <a:ext cx="2981325" cy="156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605" w:rsidRPr="007B5D19" w:rsidRDefault="00B01D9E" w:rsidP="00B01D9E">
      <w:pPr>
        <w:pStyle w:val="Caption"/>
        <w:jc w:val="both"/>
        <w:rPr>
          <w:color w:val="auto"/>
        </w:rPr>
      </w:pPr>
      <w:proofErr w:type="gramStart"/>
      <w:r w:rsidRPr="007B5D19">
        <w:rPr>
          <w:color w:val="auto"/>
        </w:rPr>
        <w:t xml:space="preserve">Figure </w:t>
      </w:r>
      <w:proofErr w:type="gramEnd"/>
      <w:r w:rsidRPr="007B5D19">
        <w:rPr>
          <w:color w:val="auto"/>
        </w:rPr>
        <w:fldChar w:fldCharType="begin"/>
      </w:r>
      <w:r w:rsidRPr="007B5D19">
        <w:rPr>
          <w:color w:val="auto"/>
        </w:rPr>
        <w:instrText xml:space="preserve"> SEQ Figure \* ARABIC </w:instrText>
      </w:r>
      <w:r w:rsidRPr="007B5D19">
        <w:rPr>
          <w:color w:val="auto"/>
        </w:rPr>
        <w:fldChar w:fldCharType="separate"/>
      </w:r>
      <w:r w:rsidR="007B5D19">
        <w:rPr>
          <w:noProof/>
          <w:color w:val="auto"/>
        </w:rPr>
        <w:t>1</w:t>
      </w:r>
      <w:r w:rsidRPr="007B5D19">
        <w:rPr>
          <w:color w:val="auto"/>
        </w:rPr>
        <w:fldChar w:fldCharType="end"/>
      </w:r>
      <w:r w:rsidRPr="007B5D19">
        <w:rPr>
          <w:color w:val="auto"/>
        </w:rPr>
        <w:t xml:space="preserve">. </w:t>
      </w:r>
      <w:proofErr w:type="gramStart"/>
      <w:r w:rsidRPr="007B5D19">
        <w:rPr>
          <w:color w:val="auto"/>
        </w:rPr>
        <w:t xml:space="preserve">Time course of the computed protein concentration with different strength of </w:t>
      </w:r>
      <w:proofErr w:type="spellStart"/>
      <w:r w:rsidRPr="007B5D19">
        <w:rPr>
          <w:color w:val="auto"/>
        </w:rPr>
        <w:t>Fm</w:t>
      </w:r>
      <w:proofErr w:type="spellEnd"/>
      <w:r w:rsidRPr="007B5D19">
        <w:rPr>
          <w:color w:val="auto"/>
        </w:rPr>
        <w:t>, 0.00005 to 0.004 with an interval of 0.00005.</w:t>
      </w:r>
      <w:proofErr w:type="gramEnd"/>
    </w:p>
    <w:p w:rsidR="008F5B96" w:rsidRDefault="00B01D9E" w:rsidP="002B6016">
      <w:pPr>
        <w:jc w:val="both"/>
        <w:rPr>
          <w:noProof/>
          <w:lang w:eastAsia="en-US"/>
        </w:rPr>
      </w:pPr>
      <w:r>
        <w:t xml:space="preserve">As the </w:t>
      </w:r>
      <w:proofErr w:type="spellStart"/>
      <w:r w:rsidR="007B5D19">
        <w:t>cyclin</w:t>
      </w:r>
      <w:proofErr w:type="spellEnd"/>
      <w:r w:rsidR="007B5D19">
        <w:t xml:space="preserve"> E is overexpressed by </w:t>
      </w:r>
      <w:r w:rsidR="0027553E">
        <w:t>adding</w:t>
      </w:r>
      <w:r w:rsidR="007B5D19">
        <w:t xml:space="preserve"> </w:t>
      </w:r>
      <w:r w:rsidR="0027553E">
        <w:t>a</w:t>
      </w:r>
      <w:r w:rsidR="007B5D19">
        <w:t xml:space="preserve"> constitutive concentration</w:t>
      </w:r>
      <w:r w:rsidR="0028498F">
        <w:t xml:space="preserve"> </w:t>
      </w:r>
      <w:r w:rsidR="0027553E">
        <w:t>of</w:t>
      </w:r>
      <w:r w:rsidR="0028498F">
        <w:t xml:space="preserve"> 0.2 </w:t>
      </w:r>
      <w:r w:rsidR="007B5D19">
        <w:t xml:space="preserve">in the model, it is clearly seen that the </w:t>
      </w:r>
      <w:proofErr w:type="spellStart"/>
      <w:r w:rsidR="007B5D19">
        <w:t>transcritical</w:t>
      </w:r>
      <w:proofErr w:type="spellEnd"/>
      <w:r w:rsidR="007B5D19">
        <w:t xml:space="preserve"> bifurcation value become smaller as the </w:t>
      </w:r>
      <w:proofErr w:type="spellStart"/>
      <w:r w:rsidR="007B5D19">
        <w:t>bistability</w:t>
      </w:r>
      <w:proofErr w:type="spellEnd"/>
      <w:r w:rsidR="007B5D19">
        <w:t xml:space="preserve"> phenomenon observed in the earlier graphs shown in figure Y.</w:t>
      </w:r>
    </w:p>
    <w:p w:rsidR="007B5D19" w:rsidRDefault="008F5B96" w:rsidP="007B5D19">
      <w:pPr>
        <w:keepNext/>
      </w:pPr>
      <w:r w:rsidRPr="008F5B96">
        <w:rPr>
          <w:noProof/>
        </w:rPr>
        <w:drawing>
          <wp:inline distT="0" distB="0" distL="0" distR="0" wp14:anchorId="57DFE712" wp14:editId="43B08D1B">
            <wp:extent cx="3028950" cy="129540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784" r="4999" b="50000"/>
                    <a:stretch/>
                  </pic:blipFill>
                  <pic:spPr bwMode="auto">
                    <a:xfrm>
                      <a:off x="0" y="0"/>
                      <a:ext cx="3063401" cy="1310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7A5807" w:rsidRDefault="007B5D19" w:rsidP="007B5D19">
      <w:pPr>
        <w:pStyle w:val="Caption"/>
        <w:jc w:val="both"/>
        <w:rPr>
          <w:color w:val="auto"/>
        </w:rPr>
      </w:pPr>
      <w:proofErr w:type="gramStart"/>
      <w:r w:rsidRPr="007B5D19">
        <w:rPr>
          <w:color w:val="auto"/>
        </w:rPr>
        <w:t xml:space="preserve">Figure </w:t>
      </w:r>
      <w:proofErr w:type="gramEnd"/>
      <w:r w:rsidRPr="007B5D19">
        <w:rPr>
          <w:color w:val="auto"/>
        </w:rPr>
        <w:fldChar w:fldCharType="begin"/>
      </w:r>
      <w:r w:rsidRPr="007B5D19">
        <w:rPr>
          <w:color w:val="auto"/>
        </w:rPr>
        <w:instrText xml:space="preserve"> SEQ Figure \* ARABIC </w:instrText>
      </w:r>
      <w:r w:rsidRPr="007B5D19">
        <w:rPr>
          <w:color w:val="auto"/>
        </w:rPr>
        <w:fldChar w:fldCharType="separate"/>
      </w:r>
      <w:r w:rsidRPr="007B5D19">
        <w:rPr>
          <w:noProof/>
          <w:color w:val="auto"/>
        </w:rPr>
        <w:t>2</w:t>
      </w:r>
      <w:r w:rsidRPr="007B5D19">
        <w:rPr>
          <w:color w:val="auto"/>
        </w:rPr>
        <w:fldChar w:fldCharType="end"/>
      </w:r>
      <w:r w:rsidRPr="007B5D19">
        <w:rPr>
          <w:color w:val="auto"/>
        </w:rPr>
        <w:t xml:space="preserve">. Time course of the computed protein concentration with the </w:t>
      </w:r>
      <w:proofErr w:type="spellStart"/>
      <w:r w:rsidRPr="007B5D19">
        <w:rPr>
          <w:color w:val="auto"/>
        </w:rPr>
        <w:t>overexpresstion</w:t>
      </w:r>
      <w:proofErr w:type="spellEnd"/>
      <w:r w:rsidRPr="007B5D19">
        <w:rPr>
          <w:color w:val="auto"/>
        </w:rPr>
        <w:t xml:space="preserve"> of </w:t>
      </w:r>
      <w:proofErr w:type="spellStart"/>
      <w:r w:rsidRPr="007B5D19">
        <w:rPr>
          <w:color w:val="auto"/>
        </w:rPr>
        <w:t>cyclin</w:t>
      </w:r>
      <w:proofErr w:type="spellEnd"/>
      <w:r w:rsidRPr="007B5D19">
        <w:rPr>
          <w:color w:val="auto"/>
        </w:rPr>
        <w:t xml:space="preserve"> E at the same value of </w:t>
      </w:r>
      <w:proofErr w:type="spellStart"/>
      <w:r w:rsidRPr="007B5D19">
        <w:rPr>
          <w:color w:val="auto"/>
        </w:rPr>
        <w:t>Fm</w:t>
      </w:r>
      <w:proofErr w:type="spellEnd"/>
      <w:r w:rsidRPr="007B5D19">
        <w:rPr>
          <w:color w:val="auto"/>
        </w:rPr>
        <w:t xml:space="preserve"> </w:t>
      </w:r>
      <w:r>
        <w:rPr>
          <w:color w:val="auto"/>
        </w:rPr>
        <w:t xml:space="preserve">being </w:t>
      </w:r>
      <w:r w:rsidRPr="007B5D19">
        <w:rPr>
          <w:color w:val="auto"/>
        </w:rPr>
        <w:t>tested above</w:t>
      </w:r>
    </w:p>
    <w:p w:rsidR="007B5D19" w:rsidRPr="007B5D19" w:rsidRDefault="002B6016" w:rsidP="00D3188D">
      <w:pPr>
        <w:jc w:val="both"/>
      </w:pPr>
      <w:r>
        <w:t xml:space="preserve">It can be found that the effect of overexpressed </w:t>
      </w:r>
      <w:proofErr w:type="spellStart"/>
      <w:r>
        <w:t>cyclin</w:t>
      </w:r>
      <w:proofErr w:type="spellEnd"/>
      <w:r>
        <w:t xml:space="preserve"> D for cell proliferation is much greater than </w:t>
      </w:r>
      <w:proofErr w:type="spellStart"/>
      <w:r>
        <w:t>cyclin</w:t>
      </w:r>
      <w:proofErr w:type="spellEnd"/>
      <w:r>
        <w:t xml:space="preserve"> E that it shift the </w:t>
      </w:r>
      <w:proofErr w:type="spellStart"/>
      <w:r>
        <w:t>transcritical</w:t>
      </w:r>
      <w:proofErr w:type="spellEnd"/>
      <w:r>
        <w:t xml:space="preserve"> bifurcation to much smaller shown in figure Z blow.</w:t>
      </w:r>
      <w:r w:rsidR="00D3188D">
        <w:t xml:space="preserve"> Figure ZZ. </w:t>
      </w:r>
      <w:proofErr w:type="gramStart"/>
      <w:r w:rsidR="00D3188D">
        <w:t>shows</w:t>
      </w:r>
      <w:proofErr w:type="gramEnd"/>
      <w:r w:rsidR="00D3188D">
        <w:t xml:space="preserve"> the combination effect form overexpression </w:t>
      </w:r>
      <w:proofErr w:type="spellStart"/>
      <w:r w:rsidR="00D3188D">
        <w:t>cyclin</w:t>
      </w:r>
      <w:proofErr w:type="spellEnd"/>
      <w:r w:rsidR="00D3188D">
        <w:t xml:space="preserve"> D and </w:t>
      </w:r>
      <w:proofErr w:type="spellStart"/>
      <w:r w:rsidR="00D3188D">
        <w:t>cyclin</w:t>
      </w:r>
      <w:proofErr w:type="spellEnd"/>
      <w:r w:rsidR="00D3188D">
        <w:t xml:space="preserve"> E, the E2F almost raise to the second stability at the beginning.</w:t>
      </w:r>
    </w:p>
    <w:p w:rsidR="008F5B96" w:rsidRDefault="008F5B96">
      <w:r w:rsidRPr="008F5B96">
        <w:rPr>
          <w:noProof/>
        </w:rPr>
        <w:lastRenderedPageBreak/>
        <w:drawing>
          <wp:inline distT="0" distB="0" distL="0" distR="0">
            <wp:extent cx="3095625" cy="1361044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6633" r="6060" b="50472"/>
                    <a:stretch/>
                  </pic:blipFill>
                  <pic:spPr bwMode="auto">
                    <a:xfrm>
                      <a:off x="0" y="0"/>
                      <a:ext cx="3163885" cy="13910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F5B96" w:rsidRDefault="008F5B96">
      <w:r w:rsidRPr="008F5B96">
        <w:rPr>
          <w:noProof/>
        </w:rPr>
        <w:drawing>
          <wp:inline distT="0" distB="0" distL="0" distR="0">
            <wp:extent cx="3143250" cy="1466850"/>
            <wp:effectExtent l="0" t="0" r="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7474" r="4546" b="50542"/>
                    <a:stretch/>
                  </pic:blipFill>
                  <pic:spPr bwMode="auto">
                    <a:xfrm>
                      <a:off x="0" y="0"/>
                      <a:ext cx="3145336" cy="14678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10CC7" w:rsidRDefault="00C958BD">
      <w:pPr>
        <w:rPr>
          <w:b/>
        </w:rPr>
      </w:pPr>
      <w:r>
        <w:rPr>
          <w:b/>
        </w:rPr>
        <w:t>Bifurcation for the Various Constitutive Concentrations</w:t>
      </w:r>
    </w:p>
    <w:p w:rsidR="00C958BD" w:rsidRDefault="00C958BD">
      <w:pPr>
        <w:rPr>
          <w:noProof/>
        </w:rPr>
      </w:pPr>
      <w:r>
        <w:rPr>
          <w:noProof/>
        </w:rPr>
        <w:t xml:space="preserve">The bifurcation diagram </w:t>
      </w:r>
    </w:p>
    <w:p w:rsidR="00C958BD" w:rsidRPr="00C958BD" w:rsidRDefault="00C958BD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8E2B58E" wp14:editId="7C5BCBDE">
            <wp:extent cx="2914650" cy="459462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3578" b="6163"/>
                    <a:stretch/>
                  </pic:blipFill>
                  <pic:spPr bwMode="auto">
                    <a:xfrm>
                      <a:off x="0" y="0"/>
                      <a:ext cx="2916756" cy="45979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97BE1" w:rsidRDefault="00EF4E52">
      <w:r w:rsidRPr="00EF4E52">
        <w:rPr>
          <w:noProof/>
        </w:rPr>
        <w:drawing>
          <wp:inline distT="0" distB="0" distL="0" distR="0">
            <wp:extent cx="3223381" cy="22860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2571" cy="22925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21F" w:rsidRDefault="0062221F"/>
    <w:p w:rsidR="00C65517" w:rsidRDefault="00C65517" w:rsidP="00ED084E">
      <w:bookmarkStart w:id="0" w:name="_GoBack"/>
      <w:r>
        <w:t>CONCLUSIONS</w:t>
      </w:r>
    </w:p>
    <w:bookmarkEnd w:id="0"/>
    <w:p w:rsidR="00C65517" w:rsidRDefault="00C65517"/>
    <w:p w:rsidR="00C65517" w:rsidRDefault="00C65517">
      <w:r>
        <w:lastRenderedPageBreak/>
        <w:t>ACKNOWLEDGEMENTS</w:t>
      </w:r>
    </w:p>
    <w:p w:rsidR="00AE0022" w:rsidRPr="00AE0022" w:rsidRDefault="00AE0022" w:rsidP="00AE0022">
      <w:pPr>
        <w:pStyle w:val="NoSpacing"/>
        <w:rPr>
          <w:b/>
        </w:rPr>
      </w:pPr>
      <w:r w:rsidRPr="00AE0022">
        <w:rPr>
          <w:b/>
        </w:rPr>
        <w:t>G1S_Func</w:t>
      </w:r>
    </w:p>
    <w:p w:rsidR="00AE0022" w:rsidRDefault="00AE0022" w:rsidP="00AE0022">
      <w:pPr>
        <w:pStyle w:val="NoSpacing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function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dydt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=G1S_Func(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t,y,pars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RB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E2F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CycD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CycD_a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AP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RB1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RB2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CycE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CycE_a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y(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k16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k34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5);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k43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k61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k67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k76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k23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10);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k25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11);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k28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k89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13);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k98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14);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a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15);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J11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16);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J12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17);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J15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18);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J18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19);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J61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20);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J62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21);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J65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22);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J68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23);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J13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24);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J63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25);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Km1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26);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Km2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27);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Km4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28);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Km9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29);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kp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pars(30);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phi_RB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31);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phi_E2F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32);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phi_CycD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33);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phi_CycD_a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34);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phi_AP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35);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phi_RB1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36);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phi_RB2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37);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phi_CycE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38);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phi_CycE_a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39);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40);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41); </w:t>
      </w:r>
      <w:r>
        <w:rPr>
          <w:rFonts w:ascii="Courier New" w:hAnsi="Courier New" w:cs="Courier New"/>
          <w:color w:val="228B22"/>
          <w:sz w:val="20"/>
          <w:szCs w:val="20"/>
        </w:rPr>
        <w:t>%Constitutive Term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 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1,1) = k1*E2F*J11*J61/((Km1+E2F)*(J11+RB)*(J61+RB1))-k16*RB*CycD_a+k61*RB1-phi_RB*RB;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2,1) = kp+k2*(a^2+E2F^2)*J12*J62/((Km2^2+E2F^2)*(J12+RB)*(J62+RB1))-phi_E2F*E2F;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3,1) = k3*AP+k23*E2F*J13*J63/((J13+RB)*(J63+RB1))+k43*CycD_a-k34*CycD*CycD_a/(Km4+CycD_a)-phi_CycD*CycD;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4,1) = k34*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CycD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CycD_a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/(Km4+CycD_a)-k43*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CycD_a-phi_CycD_a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CycD_a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5,1)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+ k25*E2F*J15*J65/((J15+RB)*(J65+RB1))-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phi_AP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*AP;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6,1) = k16*RB*CycD_a-k61*RB1-k67*RB1*CycE_a+k76*RB2-phi_RB1*RB1;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7,1) = k67*RB1*CycE_a-k76*RB2-phi_RB2*RB2;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8,1) = C+k28*E2F*J18*J68/((J18+RB)*(J68+RB1))+k98*CycE_a-k89*CycE*CycE_a/(Km9+CycE_a)-phi_CycE*CycE;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dydt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9,1) = k89*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CycE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CycE_a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/(Km9+CycE_a)-k98*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CycE_a-phi_CycE_a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CycE_a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E0022" w:rsidRDefault="00AE0022" w:rsidP="00AE0022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E0022" w:rsidRDefault="00AE0022"/>
    <w:p w:rsidR="00AE0022" w:rsidRPr="00AE0022" w:rsidRDefault="00AE0022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color w:val="000000"/>
          <w:sz w:val="20"/>
          <w:szCs w:val="20"/>
        </w:rPr>
      </w:pPr>
      <w:r>
        <w:rPr>
          <w:rFonts w:ascii="Courier New" w:hAnsi="Courier New" w:cs="Courier New"/>
          <w:b/>
          <w:color w:val="000000"/>
          <w:sz w:val="20"/>
          <w:szCs w:val="20"/>
        </w:rPr>
        <w:t>G1S_Drive_Bifurcation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clc</w:t>
      </w:r>
      <w:proofErr w:type="spellEnd"/>
      <w:proofErr w:type="gramEnd"/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clear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close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A020F0"/>
          <w:sz w:val="20"/>
          <w:szCs w:val="20"/>
        </w:rPr>
        <w:t>all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tspan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0:1:1000;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k1  k2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k3  k16 k34  k43  k61  k67 k76 k23 k25 k28  k89  k98 a    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k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 1.6 0.05 0.4 0.04 0.01 0.30 0.7 0.1 0.3 0.9 0.06 0.07 0.01 0.04];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%J11 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J12  J15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  J18 J61 J62 J65 J68 J13 J63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J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0.5 5.00 0.001 0.6 5.0 8.0 6.0 7 0.002 2.0];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 xml:space="preserve">%Km1 Km2 Km4 Km9   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kp</w:t>
      </w:r>
      <w:proofErr w:type="spellEnd"/>
      <w:proofErr w:type="gramEnd"/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>Km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=[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0.5 4.0 0.3 0.005 0.05];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</w:t>
      </w: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phiRB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phiE2F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phicycD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phicycDa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phiAP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phiPRBp</w:t>
      </w:r>
      <w:proofErr w:type="spellEnd"/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phiPRBpp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phiCycE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phiCyca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Fm</w:t>
      </w:r>
      <w:proofErr w:type="spellEnd"/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phi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=[0.005 0.1 0.02300 0.030000 0.0100 0.06000 0.040000 0.06000 0.05000 0.044];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C=0;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[k J Km phi C];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initial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[5 0 0 0.01 0 0 0 0 0.01];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%Solve for ODE at different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Fm</w:t>
      </w:r>
      <w:proofErr w:type="spellEnd"/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=1:16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40)=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*0.0005;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'reltol'</w:t>
      </w:r>
      <w:r>
        <w:rPr>
          <w:rFonts w:ascii="Courier New" w:hAnsi="Courier New" w:cs="Courier New"/>
          <w:color w:val="000000"/>
          <w:sz w:val="20"/>
          <w:szCs w:val="20"/>
        </w:rPr>
        <w:t>,1e-6);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ode45(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@G1S_Func,tspan,initial,options,pars);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4,4,i);plot(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}); axis([0 1000 0 15]);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1};r2=result{2};r3=result{3};r4=result{4};r5=result{5};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r6=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6};r7=result{7};r8=result{8};r9=result{9};r10=result{10};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r11=result{11};r12=result{12};r13=result{13};r14=result{14};r15=result{15};r16=result{16};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Stability_Low=[r1(200,2),r2(200,2),r3(200,2),r4(200,2),r5(200,2),r6(200,2),r7(200,2),r8(200,2),r9(200,2),r10(200,2),r11(200,2),r12(200,2),r13(200,2),r14(200,2),r15(200,2),r16(200,2)];</w:t>
      </w:r>
    </w:p>
    <w:p w:rsidR="00AE0022" w:rsidRDefault="00AE0022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228B22"/>
          <w:sz w:val="20"/>
          <w:szCs w:val="20"/>
        </w:rPr>
      </w:pP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Stability_High=[r1(800,2),r2(800,2),r3(800,2),r4(800,2),r5(800,2),r6(800,2),r7(800,2),r8(800,2),r9(800,2),r10(800,2),r11(800,2),r12(800,2),r13(800,2),r14(800,2),r15(800,2),r16(800,2)];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 xml:space="preserve"> 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Fm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zeros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1,16);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=1:16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Fm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*0.0005;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lastRenderedPageBreak/>
        <w:t xml:space="preserve">%Constitutive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Overspression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of </w:t>
      </w:r>
      <w:proofErr w:type="spellStart"/>
      <w:r>
        <w:rPr>
          <w:rFonts w:ascii="Courier New" w:hAnsi="Courier New" w:cs="Courier New"/>
          <w:color w:val="228B22"/>
          <w:sz w:val="20"/>
          <w:szCs w:val="20"/>
        </w:rPr>
        <w:t>Cyclin</w:t>
      </w:r>
      <w:proofErr w:type="spellEnd"/>
      <w:r>
        <w:rPr>
          <w:rFonts w:ascii="Courier New" w:hAnsi="Courier New" w:cs="Courier New"/>
          <w:color w:val="228B22"/>
          <w:sz w:val="20"/>
          <w:szCs w:val="20"/>
        </w:rPr>
        <w:t xml:space="preserve"> E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C=0.2;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k(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12)=0.04;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[k J Km phi C];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for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=1:16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pars(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40)=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*0.0005;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options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odeset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'reltol'</w:t>
      </w:r>
      <w:r>
        <w:rPr>
          <w:rFonts w:ascii="Courier New" w:hAnsi="Courier New" w:cs="Courier New"/>
          <w:color w:val="000000"/>
          <w:sz w:val="20"/>
          <w:szCs w:val="20"/>
        </w:rPr>
        <w:t>,1e-6);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[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t,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}]=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ode45(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@G1S_Func,tspan,initial,options,pars);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 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subplot(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4,4,i);plot(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t,result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{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}); axis([0 1000 0 15]);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FF"/>
          <w:sz w:val="20"/>
          <w:szCs w:val="20"/>
        </w:rPr>
        <w:t>end</w:t>
      </w:r>
      <w:proofErr w:type="gramEnd"/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FF"/>
          <w:sz w:val="20"/>
          <w:szCs w:val="20"/>
        </w:rPr>
        <w:t xml:space="preserve"> 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1};r2=result{2};r3=result{3};r4=result{4};r5=result{5};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r6=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result{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6};r7=result{7};r8=result{8};r9=result{9};r10=result{10};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r11=result{11};r12=result{12};r13=result{13};r14=result{14};r15=result{15};r16=result{16};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Stability_Low1=[r1(200,2),r2(200,2),r3(200,2),r4(200,2),r5(200,2),r6(200,2),r7(200,2),r8(200,2),r9(200,2),r10(200,2),r11(200,2),r12(200,2),r13(200,2),r14(200,2),r15(200,2),r16(200,2)];</w:t>
      </w:r>
    </w:p>
    <w:p w:rsidR="00AE0022" w:rsidRDefault="00AE0022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</w:rPr>
      </w:pP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Stability_High1=[r1(800,2),r2(800,2),r3(800,2),r4(800,2),r5(800,2),r6(800,2),r7(800,2),r8(800,2),r9(800,2),r10(800,2),r11(800,2),r12(800,2),r13(800,2),r14(800,2),r15(800,2),r16(800,2)];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0"/>
          <w:szCs w:val="20"/>
        </w:rPr>
        <w:t>%</w:t>
      </w:r>
      <w:proofErr w:type="gramStart"/>
      <w:r>
        <w:rPr>
          <w:rFonts w:ascii="Courier New" w:hAnsi="Courier New" w:cs="Courier New"/>
          <w:color w:val="228B22"/>
          <w:sz w:val="20"/>
          <w:szCs w:val="20"/>
        </w:rPr>
        <w:t>Generate</w:t>
      </w:r>
      <w:proofErr w:type="gramEnd"/>
      <w:r>
        <w:rPr>
          <w:rFonts w:ascii="Courier New" w:hAnsi="Courier New" w:cs="Courier New"/>
          <w:color w:val="228B22"/>
          <w:sz w:val="20"/>
          <w:szCs w:val="20"/>
        </w:rPr>
        <w:t xml:space="preserve"> Bifurcation plot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figure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; axis([0 0.0005*16 0 15]);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subplot(2,1,1);plot(Fm,Stability_Low,Fm(7:16),Stability_High(7:16));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'E2F1'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);grid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'Bifurcation without Overexpression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Cyclin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E'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>subplot(2,1,2);plot(Fm,Stability_Low1,Fm(4:16),Stability_High1(4:16));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xlabel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A020F0"/>
          <w:sz w:val="20"/>
          <w:szCs w:val="20"/>
        </w:rPr>
        <w:t>'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Fm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>'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ylabel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>'E2F1'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);grid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on</w:t>
      </w:r>
      <w:r>
        <w:rPr>
          <w:rFonts w:ascii="Courier New" w:hAnsi="Courier New" w:cs="Courier New"/>
          <w:color w:val="000000"/>
          <w:sz w:val="20"/>
          <w:szCs w:val="20"/>
        </w:rPr>
        <w:t>;title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A020F0"/>
          <w:sz w:val="20"/>
          <w:szCs w:val="20"/>
        </w:rPr>
        <w:t xml:space="preserve">'Bifurcation with </w:t>
      </w:r>
      <w:r>
        <w:rPr>
          <w:rFonts w:ascii="Courier New" w:hAnsi="Courier New" w:cs="Courier New"/>
          <w:color w:val="A020F0"/>
          <w:sz w:val="20"/>
          <w:szCs w:val="20"/>
        </w:rPr>
        <w:lastRenderedPageBreak/>
        <w:t xml:space="preserve">Overexpression of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Cyclin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A020F0"/>
          <w:sz w:val="20"/>
          <w:szCs w:val="20"/>
        </w:rPr>
        <w:t>E at</w:t>
      </w:r>
      <w:proofErr w:type="spellEnd"/>
      <w:r>
        <w:rPr>
          <w:rFonts w:ascii="Courier New" w:hAnsi="Courier New" w:cs="Courier New"/>
          <w:color w:val="A020F0"/>
          <w:sz w:val="20"/>
          <w:szCs w:val="20"/>
        </w:rPr>
        <w:t xml:space="preserve"> C=0.2'</w:t>
      </w:r>
      <w:r>
        <w:rPr>
          <w:rFonts w:ascii="Courier New" w:hAnsi="Courier New" w:cs="Courier New"/>
          <w:color w:val="000000"/>
          <w:sz w:val="20"/>
          <w:szCs w:val="20"/>
        </w:rPr>
        <w:t>)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</w:p>
    <w:p w:rsidR="00AA0123" w:rsidRDefault="00AA0123" w:rsidP="00AA0123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6729AA" w:rsidRDefault="006729AA"/>
    <w:p w:rsidR="00C65517" w:rsidRDefault="00C65517">
      <w:r>
        <w:t>SUPPLEMENTARY MATERIALS</w:t>
      </w:r>
    </w:p>
    <w:p w:rsidR="003A6B0D" w:rsidRDefault="003A6B0D">
      <w:r>
        <w:t>Original case</w:t>
      </w:r>
    </w:p>
    <w:p w:rsidR="00C65517" w:rsidRDefault="003A6B0D">
      <w:r>
        <w:rPr>
          <w:noProof/>
        </w:rPr>
        <w:drawing>
          <wp:inline distT="0" distB="0" distL="0" distR="0" wp14:anchorId="431B6D4C" wp14:editId="0E3CD45B">
            <wp:extent cx="2692400" cy="20193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92617" cy="20194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B0D" w:rsidRDefault="003A6B0D">
      <w:r>
        <w:rPr>
          <w:noProof/>
        </w:rPr>
        <w:drawing>
          <wp:inline distT="0" distB="0" distL="0" distR="0" wp14:anchorId="4EAB4F12" wp14:editId="1D053F3B">
            <wp:extent cx="3067050" cy="2300288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96113" cy="232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B0D" w:rsidRDefault="003A6B0D">
      <w:r>
        <w:rPr>
          <w:noProof/>
        </w:rPr>
        <w:lastRenderedPageBreak/>
        <w:drawing>
          <wp:inline distT="0" distB="0" distL="0" distR="0" wp14:anchorId="6D577E2B" wp14:editId="50901941">
            <wp:extent cx="2771775" cy="2078831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3664" cy="20952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761" w:rsidRDefault="008F0761">
      <w:r w:rsidRPr="008F0761">
        <w:rPr>
          <w:noProof/>
        </w:rPr>
        <w:drawing>
          <wp:inline distT="0" distB="0" distL="0" distR="0">
            <wp:extent cx="2743200" cy="205740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B0D" w:rsidRDefault="003A6B0D">
      <w:r>
        <w:t>When C=0.2, K28=0.4</w:t>
      </w:r>
    </w:p>
    <w:p w:rsidR="003A6B0D" w:rsidRDefault="003A6B0D">
      <w:r>
        <w:rPr>
          <w:noProof/>
        </w:rPr>
        <w:drawing>
          <wp:inline distT="0" distB="0" distL="0" distR="0" wp14:anchorId="4325A02A" wp14:editId="157E4506">
            <wp:extent cx="3409950" cy="255746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12977" cy="2559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B0D" w:rsidRDefault="003A6B0D">
      <w:r>
        <w:rPr>
          <w:noProof/>
        </w:rPr>
        <w:lastRenderedPageBreak/>
        <w:drawing>
          <wp:inline distT="0" distB="0" distL="0" distR="0" wp14:anchorId="282AC1E3" wp14:editId="0B5CD89E">
            <wp:extent cx="3143250" cy="2357438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456" cy="2362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F058C" w:rsidRDefault="003A6B0D">
      <w:r>
        <w:rPr>
          <w:noProof/>
        </w:rPr>
        <w:drawing>
          <wp:inline distT="0" distB="0" distL="0" distR="0" wp14:anchorId="03EECCE4" wp14:editId="7B36EFBC">
            <wp:extent cx="2828925" cy="2121694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827" cy="2126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B0D" w:rsidRDefault="003A6B0D">
      <w:r>
        <w:t>When C=0.4, K28=0.2</w:t>
      </w:r>
    </w:p>
    <w:p w:rsidR="00BF058C" w:rsidRDefault="00BF058C"/>
    <w:p w:rsidR="00BF058C" w:rsidRDefault="00BF058C">
      <w:r>
        <w:rPr>
          <w:noProof/>
        </w:rPr>
        <w:drawing>
          <wp:inline distT="0" distB="0" distL="0" distR="0" wp14:anchorId="0598063F" wp14:editId="3434579C">
            <wp:extent cx="3149600" cy="236220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0276" cy="236270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6B0D" w:rsidRDefault="00BF058C">
      <w:r>
        <w:rPr>
          <w:noProof/>
        </w:rPr>
        <w:lastRenderedPageBreak/>
        <w:drawing>
          <wp:inline distT="0" distB="0" distL="0" distR="0" wp14:anchorId="5711C267" wp14:editId="5F5BD53D">
            <wp:extent cx="2943225" cy="2207419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6421" cy="22098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1106D9C" wp14:editId="4E49DB74">
            <wp:extent cx="2895600" cy="217170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5600" cy="2171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F0761" w:rsidRDefault="008F0761">
      <w:r>
        <w:t>When D=0.02, k23=0.28</w:t>
      </w:r>
    </w:p>
    <w:p w:rsidR="004B1157" w:rsidRPr="00ED084E" w:rsidRDefault="004B1157">
      <w:pPr>
        <w:rPr>
          <w:vertAlign w:val="subscript"/>
        </w:rPr>
      </w:pPr>
      <w:r w:rsidRPr="004B1157">
        <w:rPr>
          <w:noProof/>
        </w:rPr>
        <w:lastRenderedPageBreak/>
        <w:drawing>
          <wp:inline distT="0" distB="0" distL="0" distR="0">
            <wp:extent cx="2743200" cy="20574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157">
        <w:rPr>
          <w:noProof/>
        </w:rPr>
        <w:drawing>
          <wp:inline distT="0" distB="0" distL="0" distR="0">
            <wp:extent cx="2743200" cy="205740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157">
        <w:rPr>
          <w:noProof/>
        </w:rPr>
        <w:drawing>
          <wp:inline distT="0" distB="0" distL="0" distR="0">
            <wp:extent cx="2743200" cy="20574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B1157">
        <w:rPr>
          <w:noProof/>
        </w:rPr>
        <w:drawing>
          <wp:inline distT="0" distB="0" distL="0" distR="0">
            <wp:extent cx="2743200" cy="2057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2057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25D78" w:rsidRDefault="00C65517">
      <w:r>
        <w:lastRenderedPageBreak/>
        <w:t xml:space="preserve">REFERENCES </w:t>
      </w:r>
      <w:r w:rsidR="00AE0022">
        <w:rPr>
          <w:noProof/>
        </w:rPr>
        <w:drawing>
          <wp:inline distT="0" distB="0" distL="0" distR="0" wp14:anchorId="12D6DCB3" wp14:editId="57DD84EF">
            <wp:extent cx="3800475" cy="285035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00475" cy="28503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E0022">
        <w:rPr>
          <w:noProof/>
        </w:rPr>
        <w:drawing>
          <wp:inline distT="0" distB="0" distL="0" distR="0" wp14:anchorId="02E9A836" wp14:editId="58E6D44A">
            <wp:extent cx="3238500" cy="24288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0101" cy="24300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F25D78" w:rsidSect="00AE0022">
      <w:type w:val="continuous"/>
      <w:pgSz w:w="12240" w:h="15840"/>
      <w:pgMar w:top="1440" w:right="1440" w:bottom="1440" w:left="144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Helvetica-Light">
    <w:altName w:val="Helvetica Light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2F83"/>
    <w:rsid w:val="0001635A"/>
    <w:rsid w:val="00030813"/>
    <w:rsid w:val="00030BAA"/>
    <w:rsid w:val="000310A7"/>
    <w:rsid w:val="000332E7"/>
    <w:rsid w:val="00035430"/>
    <w:rsid w:val="000409D8"/>
    <w:rsid w:val="0004101B"/>
    <w:rsid w:val="00047825"/>
    <w:rsid w:val="000527AB"/>
    <w:rsid w:val="000537B2"/>
    <w:rsid w:val="00056E44"/>
    <w:rsid w:val="00066CD0"/>
    <w:rsid w:val="000714BE"/>
    <w:rsid w:val="00072032"/>
    <w:rsid w:val="00073BA8"/>
    <w:rsid w:val="00087107"/>
    <w:rsid w:val="00092405"/>
    <w:rsid w:val="000A6531"/>
    <w:rsid w:val="000B5644"/>
    <w:rsid w:val="000B7EA7"/>
    <w:rsid w:val="000C0374"/>
    <w:rsid w:val="000C1B76"/>
    <w:rsid w:val="000C3C34"/>
    <w:rsid w:val="000D03A6"/>
    <w:rsid w:val="000D0AA3"/>
    <w:rsid w:val="000D30AF"/>
    <w:rsid w:val="000D39A0"/>
    <w:rsid w:val="000D5F56"/>
    <w:rsid w:val="000F6587"/>
    <w:rsid w:val="0011244A"/>
    <w:rsid w:val="0012288D"/>
    <w:rsid w:val="00123BCF"/>
    <w:rsid w:val="00125B96"/>
    <w:rsid w:val="00132454"/>
    <w:rsid w:val="00134AD3"/>
    <w:rsid w:val="001362C9"/>
    <w:rsid w:val="0014036F"/>
    <w:rsid w:val="001449CC"/>
    <w:rsid w:val="001467D9"/>
    <w:rsid w:val="00150395"/>
    <w:rsid w:val="00156CD2"/>
    <w:rsid w:val="00157267"/>
    <w:rsid w:val="00157A6A"/>
    <w:rsid w:val="0017331A"/>
    <w:rsid w:val="00175EB1"/>
    <w:rsid w:val="00183457"/>
    <w:rsid w:val="001836C3"/>
    <w:rsid w:val="00184C8C"/>
    <w:rsid w:val="001A77CB"/>
    <w:rsid w:val="001B0476"/>
    <w:rsid w:val="001B2F15"/>
    <w:rsid w:val="001C3CDE"/>
    <w:rsid w:val="001C444F"/>
    <w:rsid w:val="001C49D3"/>
    <w:rsid w:val="001C6279"/>
    <w:rsid w:val="001C6BBE"/>
    <w:rsid w:val="001D27A5"/>
    <w:rsid w:val="001D6EF4"/>
    <w:rsid w:val="001E466F"/>
    <w:rsid w:val="001E65AF"/>
    <w:rsid w:val="001F0AF7"/>
    <w:rsid w:val="001F7A14"/>
    <w:rsid w:val="0021076A"/>
    <w:rsid w:val="002130F5"/>
    <w:rsid w:val="00217834"/>
    <w:rsid w:val="00217A4A"/>
    <w:rsid w:val="00220524"/>
    <w:rsid w:val="00232E2C"/>
    <w:rsid w:val="00245EFB"/>
    <w:rsid w:val="00253C3C"/>
    <w:rsid w:val="00256C39"/>
    <w:rsid w:val="00257209"/>
    <w:rsid w:val="0027553E"/>
    <w:rsid w:val="00275DC1"/>
    <w:rsid w:val="00282FE9"/>
    <w:rsid w:val="0028498F"/>
    <w:rsid w:val="00290B45"/>
    <w:rsid w:val="002A5E55"/>
    <w:rsid w:val="002B17F3"/>
    <w:rsid w:val="002B6014"/>
    <w:rsid w:val="002B6016"/>
    <w:rsid w:val="002B6043"/>
    <w:rsid w:val="002C1B24"/>
    <w:rsid w:val="002C6664"/>
    <w:rsid w:val="002C6A11"/>
    <w:rsid w:val="002D0529"/>
    <w:rsid w:val="002D2E51"/>
    <w:rsid w:val="002E3758"/>
    <w:rsid w:val="002E5C02"/>
    <w:rsid w:val="002F6314"/>
    <w:rsid w:val="002F72A9"/>
    <w:rsid w:val="00301F25"/>
    <w:rsid w:val="00302B3A"/>
    <w:rsid w:val="003031B6"/>
    <w:rsid w:val="00306B5E"/>
    <w:rsid w:val="003166B7"/>
    <w:rsid w:val="003231C2"/>
    <w:rsid w:val="0032370B"/>
    <w:rsid w:val="00327445"/>
    <w:rsid w:val="00332171"/>
    <w:rsid w:val="0033218A"/>
    <w:rsid w:val="003355B1"/>
    <w:rsid w:val="003553ED"/>
    <w:rsid w:val="00362FEC"/>
    <w:rsid w:val="00366120"/>
    <w:rsid w:val="003739DC"/>
    <w:rsid w:val="0038068D"/>
    <w:rsid w:val="00393556"/>
    <w:rsid w:val="003943F5"/>
    <w:rsid w:val="0039522F"/>
    <w:rsid w:val="003A297B"/>
    <w:rsid w:val="003A2F83"/>
    <w:rsid w:val="003A3895"/>
    <w:rsid w:val="003A6B0D"/>
    <w:rsid w:val="003B68D7"/>
    <w:rsid w:val="003B7DC6"/>
    <w:rsid w:val="003C117A"/>
    <w:rsid w:val="003C3633"/>
    <w:rsid w:val="003C49AF"/>
    <w:rsid w:val="003D3A4E"/>
    <w:rsid w:val="003D5EDE"/>
    <w:rsid w:val="003E0C5A"/>
    <w:rsid w:val="003E2EBB"/>
    <w:rsid w:val="003F23D5"/>
    <w:rsid w:val="003F51A6"/>
    <w:rsid w:val="00420EE5"/>
    <w:rsid w:val="00422EA4"/>
    <w:rsid w:val="00430F2D"/>
    <w:rsid w:val="00435AD1"/>
    <w:rsid w:val="00436DB9"/>
    <w:rsid w:val="00443865"/>
    <w:rsid w:val="00443F43"/>
    <w:rsid w:val="004462AE"/>
    <w:rsid w:val="004474F3"/>
    <w:rsid w:val="004522A5"/>
    <w:rsid w:val="00453190"/>
    <w:rsid w:val="0046314D"/>
    <w:rsid w:val="004657E0"/>
    <w:rsid w:val="004746D6"/>
    <w:rsid w:val="004818BD"/>
    <w:rsid w:val="00487044"/>
    <w:rsid w:val="0049606E"/>
    <w:rsid w:val="004A35D1"/>
    <w:rsid w:val="004A5D19"/>
    <w:rsid w:val="004B1157"/>
    <w:rsid w:val="004B2BBF"/>
    <w:rsid w:val="004C1F24"/>
    <w:rsid w:val="004C2DFE"/>
    <w:rsid w:val="004D459F"/>
    <w:rsid w:val="004E062C"/>
    <w:rsid w:val="004E0C15"/>
    <w:rsid w:val="004F0035"/>
    <w:rsid w:val="004F345F"/>
    <w:rsid w:val="004F36D4"/>
    <w:rsid w:val="00503755"/>
    <w:rsid w:val="00510747"/>
    <w:rsid w:val="00515EEF"/>
    <w:rsid w:val="0052062B"/>
    <w:rsid w:val="00521B92"/>
    <w:rsid w:val="00530D2D"/>
    <w:rsid w:val="005368BF"/>
    <w:rsid w:val="00556414"/>
    <w:rsid w:val="00562E97"/>
    <w:rsid w:val="00563472"/>
    <w:rsid w:val="0058182F"/>
    <w:rsid w:val="0059715D"/>
    <w:rsid w:val="00597581"/>
    <w:rsid w:val="005A1093"/>
    <w:rsid w:val="005A5B3D"/>
    <w:rsid w:val="005C09C9"/>
    <w:rsid w:val="005C191C"/>
    <w:rsid w:val="005C320C"/>
    <w:rsid w:val="005C3DFE"/>
    <w:rsid w:val="005E1A3D"/>
    <w:rsid w:val="005F4565"/>
    <w:rsid w:val="0060162B"/>
    <w:rsid w:val="006020BE"/>
    <w:rsid w:val="00614967"/>
    <w:rsid w:val="006178BD"/>
    <w:rsid w:val="0062221F"/>
    <w:rsid w:val="00622519"/>
    <w:rsid w:val="00625B9A"/>
    <w:rsid w:val="0063040A"/>
    <w:rsid w:val="00652E4B"/>
    <w:rsid w:val="00661942"/>
    <w:rsid w:val="00671631"/>
    <w:rsid w:val="006729AA"/>
    <w:rsid w:val="00682A92"/>
    <w:rsid w:val="00683B17"/>
    <w:rsid w:val="00685324"/>
    <w:rsid w:val="00692DC4"/>
    <w:rsid w:val="0069606F"/>
    <w:rsid w:val="006B01CE"/>
    <w:rsid w:val="006B6954"/>
    <w:rsid w:val="006C1F4B"/>
    <w:rsid w:val="006C357B"/>
    <w:rsid w:val="006C747D"/>
    <w:rsid w:val="006D36EA"/>
    <w:rsid w:val="006D411E"/>
    <w:rsid w:val="006D7FEE"/>
    <w:rsid w:val="006E5EA0"/>
    <w:rsid w:val="00701440"/>
    <w:rsid w:val="00701513"/>
    <w:rsid w:val="00701648"/>
    <w:rsid w:val="007250E6"/>
    <w:rsid w:val="00730AA4"/>
    <w:rsid w:val="00780D53"/>
    <w:rsid w:val="007841F1"/>
    <w:rsid w:val="007857BA"/>
    <w:rsid w:val="00785A20"/>
    <w:rsid w:val="00786A8C"/>
    <w:rsid w:val="007908A1"/>
    <w:rsid w:val="00794F51"/>
    <w:rsid w:val="007A03C6"/>
    <w:rsid w:val="007A4ED0"/>
    <w:rsid w:val="007A5807"/>
    <w:rsid w:val="007B43C4"/>
    <w:rsid w:val="007B5D19"/>
    <w:rsid w:val="007C710E"/>
    <w:rsid w:val="007C782F"/>
    <w:rsid w:val="007D0A66"/>
    <w:rsid w:val="007E6891"/>
    <w:rsid w:val="007F6E5F"/>
    <w:rsid w:val="008024B9"/>
    <w:rsid w:val="008040F1"/>
    <w:rsid w:val="008070EE"/>
    <w:rsid w:val="00810CC7"/>
    <w:rsid w:val="00814069"/>
    <w:rsid w:val="008217CD"/>
    <w:rsid w:val="0082217B"/>
    <w:rsid w:val="00823074"/>
    <w:rsid w:val="008430A7"/>
    <w:rsid w:val="00852D98"/>
    <w:rsid w:val="00855DA8"/>
    <w:rsid w:val="0086681A"/>
    <w:rsid w:val="00874F90"/>
    <w:rsid w:val="00877011"/>
    <w:rsid w:val="00877E02"/>
    <w:rsid w:val="008822D6"/>
    <w:rsid w:val="00884B73"/>
    <w:rsid w:val="00891969"/>
    <w:rsid w:val="00893290"/>
    <w:rsid w:val="0089465A"/>
    <w:rsid w:val="008962ED"/>
    <w:rsid w:val="00897BE1"/>
    <w:rsid w:val="008A2605"/>
    <w:rsid w:val="008A369D"/>
    <w:rsid w:val="008A6B05"/>
    <w:rsid w:val="008A6DFE"/>
    <w:rsid w:val="008A6E4C"/>
    <w:rsid w:val="008B0127"/>
    <w:rsid w:val="008B27AA"/>
    <w:rsid w:val="008E0C37"/>
    <w:rsid w:val="008E6439"/>
    <w:rsid w:val="008F0761"/>
    <w:rsid w:val="008F4050"/>
    <w:rsid w:val="008F5B96"/>
    <w:rsid w:val="00900E62"/>
    <w:rsid w:val="009039C6"/>
    <w:rsid w:val="00905076"/>
    <w:rsid w:val="00906016"/>
    <w:rsid w:val="00925B1C"/>
    <w:rsid w:val="00926C90"/>
    <w:rsid w:val="009325EE"/>
    <w:rsid w:val="00935F37"/>
    <w:rsid w:val="009367E1"/>
    <w:rsid w:val="00945401"/>
    <w:rsid w:val="009511C7"/>
    <w:rsid w:val="009735C9"/>
    <w:rsid w:val="00973AFF"/>
    <w:rsid w:val="009765FA"/>
    <w:rsid w:val="00983919"/>
    <w:rsid w:val="00985089"/>
    <w:rsid w:val="009875B6"/>
    <w:rsid w:val="00991555"/>
    <w:rsid w:val="009A1C40"/>
    <w:rsid w:val="009A2886"/>
    <w:rsid w:val="009A34BC"/>
    <w:rsid w:val="009A5E2E"/>
    <w:rsid w:val="009A72FB"/>
    <w:rsid w:val="009B1C00"/>
    <w:rsid w:val="009C317A"/>
    <w:rsid w:val="009C3CB6"/>
    <w:rsid w:val="009E496D"/>
    <w:rsid w:val="009F211A"/>
    <w:rsid w:val="009F60E4"/>
    <w:rsid w:val="009F76D8"/>
    <w:rsid w:val="009F7EAE"/>
    <w:rsid w:val="00A0721A"/>
    <w:rsid w:val="00A16867"/>
    <w:rsid w:val="00A258DD"/>
    <w:rsid w:val="00A3580E"/>
    <w:rsid w:val="00A56220"/>
    <w:rsid w:val="00A6404A"/>
    <w:rsid w:val="00A754C4"/>
    <w:rsid w:val="00A859D5"/>
    <w:rsid w:val="00A93C7E"/>
    <w:rsid w:val="00A977F0"/>
    <w:rsid w:val="00A97E09"/>
    <w:rsid w:val="00AA0123"/>
    <w:rsid w:val="00AA5F56"/>
    <w:rsid w:val="00AB1032"/>
    <w:rsid w:val="00AB5DBC"/>
    <w:rsid w:val="00AC5E6D"/>
    <w:rsid w:val="00AD2CB3"/>
    <w:rsid w:val="00AE0022"/>
    <w:rsid w:val="00AE30B7"/>
    <w:rsid w:val="00AE3B54"/>
    <w:rsid w:val="00AE447D"/>
    <w:rsid w:val="00AE681A"/>
    <w:rsid w:val="00AF338D"/>
    <w:rsid w:val="00AF77C0"/>
    <w:rsid w:val="00B001F0"/>
    <w:rsid w:val="00B01D9E"/>
    <w:rsid w:val="00B04EAF"/>
    <w:rsid w:val="00B236F9"/>
    <w:rsid w:val="00B2479E"/>
    <w:rsid w:val="00B30313"/>
    <w:rsid w:val="00B31B98"/>
    <w:rsid w:val="00B36133"/>
    <w:rsid w:val="00B3635F"/>
    <w:rsid w:val="00B4799F"/>
    <w:rsid w:val="00B52FB2"/>
    <w:rsid w:val="00B60511"/>
    <w:rsid w:val="00B6248E"/>
    <w:rsid w:val="00B6684C"/>
    <w:rsid w:val="00B702AE"/>
    <w:rsid w:val="00B76A40"/>
    <w:rsid w:val="00B80F91"/>
    <w:rsid w:val="00B8113E"/>
    <w:rsid w:val="00BA45DD"/>
    <w:rsid w:val="00BB2E18"/>
    <w:rsid w:val="00BB5A5F"/>
    <w:rsid w:val="00BB67A0"/>
    <w:rsid w:val="00BB7FAF"/>
    <w:rsid w:val="00BC10D9"/>
    <w:rsid w:val="00BE138E"/>
    <w:rsid w:val="00BE45EC"/>
    <w:rsid w:val="00BE4743"/>
    <w:rsid w:val="00BF058C"/>
    <w:rsid w:val="00C01825"/>
    <w:rsid w:val="00C039B2"/>
    <w:rsid w:val="00C1754E"/>
    <w:rsid w:val="00C20A49"/>
    <w:rsid w:val="00C2121B"/>
    <w:rsid w:val="00C21CD5"/>
    <w:rsid w:val="00C22D8A"/>
    <w:rsid w:val="00C23C7F"/>
    <w:rsid w:val="00C443D6"/>
    <w:rsid w:val="00C51EBE"/>
    <w:rsid w:val="00C56570"/>
    <w:rsid w:val="00C637D1"/>
    <w:rsid w:val="00C65517"/>
    <w:rsid w:val="00C8426D"/>
    <w:rsid w:val="00C84EEC"/>
    <w:rsid w:val="00C958BD"/>
    <w:rsid w:val="00C9619D"/>
    <w:rsid w:val="00CB077C"/>
    <w:rsid w:val="00CD5918"/>
    <w:rsid w:val="00D0664A"/>
    <w:rsid w:val="00D1365C"/>
    <w:rsid w:val="00D3188D"/>
    <w:rsid w:val="00D403CB"/>
    <w:rsid w:val="00D41307"/>
    <w:rsid w:val="00D67871"/>
    <w:rsid w:val="00D746C6"/>
    <w:rsid w:val="00D75AAD"/>
    <w:rsid w:val="00D8307A"/>
    <w:rsid w:val="00D90C28"/>
    <w:rsid w:val="00DA64DE"/>
    <w:rsid w:val="00DB31D8"/>
    <w:rsid w:val="00DB5CE2"/>
    <w:rsid w:val="00DC1AA2"/>
    <w:rsid w:val="00DC48A6"/>
    <w:rsid w:val="00DD3084"/>
    <w:rsid w:val="00DD7658"/>
    <w:rsid w:val="00DE0646"/>
    <w:rsid w:val="00DE3AF8"/>
    <w:rsid w:val="00DE6028"/>
    <w:rsid w:val="00E0293D"/>
    <w:rsid w:val="00E14B31"/>
    <w:rsid w:val="00E170C4"/>
    <w:rsid w:val="00E240DF"/>
    <w:rsid w:val="00E37BB4"/>
    <w:rsid w:val="00E5146D"/>
    <w:rsid w:val="00E54778"/>
    <w:rsid w:val="00E6791A"/>
    <w:rsid w:val="00E73A37"/>
    <w:rsid w:val="00E73B20"/>
    <w:rsid w:val="00E900C4"/>
    <w:rsid w:val="00EA22A2"/>
    <w:rsid w:val="00EA7DD9"/>
    <w:rsid w:val="00EC2BB5"/>
    <w:rsid w:val="00ED084E"/>
    <w:rsid w:val="00ED4FC6"/>
    <w:rsid w:val="00ED7FB3"/>
    <w:rsid w:val="00EE49A4"/>
    <w:rsid w:val="00EE63FC"/>
    <w:rsid w:val="00EF4E52"/>
    <w:rsid w:val="00EF7105"/>
    <w:rsid w:val="00F02D02"/>
    <w:rsid w:val="00F22689"/>
    <w:rsid w:val="00F23071"/>
    <w:rsid w:val="00F25D78"/>
    <w:rsid w:val="00F33506"/>
    <w:rsid w:val="00F42543"/>
    <w:rsid w:val="00F4788C"/>
    <w:rsid w:val="00F50600"/>
    <w:rsid w:val="00F64D7C"/>
    <w:rsid w:val="00F8064E"/>
    <w:rsid w:val="00FA4679"/>
    <w:rsid w:val="00FA7798"/>
    <w:rsid w:val="00FC0BA9"/>
    <w:rsid w:val="00FC0EF9"/>
    <w:rsid w:val="00FC2F86"/>
    <w:rsid w:val="00FC3D76"/>
    <w:rsid w:val="00FF30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D78"/>
    <w:pPr>
      <w:ind w:left="720"/>
      <w:contextualSpacing/>
    </w:pPr>
  </w:style>
  <w:style w:type="paragraph" w:customStyle="1" w:styleId="Articletitle">
    <w:name w:val="Article title"/>
    <w:rsid w:val="00C65517"/>
    <w:pPr>
      <w:spacing w:before="92" w:after="0" w:line="420" w:lineRule="exact"/>
    </w:pPr>
    <w:rPr>
      <w:rFonts w:ascii="Helvetica" w:eastAsia="Times New Roman" w:hAnsi="Helvetica" w:cs="Times New Roman"/>
      <w:b/>
      <w:sz w:val="32"/>
      <w:szCs w:val="20"/>
      <w:lang w:eastAsia="en-US"/>
    </w:rPr>
  </w:style>
  <w:style w:type="paragraph" w:customStyle="1" w:styleId="Authorname">
    <w:name w:val="Author name"/>
    <w:rsid w:val="00C65517"/>
    <w:pPr>
      <w:spacing w:before="70" w:after="0" w:line="300" w:lineRule="exact"/>
    </w:pPr>
    <w:rPr>
      <w:rFonts w:ascii="Helvetica-Light" w:eastAsia="Times New Roman" w:hAnsi="Helvetica-Light" w:cs="Times New Roman"/>
      <w:iCs/>
      <w:sz w:val="26"/>
      <w:szCs w:val="20"/>
      <w:lang w:eastAsia="en-US"/>
    </w:rPr>
  </w:style>
  <w:style w:type="paragraph" w:customStyle="1" w:styleId="Affilation">
    <w:name w:val="Affilation"/>
    <w:basedOn w:val="Authorname"/>
    <w:rsid w:val="00C65517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C65517"/>
    <w:pPr>
      <w:spacing w:before="0" w:after="294"/>
    </w:pPr>
    <w:rPr>
      <w:sz w:val="16"/>
    </w:rPr>
  </w:style>
  <w:style w:type="paragraph" w:customStyle="1" w:styleId="AbstractHead">
    <w:name w:val="Abstract Head"/>
    <w:rsid w:val="00C65517"/>
    <w:pPr>
      <w:spacing w:before="210" w:after="10" w:line="220" w:lineRule="exact"/>
      <w:jc w:val="both"/>
    </w:pPr>
    <w:rPr>
      <w:rFonts w:ascii="Helvetica" w:eastAsia="Times New Roman" w:hAnsi="Helvetica" w:cs="Times New Roman"/>
      <w:b/>
      <w:caps/>
      <w:sz w:val="16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1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E0022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B01D9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5D78"/>
    <w:pPr>
      <w:ind w:left="720"/>
      <w:contextualSpacing/>
    </w:pPr>
  </w:style>
  <w:style w:type="paragraph" w:customStyle="1" w:styleId="Articletitle">
    <w:name w:val="Article title"/>
    <w:rsid w:val="00C65517"/>
    <w:pPr>
      <w:spacing w:before="92" w:after="0" w:line="420" w:lineRule="exact"/>
    </w:pPr>
    <w:rPr>
      <w:rFonts w:ascii="Helvetica" w:eastAsia="Times New Roman" w:hAnsi="Helvetica" w:cs="Times New Roman"/>
      <w:b/>
      <w:sz w:val="32"/>
      <w:szCs w:val="20"/>
      <w:lang w:eastAsia="en-US"/>
    </w:rPr>
  </w:style>
  <w:style w:type="paragraph" w:customStyle="1" w:styleId="Authorname">
    <w:name w:val="Author name"/>
    <w:rsid w:val="00C65517"/>
    <w:pPr>
      <w:spacing w:before="70" w:after="0" w:line="300" w:lineRule="exact"/>
    </w:pPr>
    <w:rPr>
      <w:rFonts w:ascii="Helvetica-Light" w:eastAsia="Times New Roman" w:hAnsi="Helvetica-Light" w:cs="Times New Roman"/>
      <w:iCs/>
      <w:sz w:val="26"/>
      <w:szCs w:val="20"/>
      <w:lang w:eastAsia="en-US"/>
    </w:rPr>
  </w:style>
  <w:style w:type="paragraph" w:customStyle="1" w:styleId="Affilation">
    <w:name w:val="Affilation"/>
    <w:basedOn w:val="Authorname"/>
    <w:rsid w:val="00C65517"/>
    <w:pPr>
      <w:spacing w:before="40" w:after="52" w:line="240" w:lineRule="exact"/>
    </w:pPr>
    <w:rPr>
      <w:sz w:val="20"/>
    </w:rPr>
  </w:style>
  <w:style w:type="paragraph" w:customStyle="1" w:styleId="Received">
    <w:name w:val="Received"/>
    <w:basedOn w:val="Affilation"/>
    <w:rsid w:val="00C65517"/>
    <w:pPr>
      <w:spacing w:before="0" w:after="294"/>
    </w:pPr>
    <w:rPr>
      <w:sz w:val="16"/>
    </w:rPr>
  </w:style>
  <w:style w:type="paragraph" w:customStyle="1" w:styleId="AbstractHead">
    <w:name w:val="Abstract Head"/>
    <w:rsid w:val="00C65517"/>
    <w:pPr>
      <w:spacing w:before="210" w:after="10" w:line="220" w:lineRule="exact"/>
      <w:jc w:val="both"/>
    </w:pPr>
    <w:rPr>
      <w:rFonts w:ascii="Helvetica" w:eastAsia="Times New Roman" w:hAnsi="Helvetica" w:cs="Times New Roman"/>
      <w:b/>
      <w:caps/>
      <w:sz w:val="16"/>
      <w:szCs w:val="20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6551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65517"/>
    <w:rPr>
      <w:rFonts w:ascii="Tahoma" w:hAnsi="Tahoma" w:cs="Tahoma"/>
      <w:sz w:val="16"/>
      <w:szCs w:val="16"/>
    </w:rPr>
  </w:style>
  <w:style w:type="paragraph" w:styleId="NoSpacing">
    <w:name w:val="No Spacing"/>
    <w:uiPriority w:val="1"/>
    <w:qFormat/>
    <w:rsid w:val="00AE0022"/>
    <w:pPr>
      <w:spacing w:after="0" w:line="240" w:lineRule="auto"/>
    </w:pPr>
  </w:style>
  <w:style w:type="paragraph" w:styleId="Caption">
    <w:name w:val="caption"/>
    <w:basedOn w:val="Normal"/>
    <w:next w:val="Normal"/>
    <w:uiPriority w:val="35"/>
    <w:unhideWhenUsed/>
    <w:qFormat/>
    <w:rsid w:val="00B01D9E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4291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emf"/><Relationship Id="rId13" Type="http://schemas.openxmlformats.org/officeDocument/2006/relationships/image" Target="media/image9.emf"/><Relationship Id="rId18" Type="http://schemas.openxmlformats.org/officeDocument/2006/relationships/image" Target="media/image14.emf"/><Relationship Id="rId26" Type="http://schemas.openxmlformats.org/officeDocument/2006/relationships/image" Target="media/image22.emf"/><Relationship Id="rId3" Type="http://schemas.openxmlformats.org/officeDocument/2006/relationships/settings" Target="settings.xml"/><Relationship Id="rId21" Type="http://schemas.openxmlformats.org/officeDocument/2006/relationships/image" Target="media/image17.emf"/><Relationship Id="rId7" Type="http://schemas.openxmlformats.org/officeDocument/2006/relationships/image" Target="media/image3.emf"/><Relationship Id="rId12" Type="http://schemas.openxmlformats.org/officeDocument/2006/relationships/image" Target="media/image8.emf"/><Relationship Id="rId17" Type="http://schemas.openxmlformats.org/officeDocument/2006/relationships/image" Target="media/image13.emf"/><Relationship Id="rId25" Type="http://schemas.openxmlformats.org/officeDocument/2006/relationships/image" Target="media/image21.emf"/><Relationship Id="rId2" Type="http://schemas.microsoft.com/office/2007/relationships/stylesWithEffects" Target="stylesWithEffects.xml"/><Relationship Id="rId16" Type="http://schemas.openxmlformats.org/officeDocument/2006/relationships/image" Target="media/image12.emf"/><Relationship Id="rId20" Type="http://schemas.openxmlformats.org/officeDocument/2006/relationships/image" Target="media/image16.emf"/><Relationship Id="rId1" Type="http://schemas.openxmlformats.org/officeDocument/2006/relationships/styles" Target="styles.xml"/><Relationship Id="rId6" Type="http://schemas.openxmlformats.org/officeDocument/2006/relationships/image" Target="media/image2.emf"/><Relationship Id="rId11" Type="http://schemas.openxmlformats.org/officeDocument/2006/relationships/image" Target="media/image7.emf"/><Relationship Id="rId24" Type="http://schemas.openxmlformats.org/officeDocument/2006/relationships/image" Target="media/image20.emf"/><Relationship Id="rId5" Type="http://schemas.openxmlformats.org/officeDocument/2006/relationships/image" Target="media/image1.emf"/><Relationship Id="rId15" Type="http://schemas.openxmlformats.org/officeDocument/2006/relationships/image" Target="media/image11.emf"/><Relationship Id="rId23" Type="http://schemas.openxmlformats.org/officeDocument/2006/relationships/image" Target="media/image19.emf"/><Relationship Id="rId28" Type="http://schemas.openxmlformats.org/officeDocument/2006/relationships/theme" Target="theme/theme1.xml"/><Relationship Id="rId10" Type="http://schemas.openxmlformats.org/officeDocument/2006/relationships/image" Target="media/image6.emf"/><Relationship Id="rId19" Type="http://schemas.openxmlformats.org/officeDocument/2006/relationships/image" Target="media/image15.emf"/><Relationship Id="rId4" Type="http://schemas.openxmlformats.org/officeDocument/2006/relationships/webSettings" Target="webSettings.xml"/><Relationship Id="rId9" Type="http://schemas.openxmlformats.org/officeDocument/2006/relationships/image" Target="media/image5.emf"/><Relationship Id="rId14" Type="http://schemas.openxmlformats.org/officeDocument/2006/relationships/image" Target="media/image10.emf"/><Relationship Id="rId22" Type="http://schemas.openxmlformats.org/officeDocument/2006/relationships/image" Target="media/image18.emf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355</TotalTime>
  <Pages>8</Pages>
  <Words>1183</Words>
  <Characters>6745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of Colorado</Company>
  <LinksUpToDate>false</LinksUpToDate>
  <CharactersWithSpaces>7913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Vicky</dc:creator>
  <cp:lastModifiedBy>Vicky</cp:lastModifiedBy>
  <cp:revision>3</cp:revision>
  <dcterms:created xsi:type="dcterms:W3CDTF">2014-05-08T19:56:00Z</dcterms:created>
  <dcterms:modified xsi:type="dcterms:W3CDTF">2014-05-09T02:25:00Z</dcterms:modified>
</cp:coreProperties>
</file>