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POSITIONING BRIEF</w:t>
      </w:r>
    </w:p>
    <w:p>
      <w:pPr>
        <w:spacing w:after="80"/>
      </w:pPr>
      <w:r>
        <w:rPr>
          <w:rFonts w:ascii="Arial" w:cs="Arial" w:eastAsia="Arial" w:hAnsi="Arial"/>
          <w:sz w:val="28"/>
          <w:szCs w:val="28"/>
        </w:rPr>
        <w:t xml:space="preserve">Mike de la Cruz</w:t>
      </w:r>
    </w:p>
    <w:p>
      <w:pPr>
        <w:spacing w:after="200"/>
      </w:pPr>
      <w:r>
        <w:rPr>
          <w:rFonts w:ascii="Arial" w:cs="Arial" w:eastAsia="Arial" w:hAnsi="Arial"/>
          <w:color w:val="666666"/>
          <w:sz w:val="22"/>
          <w:szCs w:val="22"/>
        </w:rPr>
        <w:t xml:space="preserve">Draft — March 2026</w:t>
      </w:r>
    </w:p>
    <w:p>
      <w:pPr>
        <w:pBdr>
          <w:bottom w:val="single" w:color="000000" w:sz="6" w:space="1"/>
        </w:pBdr>
        <w:spacing w:after="400"/>
      </w:pPr>
    </w:p>
    <w:p>
      <w:pPr>
        <w:pStyle w:val="Heading1"/>
      </w:pPr>
      <w:r>
        <w:t xml:space="preserve">1. The Specific Company I Fix</w:t>
      </w:r>
    </w:p>
    <w:p>
      <w:pPr>
        <w:spacing w:after="200"/>
      </w:pPr>
      <w:r>
        <w:rPr>
          <w:sz w:val="24"/>
          <w:szCs w:val="24"/>
        </w:rPr>
        <w:t xml:space="preserve">I fix PE-backed and growth-stage B2B vertical SaaS companies in the $10M–$75M revenue range that have built working AI but have not converted it into durable financial performance.</w:t>
      </w:r>
    </w:p>
    <w:p>
      <w:pPr>
        <w:spacing w:after="200"/>
      </w:pPr>
      <w:r>
        <w:rPr>
          <w:sz w:val="24"/>
          <w:szCs w:val="24"/>
        </w:rPr>
        <w:t xml:space="preserve">These are not early-stage AI experiments. The technology works. The product has customers. But the commercial infrastructure—pricing, packaging, go-to-market, operating cadence—was built for the old SaaS model and has not been rebuilt for AI delivery. The company is stuck between two identities: a SaaS company that added AI features and an AI company that has not yet figured out how to monetize what it built.</w:t>
      </w:r>
    </w:p>
    <w:p>
      <w:pPr>
        <w:spacing w:after="200"/>
      </w:pPr>
      <w:r>
        <w:rPr>
          <w:sz w:val="24"/>
          <w:szCs w:val="24"/>
        </w:rPr>
        <w:t xml:space="preserve">The profile is consistent. B2B. Vertical. Serving mid-market or enterprise customers in workflows where AI can move a measurable line on the customer’s P&amp;L. Customer experience, support automation, and service delivery are the verticals I know best, but the pattern applies anywhere AI replaces labor-intensive workflow steps with outcome-based delivery.</w:t>
      </w:r>
    </w:p>
    <w:p>
      <w:pPr>
        <w:spacing w:after="200"/>
      </w:pPr>
      <w:r>
        <w:rPr>
          <w:sz w:val="24"/>
          <w:szCs w:val="24"/>
        </w:rPr>
        <w:t xml:space="preserve">The typical company has somewhere between 50 and 300 employees, a founder or management team that built the original SaaS business, and a board or PE sponsor that is asking hard questions about when the AI investment starts showing up in the numbers.</w:t>
      </w:r>
    </w:p>
    <w:p>
      <w:pPr>
        <w:pStyle w:val="Heading1"/>
      </w:pPr>
      <w:r>
        <w:t xml:space="preserve">2. The Specific Problem at Entry</w:t>
      </w:r>
    </w:p>
    <w:p>
      <w:pPr>
        <w:spacing w:after="200"/>
      </w:pPr>
      <w:r>
        <w:rPr>
          <w:b/>
          <w:bCs/>
          <w:sz w:val="24"/>
          <w:szCs w:val="24"/>
        </w:rPr>
        <w:t xml:space="preserve">The AI works but the business model doesn’t.</w:t>
      </w:r>
    </w:p>
    <w:p>
      <w:pPr>
        <w:spacing w:after="200"/>
      </w:pPr>
      <w:r>
        <w:rPr>
          <w:sz w:val="24"/>
          <w:szCs w:val="24"/>
        </w:rPr>
        <w:t xml:space="preserve">At entry, the company has proven AI capability—maybe an agent, maybe an automation layer, maybe an AI-augmented workflow—that demonstrably solves a customer problem. But the financial results have not followed. Growth has stalled or slowed. Margins are flat or compressing. The AI is live but it is not showing up in ARR growth, EBITDA expansion, or valuation multiples.</w:t>
      </w:r>
    </w:p>
    <w:p>
      <w:pPr>
        <w:spacing w:after="200"/>
      </w:pPr>
      <w:r>
        <w:rPr>
          <w:sz w:val="24"/>
          <w:szCs w:val="24"/>
        </w:rPr>
        <w:t xml:space="preserve">The root cause is almost always the same: the company is trying to sell AI through a SaaS commercial model. Seat-based pricing on something that eliminates seats. Nine-month enterprise sales cycles on something that can prove value in 60 days. An 18-product portfolio when the AI only needs one workflow to deliver measurable customer ROI. The operating model is the bottleneck, not the technology.</w:t>
      </w:r>
    </w:p>
    <w:p>
      <w:pPr>
        <w:spacing w:after="200"/>
      </w:pPr>
      <w:r>
        <w:rPr>
          <w:sz w:val="24"/>
          <w:szCs w:val="24"/>
        </w:rPr>
        <w:t xml:space="preserve">From a PE perspective, this is a portfolio company where the thesis around AI-driven value creation is intact but the execution layer—commercial infrastructure, pricing architecture, GTM motion, and operating cadence—needs to be rebuilt by someone who has done it before. The management team built a good SaaS company. They have not yet built the AI company that replaces it.</w:t>
      </w:r>
    </w:p>
    <w:p>
      <w:r>
        <w:br w:type="page"/>
      </w:r>
    </w:p>
    <w:p>
      <w:pPr>
        <w:pStyle w:val="Heading1"/>
      </w:pPr>
      <w:r>
        <w:t xml:space="preserve">3. The Measurable Outcome in the First 12 Months</w:t>
      </w:r>
    </w:p>
    <w:p>
      <w:pPr>
        <w:spacing w:after="200"/>
      </w:pPr>
      <w:r>
        <w:rPr>
          <w:sz w:val="24"/>
          <w:szCs w:val="24"/>
        </w:rPr>
        <w:t xml:space="preserve">Within the first 12 months, the company should show clear, measurable progress across three financial dimensions:</w:t>
      </w:r>
    </w:p>
    <w:p>
      <w:pPr>
        <w:spacing w:after="200"/>
      </w:pPr>
      <w:r>
        <w:rPr>
          <w:b/>
          <w:bCs/>
          <w:sz w:val="24"/>
          <w:szCs w:val="24"/>
        </w:rPr>
        <w:t xml:space="preserve">EBITDA: </w:t>
      </w:r>
      <w:r>
        <w:rPr>
          <w:sz w:val="24"/>
          <w:szCs w:val="24"/>
        </w:rPr>
        <w:t xml:space="preserve">Target 15–25% EBITDA margin from a restructured cost base and improved revenue quality. At Directly, I took the company from burning $1.2M per month to 22% EBITDA margin, expanding to 31% at exit. The lever is not just cost cutting—it is rationalizing low-margin accounts, rebuilding pricing to capture AI value, and aligning delivery costs to outcome-based economics.</w:t>
      </w:r>
    </w:p>
    <w:p>
      <w:pPr>
        <w:spacing w:after="200"/>
      </w:pPr>
      <w:r>
        <w:rPr>
          <w:b/>
          <w:bCs/>
          <w:sz w:val="24"/>
          <w:szCs w:val="24"/>
        </w:rPr>
        <w:t xml:space="preserve">ARR: </w:t>
      </w:r>
      <w:r>
        <w:rPr>
          <w:sz w:val="24"/>
          <w:szCs w:val="24"/>
        </w:rPr>
        <w:t xml:space="preserve">Target measurable AI-sourced ARR as a discrete, growing line item. At iAdvize, AI revenue went from $0 to $10M+ ARR in 24 months and overtook legacy SaaS revenue. The first 12 months should establish the AI revenue trajectory, compress sales cycles, and prove that the new commercial model converts. Trial-to-paid conversion should improve materially—at iAdvize it tripled in the first cohorts.</w:t>
      </w:r>
    </w:p>
    <w:p>
      <w:pPr>
        <w:spacing w:after="200"/>
      </w:pPr>
      <w:r>
        <w:rPr>
          <w:b/>
          <w:bCs/>
          <w:sz w:val="24"/>
          <w:szCs w:val="24"/>
        </w:rPr>
        <w:t xml:space="preserve">Exit Readiness: </w:t>
      </w:r>
      <w:r>
        <w:rPr>
          <w:sz w:val="24"/>
          <w:szCs w:val="24"/>
        </w:rPr>
        <w:t xml:space="preserve">The company should be positioned for a credible exit or recapitalization conversation within 18–24 months. That means clean AI revenue attribution, a durable margin profile, a defensible pricing model anchored to customer outcomes, and a narrative a buyer can underwrite. At Directly, I led the full exit process—advisor selection, diligence, negotiation, board coordination—resulting in an asset sale to a PE-backed portfolio company.</w:t>
      </w:r>
    </w:p>
    <w:p>
      <w:pPr>
        <w:pStyle w:val="Heading1"/>
      </w:pPr>
      <w:r>
        <w:t xml:space="preserve">4. The Playbook</w:t>
      </w:r>
    </w:p>
    <w:p>
      <w:pPr>
        <w:spacing w:after="200"/>
      </w:pPr>
      <w:r>
        <w:rPr>
          <w:sz w:val="24"/>
          <w:szCs w:val="24"/>
        </w:rPr>
        <w:t xml:space="preserve">The playbook has five steps. I have run it twice. The sequence matters.</w:t>
      </w:r>
    </w:p>
    <w:p>
      <w:pPr>
        <w:spacing w:after="200"/>
      </w:pPr>
      <w:r>
        <w:rPr>
          <w:b/>
          <w:bCs/>
          <w:sz w:val="24"/>
          <w:szCs w:val="24"/>
        </w:rPr>
        <w:t xml:space="preserve">Step 1: Concentrate into one load-bearing workflow. </w:t>
      </w:r>
      <w:r>
        <w:rPr>
          <w:sz w:val="24"/>
          <w:szCs w:val="24"/>
        </w:rPr>
        <w:t xml:space="preserve">Stop trying to be an AI platform. Identify the single customer workflow where AI delivers measurable P&amp;L impact and collapse the portfolio around it. At iAdvize, we went from 18 products to 2. At Directly, we focused Instant Answers on the one resolution workflow that could be priced per outcome.</w:t>
      </w:r>
    </w:p>
    <w:p>
      <w:pPr>
        <w:spacing w:after="200"/>
      </w:pPr>
      <w:r>
        <w:rPr>
          <w:b/>
          <w:bCs/>
          <w:sz w:val="24"/>
          <w:szCs w:val="24"/>
        </w:rPr>
        <w:t xml:space="preserve">Step 2: Anchor AI to customer EBITDA. </w:t>
      </w:r>
      <w:r>
        <w:rPr>
          <w:sz w:val="24"/>
          <w:szCs w:val="24"/>
        </w:rPr>
        <w:t xml:space="preserve">The AI must move a line on the customer’s P&amp;L or it will not renew. This is the test for everything: product roadmap, pricing, sales messaging, success metrics. If it does not hit customer EBITDA, it is a feature, not a business.</w:t>
      </w:r>
    </w:p>
    <w:p>
      <w:pPr>
        <w:spacing w:after="200"/>
      </w:pPr>
      <w:r>
        <w:rPr>
          <w:b/>
          <w:bCs/>
          <w:sz w:val="24"/>
          <w:szCs w:val="24"/>
        </w:rPr>
        <w:t xml:space="preserve">Step 3: Price the outcome, not your target margin. </w:t>
      </w:r>
      <w:r>
        <w:rPr>
          <w:sz w:val="24"/>
          <w:szCs w:val="24"/>
        </w:rPr>
        <w:t xml:space="preserve">Move from seat-based or subscription pricing to consumption or outcome-based pricing that captures a share of the value AI creates. At Directly, we moved to per-resolution pricing. At iAdvize, consumption-based pricing. The destination is outcome pricing. Usage pricing is the bridge.</w:t>
      </w:r>
    </w:p>
    <w:p>
      <w:pPr>
        <w:spacing w:after="200"/>
      </w:pPr>
      <w:r>
        <w:rPr>
          <w:b/>
          <w:bCs/>
          <w:sz w:val="24"/>
          <w:szCs w:val="24"/>
        </w:rPr>
        <w:t xml:space="preserve">Step 4: Deliver first, then scale the contract. </w:t>
      </w:r>
      <w:r>
        <w:rPr>
          <w:sz w:val="24"/>
          <w:szCs w:val="24"/>
        </w:rPr>
        <w:t xml:space="preserve">AI customers expect proof before commitment. Rebuild the GTM motion around fast proof-of-value, then expand. This is how we compressed iAdvize’s sales cycle from 9 months to 60 days.</w:t>
      </w:r>
    </w:p>
    <w:p>
      <w:pPr>
        <w:spacing w:after="200"/>
      </w:pPr>
      <w:r>
        <w:rPr>
          <w:b/>
          <w:bCs/>
          <w:sz w:val="24"/>
          <w:szCs w:val="24"/>
        </w:rPr>
        <w:t xml:space="preserve">Step 5: Run on AI performance metrics weekly. </w:t>
      </w:r>
      <w:r>
        <w:rPr>
          <w:sz w:val="24"/>
          <w:szCs w:val="24"/>
        </w:rPr>
        <w:t xml:space="preserve">Replace quarterly business reviews with a weekly operating cadence built around five numbers: AI resolution rate, customer EBITDA impact, consumption growth, revenue quality, and margin trajectory. This is how you see problems at week 3, not quarter 3.</w:t>
      </w:r>
    </w:p>
    <w:p>
      <w:r>
        <w:br w:type="page"/>
      </w:r>
    </w:p>
    <w:p>
      <w:pPr>
        <w:pStyle w:val="Heading1"/>
      </w:pPr>
      <w:r>
        <w:t xml:space="preserve">5. Three Proof Points</w:t>
      </w:r>
    </w:p>
    <w:p>
      <w:pPr>
        <w:spacing w:after="120"/>
      </w:pPr>
      <w:r>
        <w:rPr>
          <w:b/>
          <w:bCs/>
          <w:sz w:val="24"/>
          <w:szCs w:val="24"/>
        </w:rPr>
        <w:t xml:space="preserve">Proof Point 1: Directly — CEO, PE Exit</w:t>
      </w:r>
    </w:p>
    <w:p>
      <w:pPr>
        <w:spacing w:after="200"/>
      </w:pPr>
      <w:r>
        <w:rPr>
          <w:sz w:val="24"/>
          <w:szCs w:val="24"/>
        </w:rPr>
        <w:t xml:space="preserve">Joined as CBO, grew ARR from $3.7M to $8M+ through revenue quality improvement and enterprise account expansion. Promoted to CEO when the company’s obligations exceeded its cash and monthly burn hit $1.2M. Raised funding 19 days after the pandemic was declared. Led the full re-founding as CEO: rebuilt cost architecture, rationalized low-margin accounts, shifted to per-resolution AI pricing. Sustained 22%+ EBITDA margin, expanding to 31% at exit. The Instant Answers AI drove roughly 50% of EBITDA at exit. Led the complete exit process—advisor selection, diligence, negotiation, and board coordination—culminating in an asset sale to a PE-backed portfolio company. Enterprise customers included Microsoft, Airbnb, AT&amp;T, and SAP.</w:t>
      </w:r>
    </w:p>
    <w:p>
      <w:pPr>
        <w:spacing w:after="120"/>
      </w:pPr>
      <w:r>
        <w:rPr>
          <w:b/>
          <w:bCs/>
          <w:sz w:val="24"/>
          <w:szCs w:val="24"/>
        </w:rPr>
        <w:t xml:space="preserve">Proof Point 2: iAdvize — AI Re-founding, $0 to $10M+ AI ARR</w:t>
      </w:r>
    </w:p>
    <w:p>
      <w:pPr>
        <w:spacing w:after="200"/>
      </w:pPr>
      <w:r>
        <w:rPr>
          <w:sz w:val="24"/>
          <w:szCs w:val="24"/>
        </w:rPr>
        <w:t xml:space="preserve">Led the re-founding alongside the CEO. The company was a 360-degree CX platform with 18 products positioned as everything to everyone. Collapsed the portfolio to two: one vertical AI agent for e-commerce and one SaaS add-on. Built AI revenue from $0 to $10M+ ARR in 24 months. The AI revenue overtook legacy SaaS. Compressed acquisition cycles from roughly 9 months to 60 days. Trial-to-paid conversion tripled in the first cohorts. Rebuilt the entire commercial model around consumption-based AI pricing.</w:t>
      </w:r>
    </w:p>
    <w:p>
      <w:pPr>
        <w:spacing w:after="120"/>
      </w:pPr>
      <w:r>
        <w:rPr>
          <w:b/>
          <w:bCs/>
          <w:sz w:val="24"/>
          <w:szCs w:val="24"/>
        </w:rPr>
        <w:t xml:space="preserve">Proof Point 3: The Pattern</w:t>
      </w:r>
    </w:p>
    <w:p>
      <w:pPr>
        <w:spacing w:after="200"/>
      </w:pPr>
      <w:r>
        <w:rPr>
          <w:sz w:val="24"/>
          <w:szCs w:val="24"/>
        </w:rPr>
        <w:t xml:space="preserve">Two different companies. Two different boards. Two different markets. Same problem: the AI worked before the commercial model did. Same playbook: concentrate the portfolio, anchor to customer EBITDA, reprice for outcomes, rebuild GTM for proof-first delivery, run a weekly operating cadence. Same result: AI showed up in EBITDA. This is not a framework I theorize about. It is a playbook I have executed under live operating pressure, twice, with board-level accountability and real financial outcomes.</w:t>
      </w:r>
    </w:p>
    <w:p>
      <w:pPr>
        <w:pBdr>
          <w:top w:val="single" w:color="000000" w:sz="6" w:space="1"/>
        </w:pBdr>
        <w:spacing w:before="400"/>
      </w:pPr>
    </w:p>
    <w:p>
      <w:pPr>
        <w:spacing w:after="200" w:before="200"/>
      </w:pPr>
      <w:r>
        <w:rPr>
          <w:i/>
          <w:iCs/>
          <w:color w:val="666666"/>
          <w:sz w:val="24"/>
          <w:szCs w:val="24"/>
        </w:rPr>
        <w:t xml:space="preserve">This is a rough draft. The bio, case studies, site copy, and LinkedIn positioning all flow from this document. Nothing else gets finalized until this is right.</w:t>
      </w:r>
    </w:p>
    <w:p>
      <w:pPr>
        <w:spacing w:after="100"/>
      </w:pPr>
      <w:r>
        <w:rPr>
          <w:b/>
          <w:bCs/>
          <w:sz w:val="24"/>
          <w:szCs w:val="24"/>
        </w:rPr>
        <w:t xml:space="preserve">Mike de la Cruz</w:t>
      </w:r>
    </w:p>
    <w:p>
      <w:r>
        <w:rPr>
          <w:sz w:val="24"/>
          <w:szCs w:val="24"/>
        </w:rPr>
        <w:t xml:space="preserve">mike@mikedelacruz.com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2026-03-23T11:49:45.531Z</dcterms:created>
  <dcterms:modified xsi:type="dcterms:W3CDTF">2026-03-23T11:49:45.531Z</dcterms:modified>
</cp:coreProperties>
</file>

<file path=docProps/custom.xml><?xml version="1.0" encoding="utf-8"?>
<Properties xmlns="http://schemas.openxmlformats.org/officeDocument/2006/custom-properties" xmlns:vt="http://schemas.openxmlformats.org/officeDocument/2006/docPropsVTypes"/>
</file>