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36"/>
          <w:szCs w:val="36"/>
        </w:rPr>
        <w:t xml:space="preserve">POSITIONING BRIEF</w:t>
      </w:r>
    </w:p>
    <w:p>
      <w:pPr>
        <w:spacing w:after="80"/>
      </w:pPr>
      <w:r>
        <w:rPr>
          <w:rFonts w:ascii="Arial" w:cs="Arial" w:eastAsia="Arial" w:hAnsi="Arial"/>
          <w:sz w:val="28"/>
          <w:szCs w:val="28"/>
        </w:rPr>
        <w:t xml:space="preserve">Mike de la Cruz</w:t>
      </w:r>
    </w:p>
    <w:p>
      <w:pPr>
        <w:spacing w:after="80"/>
      </w:pPr>
      <w:r>
        <w:rPr>
          <w:rFonts w:ascii="Arial" w:cs="Arial" w:eastAsia="Arial" w:hAnsi="Arial"/>
          <w:color w:val="333333"/>
          <w:sz w:val="24"/>
          <w:szCs w:val="24"/>
        </w:rPr>
        <w:t xml:space="preserve">B2B Vertical SaaS CEO | AI → EBITDA</w:t>
      </w:r>
    </w:p>
    <w:p>
      <w:pPr>
        <w:spacing w:after="200"/>
      </w:pPr>
      <w:r>
        <w:rPr>
          <w:rFonts w:ascii="Arial" w:cs="Arial" w:eastAsia="Arial" w:hAnsi="Arial"/>
          <w:color w:val="666666"/>
          <w:sz w:val="22"/>
          <w:szCs w:val="22"/>
        </w:rPr>
        <w:t xml:space="preserve">Draft — March 23, 2026</w:t>
      </w:r>
    </w:p>
    <w:p>
      <w:pPr>
        <w:pBdr>
          <w:bottom w:val="single" w:color="000000" w:sz="6" w:space="1"/>
        </w:pBdr>
        <w:spacing w:after="400"/>
      </w:pPr>
    </w:p>
    <w:p>
      <w:pPr>
        <w:pStyle w:val="Heading1"/>
      </w:pPr>
      <w:r>
        <w:t xml:space="preserve">1. The Specific Company I Fix</w:t>
      </w:r>
    </w:p>
    <w:p>
      <w:pPr>
        <w:spacing w:after="200"/>
      </w:pPr>
      <w:r>
        <w:rPr>
          <w:sz w:val="24"/>
          <w:szCs w:val="24"/>
        </w:rPr>
        <w:t xml:space="preserve">PE-backed and growth-stage B2B vertical SaaS companies in the $10M–$75M revenue range that have built working AI but have not converted it into financial performance.</w:t>
      </w:r>
    </w:p>
    <w:p>
      <w:pPr>
        <w:spacing w:after="200"/>
      </w:pPr>
      <w:r>
        <w:rPr>
          <w:sz w:val="24"/>
          <w:szCs w:val="24"/>
        </w:rPr>
        <w:t xml:space="preserve">These are SaaS companies with real customers and working AI. But the commercial infrastructure was built for the SaaS model and is in the way of AI growth.</w:t>
      </w:r>
    </w:p>
    <w:p>
      <w:pPr>
        <w:spacing w:after="200"/>
      </w:pPr>
      <w:r>
        <w:rPr>
          <w:sz w:val="24"/>
          <w:szCs w:val="24"/>
        </w:rPr>
        <w:t xml:space="preserve">The company is stuck between two identities: a SaaS company that added AI features and an AI company that has not yet figured out how to turn what it’s built into a valuable company.</w:t>
      </w:r>
    </w:p>
    <w:p>
      <w:pPr>
        <w:spacing w:after="100"/>
      </w:pPr>
      <w:r>
        <w:rPr>
          <w:sz w:val="24"/>
          <w:szCs w:val="24"/>
        </w:rPr>
        <w:t xml:space="preserve">The profile is consistent. B2B SaaS. Vertical.</w:t>
      </w:r>
    </w:p>
    <w:p>
      <w:pPr>
        <w:spacing w:after="100"/>
        <w:ind w:left="360"/>
      </w:pPr>
      <w:r>
        <w:rPr>
          <w:sz w:val="24"/>
          <w:szCs w:val="24"/>
        </w:rPr>
        <w:t xml:space="preserve">Serving mid-market or enterprise customers in workflows where AI can move a measurable line on the customer’s P&amp;L.</w:t>
      </w:r>
    </w:p>
    <w:p>
      <w:pPr>
        <w:spacing w:after="100"/>
        <w:ind w:left="360"/>
      </w:pPr>
      <w:r>
        <w:rPr>
          <w:b/>
          <w:bCs/>
          <w:sz w:val="24"/>
          <w:szCs w:val="24"/>
        </w:rPr>
        <w:t xml:space="preserve">Verticals: </w:t>
      </w:r>
      <w:r>
        <w:rPr>
          <w:sz w:val="24"/>
          <w:szCs w:val="24"/>
        </w:rPr>
        <w:t xml:space="preserve">Technology (Directly) and Retail (iAdvize) are the verticals I’ve worked deeply in most recently.</w:t>
      </w:r>
    </w:p>
    <w:p>
      <w:pPr>
        <w:spacing w:after="100"/>
        <w:ind w:left="360"/>
      </w:pPr>
      <w:r>
        <w:rPr>
          <w:b/>
          <w:bCs/>
          <w:sz w:val="24"/>
          <w:szCs w:val="24"/>
        </w:rPr>
        <w:t xml:space="preserve">Domains: </w:t>
      </w:r>
      <w:r>
        <w:rPr>
          <w:sz w:val="24"/>
          <w:szCs w:val="24"/>
        </w:rPr>
        <w:t xml:space="preserve">Customer experience, customer support, and e-commerce are the domains I know best.</w:t>
      </w:r>
    </w:p>
    <w:p>
      <w:pPr>
        <w:spacing w:after="200"/>
      </w:pPr>
      <w:r>
        <w:rPr>
          <w:sz w:val="24"/>
          <w:szCs w:val="24"/>
        </w:rPr>
        <w:t xml:space="preserve">But the pattern applies anywhere AI replaces labor-intensive workflow steps with outcome-based delivery.</w:t>
      </w:r>
    </w:p>
    <w:p>
      <w:pPr>
        <w:spacing w:after="200"/>
      </w:pPr>
      <w:r>
        <w:rPr>
          <w:sz w:val="24"/>
          <w:szCs w:val="24"/>
        </w:rPr>
        <w:t xml:space="preserve">The typical company has somewhere between 50–200 employees, a management team that built the original SaaS business, and a PE sponsor that is asking hard questions about when the AI investment starts showing up in the numbers and driving exit value (“AI → EBITDA”).</w:t>
      </w:r>
    </w:p>
    <w:p>
      <w:pPr>
        <w:pStyle w:val="Heading1"/>
      </w:pPr>
      <w:r>
        <w:t xml:space="preserve">2. The Specific Problem at Entry</w:t>
      </w:r>
    </w:p>
    <w:p>
      <w:pPr>
        <w:spacing w:after="200"/>
      </w:pPr>
      <w:r>
        <w:rPr>
          <w:sz w:val="24"/>
          <w:szCs w:val="24"/>
        </w:rPr>
        <w:t xml:space="preserve">The company has a SaaS product but SaaS growth has stalled or is declining. It is beginning to compete with AI-native competitors.</w:t>
      </w:r>
    </w:p>
    <w:p>
      <w:pPr>
        <w:spacing w:after="200"/>
      </w:pPr>
      <w:r>
        <w:rPr>
          <w:sz w:val="24"/>
          <w:szCs w:val="24"/>
        </w:rPr>
        <w:t xml:space="preserve">At entry, the company has proven AI capability—an agent, automation layer, AI-augmented workflow. But AI has not generated ARR growth and EBITDA margin expansion.</w:t>
      </w:r>
    </w:p>
    <w:p>
      <w:pPr>
        <w:spacing w:after="200"/>
      </w:pPr>
      <w:r>
        <w:rPr>
          <w:sz w:val="24"/>
          <w:szCs w:val="24"/>
        </w:rPr>
        <w:t xml:space="preserve">The commercial model is still SaaS. Seat-based pricing on something that eliminates seats. Nine-month enterprise sales cycles on something that can prove value in 60 days. A multi-product portfolio when the AI only needs one workflow to deliver measurable customer ROI. Pricing, GTM, and operating cadence haven’t been rebuilt for AI delivery. The operating model is the bottleneck.</w:t>
      </w:r>
    </w:p>
    <w:p>
      <w:pPr>
        <w:spacing w:after="200"/>
      </w:pPr>
      <w:r>
        <w:rPr>
          <w:sz w:val="24"/>
          <w:szCs w:val="24"/>
        </w:rPr>
        <w:t xml:space="preserve">From a PE perspective, this is a portfolio company where the thesis around AI-driven value creation is intact but the execution layer—commercial infrastructure, pricing architecture, GTM motion, and operating cadence—needs an operator who has done it before. I go in as CEO. Collapse the portfolio. Reset GTM. Convert AI to EBITDA.</w:t>
      </w:r>
    </w:p>
    <w:p>
      <w:r>
        <w:br w:type="page"/>
      </w:r>
    </w:p>
    <w:p>
      <w:pPr>
        <w:pStyle w:val="Heading1"/>
      </w:pPr>
      <w:r>
        <w:t xml:space="preserve">3. The Measurable Outcome in the First 12 Months</w:t>
      </w:r>
    </w:p>
    <w:p>
      <w:pPr>
        <w:spacing w:after="200"/>
      </w:pPr>
      <w:r>
        <w:rPr>
          <w:sz w:val="24"/>
          <w:szCs w:val="24"/>
        </w:rPr>
        <w:t xml:space="preserve">Within the first 12 months, the company should show clear, measurable progress across three financial dimensions:</w:t>
      </w:r>
    </w:p>
    <w:p>
      <w:pPr>
        <w:spacing w:after="200"/>
      </w:pPr>
      <w:r>
        <w:rPr>
          <w:b/>
          <w:bCs/>
          <w:sz w:val="24"/>
          <w:szCs w:val="24"/>
        </w:rPr>
        <w:t xml:space="preserve">AI ARR: </w:t>
      </w:r>
      <w:r>
        <w:rPr>
          <w:sz w:val="24"/>
          <w:szCs w:val="24"/>
        </w:rPr>
        <w:t xml:space="preserve">Target measurable AI-sourced ARR as a discrete, growing line item. At iAdvize, AI revenue went from $0 to $10M+ ARR in 24 months and overtook legacy SaaS revenue. The first 12 months should establish the AI revenue trajectory, compress sales cycles, and prove that the new commercial model converts. Trial-to-paid conversion should improve materially—at iAdvize it tripled in the first cohorts.</w:t>
      </w:r>
    </w:p>
    <w:p>
      <w:pPr>
        <w:spacing w:after="200"/>
      </w:pPr>
      <w:r>
        <w:rPr>
          <w:b/>
          <w:bCs/>
          <w:sz w:val="24"/>
          <w:szCs w:val="24"/>
        </w:rPr>
        <w:t xml:space="preserve">EBITDA: </w:t>
      </w:r>
      <w:r>
        <w:rPr>
          <w:sz w:val="24"/>
          <w:szCs w:val="24"/>
        </w:rPr>
        <w:t xml:space="preserve">Rationalized the SaaS asset to increase EBITDA margin in a declining business. Target AI EBITDA ~80% in 12 months from aligning pricing with customer EBITDA created and installing an operating cadence to drive the outcome. At Directly, I took EBITDA from negative to 22%+ and maintained that two years while we rationalized the account base. Revenue durability improved and EBITDA margins expanded to 31% at exit.</w:t>
      </w:r>
    </w:p>
    <w:p>
      <w:pPr>
        <w:spacing w:after="200"/>
      </w:pPr>
      <w:r>
        <w:rPr>
          <w:b/>
          <w:bCs/>
          <w:sz w:val="24"/>
          <w:szCs w:val="24"/>
        </w:rPr>
        <w:t xml:space="preserve">Exit Readiness: </w:t>
      </w:r>
      <w:r>
        <w:rPr>
          <w:sz w:val="24"/>
          <w:szCs w:val="24"/>
        </w:rPr>
        <w:t xml:space="preserve">The company should be positioned for a credible exit or recapitalization conversation within 18–24 months. That means clean AI revenue attribution, a durable margin profile, a defensible pricing model anchored to customer outcomes, and a narrative a buyer can underwrite. At Directly, I led the full exit process—advisor selection, diligence, negotiation, board coordination—resulting in an asset sale to a PE-backed portfolio company.</w:t>
      </w:r>
    </w:p>
    <w:p>
      <w:pPr>
        <w:pStyle w:val="Heading1"/>
      </w:pPr>
      <w:r>
        <w:t xml:space="preserve">4. The Playbook</w:t>
      </w:r>
    </w:p>
    <w:p>
      <w:pPr>
        <w:spacing w:after="200"/>
      </w:pPr>
      <w:r>
        <w:rPr>
          <w:sz w:val="24"/>
          <w:szCs w:val="24"/>
        </w:rPr>
        <w:t xml:space="preserve">The playbook has five steps. I have run it twice. The sequence matters.</w:t>
      </w:r>
    </w:p>
    <w:p>
      <w:pPr>
        <w:spacing w:after="200"/>
      </w:pPr>
      <w:r>
        <w:rPr>
          <w:b/>
          <w:bCs/>
          <w:sz w:val="24"/>
          <w:szCs w:val="24"/>
        </w:rPr>
        <w:t xml:space="preserve">Step 1: Concentrate into one load-bearing workflow. </w:t>
      </w:r>
      <w:r>
        <w:rPr>
          <w:sz w:val="24"/>
          <w:szCs w:val="24"/>
        </w:rPr>
        <w:t xml:space="preserve">Stop trying to be an AI platform. Identify the single customer workflow where AI delivers measurable P&amp;L impact and collapse the portfolio around it. At iAdvize, we went from 18 products to 2. At Directly, we focused Instant Answers on the one resolution workflow that could be priced per outcome.</w:t>
      </w:r>
    </w:p>
    <w:p>
      <w:pPr>
        <w:spacing w:after="200"/>
      </w:pPr>
      <w:r>
        <w:rPr>
          <w:b/>
          <w:bCs/>
          <w:sz w:val="24"/>
          <w:szCs w:val="24"/>
        </w:rPr>
        <w:t xml:space="preserve">Step 2: Anchor AI to customer EBITDA. </w:t>
      </w:r>
      <w:r>
        <w:rPr>
          <w:sz w:val="24"/>
          <w:szCs w:val="24"/>
        </w:rPr>
        <w:t xml:space="preserve">The AI must move a line on the customer’s P&amp;L or it will not renew. This is the test for everything: product roadmap, pricing, sales messaging, success metrics. If it does not hit customer EBITDA, it is a feature, not a business.</w:t>
      </w:r>
    </w:p>
    <w:p>
      <w:pPr>
        <w:spacing w:after="200"/>
      </w:pPr>
      <w:r>
        <w:rPr>
          <w:b/>
          <w:bCs/>
          <w:sz w:val="24"/>
          <w:szCs w:val="24"/>
        </w:rPr>
        <w:t xml:space="preserve">Step 3: Price the outcome, not your target margin. </w:t>
      </w:r>
      <w:r>
        <w:rPr>
          <w:sz w:val="24"/>
          <w:szCs w:val="24"/>
        </w:rPr>
        <w:t xml:space="preserve">Move from seat-based or subscription pricing to consumption or outcome-based pricing that captures a share of the value AI creates. At Directly, we moved to per-resolution pricing. At iAdvize, consumption-based pricing. The destination is outcome pricing. Usage pricing is the bridge.</w:t>
      </w:r>
    </w:p>
    <w:p>
      <w:pPr>
        <w:spacing w:after="200"/>
      </w:pPr>
      <w:r>
        <w:rPr>
          <w:b/>
          <w:bCs/>
          <w:sz w:val="24"/>
          <w:szCs w:val="24"/>
        </w:rPr>
        <w:t xml:space="preserve">Step 4: Deliver first, then scale the contract. </w:t>
      </w:r>
      <w:r>
        <w:rPr>
          <w:sz w:val="24"/>
          <w:szCs w:val="24"/>
        </w:rPr>
        <w:t xml:space="preserve">AI customers expect proof before commitment. Rebuild the GTM motion around fast proof-of-value, then expand. This is how we compressed iAdvize’s sales cycle from 9 months to 60 days.</w:t>
      </w:r>
    </w:p>
    <w:p>
      <w:pPr>
        <w:spacing w:after="200"/>
      </w:pPr>
      <w:r>
        <w:rPr>
          <w:b/>
          <w:bCs/>
          <w:sz w:val="24"/>
          <w:szCs w:val="24"/>
        </w:rPr>
        <w:t xml:space="preserve">Step 5: Run on AI performance metrics weekly. </w:t>
      </w:r>
      <w:r>
        <w:rPr>
          <w:sz w:val="24"/>
          <w:szCs w:val="24"/>
        </w:rPr>
        <w:t xml:space="preserve">Replace quarterly business reviews with a weekly operating cadence built around five numbers: AI resolution rate, customer EBITDA impact, consumption growth, revenue quality, and margin trajectory. This is how you see problems at week 3, not quarter 3.</w:t>
      </w:r>
    </w:p>
    <w:p>
      <w:r>
        <w:br w:type="page"/>
      </w:r>
    </w:p>
    <w:p>
      <w:pPr>
        <w:pStyle w:val="Heading1"/>
      </w:pPr>
      <w:r>
        <w:t xml:space="preserve">5. Three Proof Points</w:t>
      </w:r>
    </w:p>
    <w:p>
      <w:pPr>
        <w:spacing w:after="120"/>
      </w:pPr>
      <w:r>
        <w:rPr>
          <w:b/>
          <w:bCs/>
          <w:sz w:val="24"/>
          <w:szCs w:val="24"/>
        </w:rPr>
        <w:t xml:space="preserve">Proof Point 1: Directly — CEO, Exit (Asset Sale)</w:t>
      </w:r>
    </w:p>
    <w:p>
      <w:pPr>
        <w:spacing w:after="200"/>
      </w:pPr>
      <w:r>
        <w:rPr>
          <w:sz w:val="24"/>
          <w:szCs w:val="24"/>
        </w:rPr>
        <w:t xml:space="preserve">Directly was a vertical AI support platform serving Microsoft, Airbnb, AT&amp;T, and SAP. Grew ARR from $3.7M to $8M+ by rationalizing low-margin accounts and expanding enterprise accounts. Promoted to CEO when obligations exceeded cash and burn hit $1.2M per month. Raised funding 19 days after the pandemic was declared, then rebuilt the company around AI-first delivery. Instant Answers AI, built on pre-LLM intent-based technology, drove roughly 50% of EBITDA at exit.</w:t>
      </w:r>
    </w:p>
    <w:p>
      <w:pPr>
        <w:spacing w:after="200"/>
      </w:pPr>
      <w:r>
        <w:rPr>
          <w:b/>
          <w:bCs/>
          <w:sz w:val="24"/>
          <w:szCs w:val="24"/>
        </w:rPr>
        <w:t xml:space="preserve">Exit: </w:t>
      </w:r>
      <w:r>
        <w:rPr>
          <w:sz w:val="24"/>
          <w:szCs w:val="24"/>
        </w:rPr>
        <w:t xml:space="preserve">EBITDA margin reached 22%+ (and expanded to 31% at exit). Led the complete exit process as CEO, from advisor selection through diligence, negotiation, and board coordination. Asset sale to a PE-backed portfolio company.</w:t>
      </w:r>
    </w:p>
    <w:p>
      <w:pPr>
        <w:spacing w:after="120"/>
      </w:pPr>
      <w:r>
        <w:rPr>
          <w:b/>
          <w:bCs/>
          <w:sz w:val="24"/>
          <w:szCs w:val="24"/>
        </w:rPr>
        <w:t xml:space="preserve">Proof Point 2: iAdvize — AI Re-founding, $0 to $10M+ AI ARR</w:t>
      </w:r>
    </w:p>
    <w:p>
      <w:pPr>
        <w:spacing w:after="200"/>
      </w:pPr>
      <w:r>
        <w:rPr>
          <w:sz w:val="24"/>
          <w:szCs w:val="24"/>
        </w:rPr>
        <w:t xml:space="preserve">iAdvize was positioned as a 360-degree CX platform with 18 products. Re-founded the company by collapsing 18 products into one vertical AI agent for e-commerce. The portfolio became two: one AI agent and one SaaS product.</w:t>
      </w:r>
    </w:p>
    <w:p>
      <w:pPr>
        <w:spacing w:after="200"/>
      </w:pPr>
      <w:r>
        <w:rPr>
          <w:sz w:val="24"/>
          <w:szCs w:val="24"/>
        </w:rPr>
        <w:t xml:space="preserve">We focused the company on one AI agent for one high-value workflow. Onboarding compressed. Trial-to-paid conversion tripled in the first cohorts. AI revenue scaled from $0 to $10M+ ARR in 24 months and overtook SaaS.</w:t>
      </w:r>
    </w:p>
    <w:p>
      <w:pPr>
        <w:spacing w:after="120"/>
      </w:pPr>
      <w:r>
        <w:rPr>
          <w:b/>
          <w:bCs/>
          <w:sz w:val="24"/>
          <w:szCs w:val="24"/>
        </w:rPr>
        <w:t xml:space="preserve">Proof Point 3: HP Enterprise Services</w:t>
      </w:r>
    </w:p>
    <w:p>
      <w:pPr>
        <w:spacing w:after="200"/>
      </w:pPr>
      <w:r>
        <w:rPr>
          <w:i/>
          <w:iCs/>
          <w:sz w:val="24"/>
          <w:szCs w:val="24"/>
        </w:rPr>
        <w:t xml:space="preserve">VP, $250M P&amp;L, Margin Expansion at Scale</w:t>
      </w:r>
    </w:p>
    <w:p>
      <w:pPr>
        <w:spacing w:after="200"/>
      </w:pPr>
      <w:r>
        <w:rPr>
          <w:sz w:val="24"/>
          <w:szCs w:val="24"/>
        </w:rPr>
        <w:t xml:space="preserve">Vice President &amp; GM leading Global Delivery and Industry Solutions. Ran a $250M+ P&amp;L across a 15,000-person global organization.</w:t>
      </w:r>
    </w:p>
    <w:p>
      <w:pPr>
        <w:spacing w:after="200"/>
      </w:pPr>
      <w:r>
        <w:rPr>
          <w:sz w:val="24"/>
          <w:szCs w:val="24"/>
        </w:rPr>
        <w:t xml:space="preserve">The core problem was the same one I solve now at a smaller scale: a reset of the operating model. Removed $200M+ in cost from a $4B global services business.</w:t>
      </w:r>
    </w:p>
    <w:p>
      <w:pPr>
        <w:pStyle w:val="ListParagraph"/>
        <w:numPr>
          <w:ilvl w:val="0"/>
          <w:numId w:val="2"/>
        </w:numPr>
        <w:spacing w:after="200"/>
      </w:pPr>
      <w:r>
        <w:rPr>
          <w:sz w:val="24"/>
          <w:szCs w:val="24"/>
        </w:rPr>
        <w:t xml:space="preserve">Rationalized a fragmented vertical IP portfolio, reducing R&amp;D spend by $48M annually and reallocating capital to higher-return, margin-accretive offerings. Savings directly flowed to EBITDA. Investments supported profitable growth.</w:t>
      </w:r>
    </w:p>
    <w:p>
      <w:pPr>
        <w:pStyle w:val="ListParagraph"/>
        <w:numPr>
          <w:ilvl w:val="0"/>
          <w:numId w:val="2"/>
        </w:numPr>
        <w:spacing w:after="200"/>
      </w:pPr>
      <w:r>
        <w:rPr>
          <w:sz w:val="24"/>
          <w:szCs w:val="24"/>
        </w:rPr>
        <w:t xml:space="preserve">Drove lift-and-shift of onshore delivery work to industrialized offshore delivery plus automation. Removed $200M+ in structural cost from managed services contracts, flowing the savings to EBITDA.</w:t>
      </w:r>
    </w:p>
    <w:p>
      <w:pPr>
        <w:spacing w:after="200"/>
      </w:pPr>
      <w:r>
        <w:rPr>
          <w:sz w:val="24"/>
          <w:szCs w:val="24"/>
        </w:rPr>
        <w:t xml:space="preserve">This is where the operating discipline behind Directly and iAdvize comes from — running P&amp;L transformation at enterprise scale, with the same levers: portfolio rationalization, cost architecture, revenue quality, and operating cadence.</w:t>
      </w:r>
    </w:p>
    <w:p>
      <w:pPr>
        <w:spacing w:after="120"/>
      </w:pPr>
      <w:r>
        <w:rPr>
          <w:b/>
          <w:bCs/>
          <w:sz w:val="24"/>
          <w:szCs w:val="24"/>
        </w:rPr>
        <w:t xml:space="preserve">Proof Point X: Transferable Playbook </w:t>
      </w:r>
      <w:r>
        <w:rPr>
          <w:i/>
          <w:iCs/>
          <w:color w:val="666666"/>
          <w:sz w:val="24"/>
          <w:szCs w:val="24"/>
        </w:rPr>
        <w:t xml:space="preserve">(Optional)</w:t>
      </w:r>
    </w:p>
    <w:p>
      <w:pPr>
        <w:spacing w:after="200"/>
      </w:pPr>
      <w:r>
        <w:rPr>
          <w:sz w:val="24"/>
          <w:szCs w:val="24"/>
        </w:rPr>
        <w:t xml:space="preserve">The playbook from Directly and iAdvize is not institutional memory — it is a documented, published operating system. Five frameworks, each built in production and tested across both re-foundings: SaaS to AI Re-founding, The AI to EBITDA Playbook, How to Price AI Agents, The AI Commercial Model, and The AI Operating Cadence. Each framework maps directly to a stage of the conversion from working AI to durable EBITDA.</w:t>
      </w:r>
    </w:p>
    <w:p>
      <w:pPr>
        <w:spacing w:after="200"/>
      </w:pPr>
      <w:r>
        <w:rPr>
          <w:sz w:val="24"/>
          <w:szCs w:val="24"/>
        </w:rPr>
        <w:t xml:space="preserve">They are published at mikedelacruz.com/frameworks — not behind a gate, not in a pitch deck. A PE operating partner can read the full methodology before a first conversation. The system is transferable because it was designed to be transferred.</w:t>
      </w:r>
    </w:p>
    <w:p>
      <w:pPr>
        <w:pBdr>
          <w:top w:val="single" w:color="000000" w:sz="6" w:space="1"/>
        </w:pBdr>
        <w:spacing w:before="400"/>
      </w:pPr>
    </w:p>
    <w:p>
      <w:pPr>
        <w:spacing w:after="200" w:before="200"/>
      </w:pPr>
      <w:r>
        <w:rPr>
          <w:b/>
          <w:bCs/>
          <w:sz w:val="24"/>
          <w:szCs w:val="24"/>
        </w:rPr>
        <w:t xml:space="preserve">If your portfolio company has AI that isn’t yet showing up in EBITDA, I’ve solved that problem twice.</w:t>
      </w:r>
    </w:p>
    <w:p>
      <w:pPr>
        <w:spacing w:after="200"/>
      </w:pPr>
      <w:r>
        <w:rPr>
          <w:i/>
          <w:iCs/>
          <w:color w:val="666666"/>
          <w:sz w:val="24"/>
          <w:szCs w:val="24"/>
        </w:rPr>
        <w:t xml:space="preserve">The bio, case studies, site copy, and LinkedIn positioning all flow from this document.</w:t>
      </w:r>
    </w:p>
    <w:p>
      <w:pPr>
        <w:spacing w:after="100"/>
      </w:pPr>
      <w:r>
        <w:rPr>
          <w:b/>
          <w:bCs/>
          <w:sz w:val="24"/>
          <w:szCs w:val="24"/>
        </w:rPr>
        <w:t xml:space="preserve">Mike de la Cruz</w:t>
      </w:r>
    </w:p>
    <w:p>
      <w:r>
        <w:rPr>
          <w:sz w:val="24"/>
          <w:szCs w:val="24"/>
        </w:rPr>
        <w:t xml:space="preserve">mike@mikedelacruz.com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2026-03-23T16:13:54.496Z</dcterms:created>
  <dcterms:modified xsi:type="dcterms:W3CDTF">2026-03-23T16:13:54.496Z</dcterms:modified>
</cp:coreProperties>
</file>

<file path=docProps/custom.xml><?xml version="1.0" encoding="utf-8"?>
<Properties xmlns="http://schemas.openxmlformats.org/officeDocument/2006/custom-properties" xmlns:vt="http://schemas.openxmlformats.org/officeDocument/2006/docPropsVTypes"/>
</file>