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rPr>
          <w:rFonts w:ascii="Times New Roman" w:cs="Times New Roman" w:eastAsia="Times New Roman" w:hAnsi="Times New Roman"/>
          <w:b/>
          <w:bCs/>
          <w:sz w:val="24"/>
          <w:szCs w:val="24"/>
        </w:rPr>
        <w:t xml:space="preserve">Bodel und das Modell</w:t>
      </w:r>
    </w:p>
    <w:p>
      <w:pPr>
        <w:spacing w:after="240" w:line="240"/>
        <w:jc w:val="center"/>
      </w:pPr>
      <w:r>
        <w:rPr>
          <w:rFonts w:ascii="Times New Roman" w:cs="Times New Roman" w:eastAsia="Times New Roman" w:hAnsi="Times New Roman"/>
          <w:b/>
          <w:bCs/>
          <w:sz w:val="24"/>
          <w:szCs w:val="24"/>
        </w:rPr>
        <w:t xml:space="preserve">Gattung und Textgemeinschaften in der handschriftlichen Überlieferung französischer und deutscher Heldenerzählungen</w:t>
      </w:r>
      <w:r>
        <w:rPr>
          <w:rStyle w:val="FootnoteReference"/>
        </w:rPr>
        <w:footnoteReference w:id="1"/>
      </w:r>
    </w:p>
    <w:p>
      <w:pPr>
        <w:spacing w:after="360" w:line="240"/>
        <w:jc w:val="center"/>
      </w:pPr>
      <w:r>
        <w:rPr>
          <w:rFonts w:ascii="Times New Roman" w:cs="Times New Roman" w:eastAsia="Times New Roman" w:hAnsi="Times New Roman"/>
          <w:sz w:val="24"/>
          <w:szCs w:val="24"/>
        </w:rPr>
        <w:t xml:space="preserve">Elisabeth DE BRUIJN und Mike KESTEMONT</w:t>
      </w:r>
    </w:p>
    <w:p>
      <w:pPr>
        <w:keepNext/>
        <w:spacing w:after="120" w:before="240" w:line="240"/>
      </w:pPr>
      <w:r>
        <w:rPr>
          <w:rFonts w:ascii="Times New Roman" w:cs="Times New Roman" w:eastAsia="Times New Roman" w:hAnsi="Times New Roman"/>
          <w:b/>
          <w:bCs/>
          <w:sz w:val="24"/>
          <w:szCs w:val="24"/>
        </w:rPr>
        <w:t xml:space="preserve">Einführung</w:t>
      </w:r>
    </w:p>
    <w:p>
      <w:pPr>
        <w:spacing w:after="120" w:before="0" w:line="240"/>
        <w:jc w:val="both"/>
      </w:pPr>
      <w:r>
        <w:rPr>
          <w:rFonts w:ascii="Times New Roman" w:cs="Times New Roman" w:eastAsia="Times New Roman" w:hAnsi="Times New Roman"/>
          <w:sz w:val="24"/>
          <w:szCs w:val="24"/>
        </w:rPr>
        <w:t xml:space="preserve">In den vergangenen Jahrzehnten sind die materiellen Kontexte mittelalterlicher Textüberlieferung zunehmend in den Blick der mediävistischen Forschung gerückt (vgl. Nichols/Wenzel 1996; Busby 2002; Pratt et al. 2017). Während moderne Editionen mittelalterliche Werke in der Regel als eigenständige Texte präsentieren, waren sie für ihr ursprüngliches Publikum häufig Teil von Mehrtexthandschriften (</w:t>
      </w:r>
      <w:r>
        <w:rPr>
          <w:rFonts w:ascii="Times New Roman" w:cs="Times New Roman" w:eastAsia="Times New Roman" w:hAnsi="Times New Roman"/>
          <w:i/>
          <w:iCs/>
          <w:sz w:val="24"/>
          <w:szCs w:val="24"/>
        </w:rPr>
        <w:t xml:space="preserve">multi-text manuscripts</w:t>
      </w:r>
      <w:r>
        <w:rPr>
          <w:rFonts w:ascii="Times New Roman" w:cs="Times New Roman" w:eastAsia="Times New Roman" w:hAnsi="Times New Roman"/>
          <w:sz w:val="24"/>
          <w:szCs w:val="24"/>
        </w:rPr>
        <w:t xml:space="preserve">). Diese Verlagerung der Perspektive vom Text auf den Kodex hat weitreichende Konsequenzen für unser Verständnis von Rezeption und Gattungsbildung. Wenn Texte wiederholt gemeinsam überliefert werden, ist dies nicht notwendigerweise dem Zufall oder der bloßen Verfügbarkeit bestimmter Werke für einen Kompilator geschuldet. Die Zusammenstellung von Mehrtexthandschriften kann vielmehr bestimmte Gebrauchskontexte sowie kompilatorische Möglichkeiten und Entscheidungen widerspiegeln. Sie eröffnet damit einen besonderen Zugang zu der Frage, wie Texte in der Vergangenheit verstanden und zueinander in Beziehung gesetzt wurden (vgl. Andrist/Canart/Maniaci 2013; Wolf 2016). Gemeinsame Überlieferung lässt sich in diesem Sinne als materieller Ausdruck von Intertextualität begreifen. Die Zusammenstellung einer Handschrift setzt Texte zueinander in Beziehung, ohne dass es dazu expliziter textueller Verweise bedarf. So entstehen Konstellationen, in denen sich literarische und gattungsspezifische Zusammenhänge aus der materiellen Nachbarschaft der Texte herausbilden können.</w:t>
      </w:r>
    </w:p>
    <w:p>
      <w:pPr>
        <w:spacing w:after="120" w:before="0" w:line="240"/>
        <w:jc w:val="both"/>
      </w:pPr>
      <w:r>
        <w:rPr>
          <w:rFonts w:ascii="Times New Roman" w:cs="Times New Roman" w:eastAsia="Times New Roman" w:hAnsi="Times New Roman"/>
          <w:sz w:val="24"/>
          <w:szCs w:val="24"/>
        </w:rPr>
        <w:t xml:space="preserve">Dieser grundlegende Unterschied zwischen mittelalterlicher und moderner Textkultur tritt vielleicht nirgends deutlicher zutage als in der Überlieferung des „Ritterromans“,</w:t>
      </w:r>
      <w:r>
        <w:rPr>
          <w:rStyle w:val="FootnoteReference"/>
        </w:rPr>
        <w:footnoteReference w:id="2"/>
      </w:r>
      <w:r>
        <w:rPr>
          <w:rFonts w:ascii="Times New Roman" w:cs="Times New Roman" w:eastAsia="Times New Roman" w:hAnsi="Times New Roman"/>
          <w:sz w:val="24"/>
          <w:szCs w:val="24"/>
        </w:rPr>
        <w:t xml:space="preserve"> einer im Mittelalter überaus erfolgreichen Gattung, die auch in den folgenden Jahrhunderten eine außergewöhnlich lange Rezeptionsgeschichte erlebte (zu Ritterromanen in Mehrtexthandschriften vgl. etwa Edlich-Muth 2018). Erzählungen über Artus, Karl den Großen, Tristan oder Floire und Blancheflor zirkulierten über Jahrhunderte in Handschriften und Drucken und leben in modernen Adaptionen fort, von T. H. Whites </w:t>
      </w:r>
      <w:r>
        <w:rPr>
          <w:rFonts w:ascii="Times New Roman" w:cs="Times New Roman" w:eastAsia="Times New Roman" w:hAnsi="Times New Roman"/>
          <w:i/>
          <w:iCs/>
          <w:sz w:val="24"/>
          <w:szCs w:val="24"/>
        </w:rPr>
        <w:t xml:space="preserve">The Once and Future King</w:t>
      </w:r>
      <w:r>
        <w:rPr>
          <w:rFonts w:ascii="Times New Roman" w:cs="Times New Roman" w:eastAsia="Times New Roman" w:hAnsi="Times New Roman"/>
          <w:sz w:val="24"/>
          <w:szCs w:val="24"/>
        </w:rPr>
        <w:t xml:space="preserve"> (1958) bis zu Disneys </w:t>
      </w:r>
      <w:r>
        <w:rPr>
          <w:rFonts w:ascii="Times New Roman" w:cs="Times New Roman" w:eastAsia="Times New Roman" w:hAnsi="Times New Roman"/>
          <w:i/>
          <w:iCs/>
          <w:sz w:val="24"/>
          <w:szCs w:val="24"/>
        </w:rPr>
        <w:t xml:space="preserve">The Sword in the Stone</w:t>
      </w:r>
      <w:r>
        <w:rPr>
          <w:rFonts w:ascii="Times New Roman" w:cs="Times New Roman" w:eastAsia="Times New Roman" w:hAnsi="Times New Roman"/>
          <w:sz w:val="24"/>
          <w:szCs w:val="24"/>
        </w:rPr>
        <w:t xml:space="preserve"> (1963) (zur fortdauernden Rezeption und Neuerfindung mittelalterlicher Erzähltraditionen in der modernen Populärkultur vgl. etwa Fitzpatrick 2019). Diese anhaltende Popularität hat jedoch auch eine bestimmte Lektürehaltung begünstigt. Ritterromane werden heute gemeinhin – und vermutlich anachronistisch – als Einzelwerke betrachtet, die gleichsam als Repräsentanten einer klar umrissenen, homogenen Gattung fungieren. Das mittelalterliche Publikum begegnete Romanen dagegen häufig als Teil größerer Textkonstellationen, in denen die einzelnen Werke in materieller Nachbarschaft zu anderen Erzählungen standen. Solche fluiden handschriftlichen Kontexte werfen die Frage auf, ob Werke, die wir literaturhistorisch als zusammengehörig betrachten, auch in der mittelalterlichen Überlieferung zusammengeführt wurden. Ein einflussreicher mittelalterlicher Versuch, dieses vielgestaltige Erzählfeld zu ordnen, ist Jean Bodels Einteilung der zeitgenössischen Erzählstoffe in die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de France, de Bretagne und de Rome. Der vorliegende Beitrag nimmt Bodels Schema zum Ausgangspunkt, um zu fragen, inwieweit etablierte literarische Kategorien Mustern der Mitüberlieferung in mittelalterlichen Handschriften entsprechen.</w:t>
      </w:r>
    </w:p>
    <w:p>
      <w:pPr>
        <w:spacing w:after="120" w:before="0" w:line="240"/>
        <w:jc w:val="both"/>
      </w:pPr>
      <w:r>
        <w:rPr>
          <w:rFonts w:ascii="Times New Roman" w:cs="Times New Roman" w:eastAsia="Times New Roman" w:hAnsi="Times New Roman"/>
          <w:sz w:val="24"/>
          <w:szCs w:val="24"/>
        </w:rPr>
        <w:t xml:space="preserve">Erst seit Kurzem stehen Forschungsinfrastrukturen zur Verfügung, die es erlauben, solche Muster der Mitüberlieferung systematisch und vergleichend zu untersuchen. Die hier verwendeten Daten bauen auf dem Korpus auf, das für den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-Aufsatz „Forgotten Books“ (Kestemont et al. 2022) zusammengestellt wurde und das erhebliche Unterschiede im Überleben der Ritterliteratur in sechs europäischen Volkssprachen nahelegte. Dieses Korpus wird gegenwärtig in einer Kooperation zwischen der École nationale des chartes in Paris (im Rahmen des ERC-geförderten Projekts LostMa) und der Universität Antwerpen erweitert, mit dem Ziel, die erhaltene handschriftliche Überlieferung ritterlicher Erzählliteratur in den im Projekt berücksichtigten europäischen Volkssprachen möglichst vollständig zu dokumentieren (Reignier et al. 2026, bes. Tab. 1). Die daraus hervorgehende Datenbank verwendet </w:t>
      </w:r>
      <w:r>
        <w:rPr>
          <w:rFonts w:ascii="Times New Roman" w:cs="Times New Roman" w:eastAsia="Times New Roman" w:hAnsi="Times New Roman"/>
          <w:i/>
          <w:iCs/>
          <w:sz w:val="24"/>
          <w:szCs w:val="24"/>
        </w:rPr>
        <w:t xml:space="preserve">romance</w:t>
      </w:r>
      <w:r>
        <w:rPr>
          <w:rFonts w:ascii="Times New Roman" w:cs="Times New Roman" w:eastAsia="Times New Roman" w:hAnsi="Times New Roman"/>
          <w:sz w:val="24"/>
          <w:szCs w:val="24"/>
        </w:rPr>
        <w:t xml:space="preserve"> als Oberbegriff für ritterliche Erzählungen, der auch Traditionen wie die </w:t>
      </w:r>
      <w:r>
        <w:rPr>
          <w:rFonts w:ascii="Times New Roman" w:cs="Times New Roman" w:eastAsia="Times New Roman" w:hAnsi="Times New Roman"/>
          <w:i/>
          <w:iCs/>
          <w:sz w:val="24"/>
          <w:szCs w:val="24"/>
        </w:rPr>
        <w:t xml:space="preserve">chansons de geste</w:t>
      </w:r>
      <w:r>
        <w:rPr>
          <w:rFonts w:ascii="Times New Roman" w:cs="Times New Roman" w:eastAsia="Times New Roman" w:hAnsi="Times New Roman"/>
          <w:sz w:val="24"/>
          <w:szCs w:val="24"/>
        </w:rPr>
        <w:t xml:space="preserve"> und die deutsche Heldendichtung einschließt. Sie verzeichnet die einzelnen Werke und ihre handschriftlichen Textzeugen zusammen mit chronologischen und literarhistorischen Metadaten. Zwar würde die Rekonstruktion sämtlicher Textsammlungen, in denen diese Werke überliefert sind – einschließlich der Werke außerhalb der hier untersuchten Textsorte –, den Rahmen eines Projekts dieser Größenordnung sprengen; die systematische Erfassung von Handschriften und Signaturen erlaubt es jedoch erstmals, Muster in der Mitüberlieferung von Ritterromanen vergleichend sichtbar zu machen.</w:t>
      </w:r>
    </w:p>
    <w:p>
      <w:pPr>
        <w:spacing w:after="120" w:before="0" w:line="240"/>
        <w:jc w:val="both"/>
      </w:pPr>
      <w:r>
        <w:rPr>
          <w:rFonts w:ascii="Times New Roman" w:cs="Times New Roman" w:eastAsia="Times New Roman" w:hAnsi="Times New Roman"/>
          <w:sz w:val="24"/>
          <w:szCs w:val="24"/>
        </w:rPr>
        <w:t xml:space="preserve">Der vorliegende Beitrag stellt die empirische Frage, wie Ritterromane gemeinsam mit anderen überliefert wurden, und genauer, ob sich die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eignet, um Muster des gemeinsamen Vorkommens in den Daten zu beschreiben. Werden Werke, die derselben Bodel’schen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angehören, auch häufiger gemeinsam überliefert? Gegenstand der Analyse sind daher nicht nur die einzelnen Werke, sondern vor allem die Mehrtextumgebungen, in denen sie gemeinsam überdauert haben. Diese kodikologischen Konstellationen erlauben es, Textgemeinschaften zu identifizieren, die sich aus Mustern der Mitüberlieferung ergeben, und zu fragen, ob sie etablierten gattungstypologischen Unterscheidungen entsprechen. Unser Augenmerk gilt der französischen und der deutschen Überlieferung – den beiden größten Korpora der LostMa-Datenbank und zwei Literaturtraditionen, die durch Jahrhunderte volkssprachlichen Austauschs eng miteinander verbunden sind. Mithilfe quantitativer Netzwerkanalyse untersuchen wir Kohäsion und Zusammensetzung der Textgemeinschaften, die sich in beiden Traditionen abzeichnen. Insbesondere fragen wir, inwieweit Muster der Mitüberlieferung Bodels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entsprechen, aber auch, welche Muster der handschriftlichen Überlieferung durch dieses Klassifikationsschema nicht angemessen erfasst werden.</w:t>
      </w:r>
    </w:p>
    <w:p>
      <w:pPr>
        <w:keepNext/>
        <w:spacing w:after="120" w:before="240" w:line="240"/>
      </w:pPr>
      <w:r>
        <w:rPr>
          <w:rFonts w:ascii="Times New Roman" w:cs="Times New Roman" w:eastAsia="Times New Roman" w:hAnsi="Times New Roman"/>
          <w:b/>
          <w:bCs/>
          <w:sz w:val="24"/>
          <w:szCs w:val="24"/>
        </w:rPr>
        <w:t xml:space="preserve">Datenaufbereitung</w:t>
      </w:r>
    </w:p>
    <w:p>
      <w:pPr>
        <w:spacing w:after="120" w:before="0" w:line="240"/>
        <w:jc w:val="both"/>
      </w:pPr>
      <w:r>
        <w:rPr>
          <w:rFonts w:ascii="Times New Roman" w:cs="Times New Roman" w:eastAsia="Times New Roman" w:hAnsi="Times New Roman"/>
          <w:sz w:val="24"/>
          <w:szCs w:val="24"/>
        </w:rPr>
        <w:t xml:space="preserve">Die Forschungsdaten wurden automatisiert aus der LostMa-Heurist-Datenbank abgerufen (Stand: 26. August 2026). Sowohl für das Deutsche (Mittelhochdeutsch) als auch für das Französische (Alt- und Mittelfranzösisch als ein Korpus behandelt) wurden alle Werke und alle handschriftlichen Textzeugen, in denen sie erhalten sind, erfasst. Daraus ergab sich ein Korpus von 313 französischen Werken in 1.279 Handschriften und 143 deutschen Werken in 1.215 Handschriften. Für jeden Textzeugen wurden der Erhaltungszustand (vollständig, defekt, fragmentarisch usw.) und die geschätzte mittlere Entstehungszeit der Handschrift erhoben; ebenso wurden die geschätzten Entstehungsdaten der Werke aufgenommen. Anschließend wurde jedem Werk eine einzige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zugewiesen. Wo immer möglich, wurde diese Klassifikation aus dem Stoffkreis (</w:t>
      </w:r>
      <w:r>
        <w:rPr>
          <w:rFonts w:ascii="Times New Roman" w:cs="Times New Roman" w:eastAsia="Times New Roman" w:hAnsi="Times New Roman"/>
          <w:i/>
          <w:iCs/>
          <w:sz w:val="24"/>
          <w:szCs w:val="24"/>
        </w:rPr>
        <w:t xml:space="preserve">storyverse</w:t>
      </w:r>
      <w:r>
        <w:rPr>
          <w:rFonts w:ascii="Times New Roman" w:cs="Times New Roman" w:eastAsia="Times New Roman" w:hAnsi="Times New Roman"/>
          <w:sz w:val="24"/>
          <w:szCs w:val="24"/>
        </w:rPr>
        <w:t xml:space="preserve">) oder Zyklus abgeleitet, dem das Werk in der Datenbank zugeordnet ist. Wo auf dieser Ebene keine Klassifikation vorlag, wurde, sofern vorhanden, die direkt für den Stoff (</w:t>
      </w:r>
      <w:r>
        <w:rPr>
          <w:rFonts w:ascii="Times New Roman" w:cs="Times New Roman" w:eastAsia="Times New Roman" w:hAnsi="Times New Roman"/>
          <w:i/>
          <w:iCs/>
          <w:sz w:val="24"/>
          <w:szCs w:val="24"/>
        </w:rPr>
        <w:t xml:space="preserve">story</w:t>
      </w:r>
      <w:r>
        <w:rPr>
          <w:rFonts w:ascii="Times New Roman" w:cs="Times New Roman" w:eastAsia="Times New Roman" w:hAnsi="Times New Roman"/>
          <w:sz w:val="24"/>
          <w:szCs w:val="24"/>
        </w:rPr>
        <w:t xml:space="preserve">) des Werkes verzeichnete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herangezogen. Bei der Konsolidierung dieser Klassifikationen wurden zwei in der Datenbank verwendete Etiketten den vier Kategorien unserer Analyse untergeordnet, die wir im Folgenden mit den auch in den Abbildungen verwendeten Bezeichnungen </w:t>
      </w:r>
      <w:r>
        <w:rPr>
          <w:rFonts w:ascii="Times New Roman" w:cs="Times New Roman" w:eastAsia="Times New Roman" w:hAnsi="Times New Roman"/>
          <w:i/>
          <w:iCs/>
          <w:sz w:val="24"/>
          <w:szCs w:val="24"/>
        </w:rPr>
        <w:t xml:space="preserve">Britain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France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Rome</w:t>
      </w:r>
      <w:r>
        <w:rPr>
          <w:rFonts w:ascii="Times New Roman" w:cs="Times New Roman" w:eastAsia="Times New Roman" w:hAnsi="Times New Roman"/>
          <w:sz w:val="24"/>
          <w:szCs w:val="24"/>
        </w:rPr>
        <w:t xml:space="preserve"> und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benennen: </w:t>
      </w:r>
      <w:r>
        <w:rPr>
          <w:rFonts w:ascii="Times New Roman" w:cs="Times New Roman" w:eastAsia="Times New Roman" w:hAnsi="Times New Roman"/>
          <w:i/>
          <w:iCs/>
          <w:sz w:val="24"/>
          <w:szCs w:val="24"/>
        </w:rPr>
        <w:t xml:space="preserve">Antiquity</w:t>
      </w:r>
      <w:r>
        <w:rPr>
          <w:rFonts w:ascii="Times New Roman" w:cs="Times New Roman" w:eastAsia="Times New Roman" w:hAnsi="Times New Roman"/>
          <w:sz w:val="24"/>
          <w:szCs w:val="24"/>
        </w:rPr>
        <w:t xml:space="preserve">, das Werke mit antikem Stoff bezeichnet, wurde </w:t>
      </w:r>
      <w:r>
        <w:rPr>
          <w:rFonts w:ascii="Times New Roman" w:cs="Times New Roman" w:eastAsia="Times New Roman" w:hAnsi="Times New Roman"/>
          <w:i/>
          <w:iCs/>
          <w:sz w:val="24"/>
          <w:szCs w:val="24"/>
        </w:rPr>
        <w:t xml:space="preserve">Rome</w:t>
      </w:r>
      <w:r>
        <w:rPr>
          <w:rFonts w:ascii="Times New Roman" w:cs="Times New Roman" w:eastAsia="Times New Roman" w:hAnsi="Times New Roman"/>
          <w:sz w:val="24"/>
          <w:szCs w:val="24"/>
        </w:rPr>
        <w:t xml:space="preserve"> zugeschlagen, während </w:t>
      </w:r>
      <w:r>
        <w:rPr>
          <w:rFonts w:ascii="Times New Roman" w:cs="Times New Roman" w:eastAsia="Times New Roman" w:hAnsi="Times New Roman"/>
          <w:i/>
          <w:iCs/>
          <w:sz w:val="24"/>
          <w:szCs w:val="24"/>
        </w:rPr>
        <w:t xml:space="preserve">England</w:t>
      </w:r>
      <w:r>
        <w:rPr>
          <w:rFonts w:ascii="Times New Roman" w:cs="Times New Roman" w:eastAsia="Times New Roman" w:hAnsi="Times New Roman"/>
          <w:sz w:val="24"/>
          <w:szCs w:val="24"/>
        </w:rPr>
        <w:t xml:space="preserve">, das für insulare Helden außerhalb der Artustradition verwendet wird, unter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subsumiert wurde. Alle Werke, die dem sogenannten „karolingischen“ Zyklus zugeordnet sind, wurden </w:t>
      </w:r>
      <w:r>
        <w:rPr>
          <w:rFonts w:ascii="Times New Roman" w:cs="Times New Roman" w:eastAsia="Times New Roman" w:hAnsi="Times New Roman"/>
          <w:i/>
          <w:iCs/>
          <w:sz w:val="24"/>
          <w:szCs w:val="24"/>
        </w:rPr>
        <w:t xml:space="preserve">France</w:t>
      </w:r>
      <w:r>
        <w:rPr>
          <w:rFonts w:ascii="Times New Roman" w:cs="Times New Roman" w:eastAsia="Times New Roman" w:hAnsi="Times New Roman"/>
          <w:sz w:val="24"/>
          <w:szCs w:val="24"/>
        </w:rPr>
        <w:t xml:space="preserve"> zugewiesen.</w:t>
      </w:r>
    </w:p>
    <w:p>
      <w:pPr>
        <w:spacing w:after="120" w:before="0" w:line="240"/>
        <w:jc w:val="both"/>
      </w:pPr>
      <w:r>
        <w:rPr>
          <w:rFonts w:ascii="Times New Roman" w:cs="Times New Roman" w:eastAsia="Times New Roman" w:hAnsi="Times New Roman"/>
          <w:sz w:val="24"/>
          <w:szCs w:val="24"/>
        </w:rPr>
        <w:t xml:space="preserve">Solche Zuweisungen sind nicht ganz unproblematisch, da die Grenzen zwischen den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nicht in allen Fällen gleich klar sind. Die Artustradition bietet über ihre Bindung an König Artus eine relativ kohärente Grundlage für die Bestimmung der </w:t>
      </w:r>
      <w:r>
        <w:rPr>
          <w:rFonts w:ascii="Times New Roman" w:cs="Times New Roman" w:eastAsia="Times New Roman" w:hAnsi="Times New Roman"/>
          <w:i/>
          <w:iCs/>
          <w:sz w:val="24"/>
          <w:szCs w:val="24"/>
        </w:rPr>
        <w:t xml:space="preserve">matière de Bretagne</w:t>
      </w:r>
      <w:r>
        <w:rPr>
          <w:rFonts w:ascii="Times New Roman" w:cs="Times New Roman" w:eastAsia="Times New Roman" w:hAnsi="Times New Roman"/>
          <w:sz w:val="24"/>
          <w:szCs w:val="24"/>
        </w:rPr>
        <w:t xml:space="preserve">, wenngleich der Zusammenhang bei den Tristantexten, deren Einbindung in die Artuswelt sekundär ist, weniger eindeutig ist. Die </w:t>
      </w:r>
      <w:r>
        <w:rPr>
          <w:rFonts w:ascii="Times New Roman" w:cs="Times New Roman" w:eastAsia="Times New Roman" w:hAnsi="Times New Roman"/>
          <w:i/>
          <w:iCs/>
          <w:sz w:val="24"/>
          <w:szCs w:val="24"/>
        </w:rPr>
        <w:t xml:space="preserve">matière de France</w:t>
      </w:r>
      <w:r>
        <w:rPr>
          <w:rFonts w:ascii="Times New Roman" w:cs="Times New Roman" w:eastAsia="Times New Roman" w:hAnsi="Times New Roman"/>
          <w:sz w:val="24"/>
          <w:szCs w:val="24"/>
        </w:rPr>
        <w:t xml:space="preserve"> lässt sich im französischen Korpus relativ klar abgrenzen, wo die </w:t>
      </w:r>
      <w:r>
        <w:rPr>
          <w:rFonts w:ascii="Times New Roman" w:cs="Times New Roman" w:eastAsia="Times New Roman" w:hAnsi="Times New Roman"/>
          <w:i/>
          <w:iCs/>
          <w:sz w:val="24"/>
          <w:szCs w:val="24"/>
        </w:rPr>
        <w:t xml:space="preserve">chansons de geste</w:t>
      </w:r>
      <w:r>
        <w:rPr>
          <w:rFonts w:ascii="Times New Roman" w:cs="Times New Roman" w:eastAsia="Times New Roman" w:hAnsi="Times New Roman"/>
          <w:sz w:val="24"/>
          <w:szCs w:val="24"/>
        </w:rPr>
        <w:t xml:space="preserve"> zusätzlich durch formale Merkmale wie die Gliederung in </w:t>
      </w:r>
      <w:r>
        <w:rPr>
          <w:rFonts w:ascii="Times New Roman" w:cs="Times New Roman" w:eastAsia="Times New Roman" w:hAnsi="Times New Roman"/>
          <w:i/>
          <w:iCs/>
          <w:sz w:val="24"/>
          <w:szCs w:val="24"/>
        </w:rPr>
        <w:t xml:space="preserve">laisses</w:t>
      </w:r>
      <w:r>
        <w:rPr>
          <w:rFonts w:ascii="Times New Roman" w:cs="Times New Roman" w:eastAsia="Times New Roman" w:hAnsi="Times New Roman"/>
          <w:sz w:val="24"/>
          <w:szCs w:val="24"/>
        </w:rPr>
        <w:t xml:space="preserve"> gekennzeichnet sind. Für die deutsche Tradition konnte sich unsere Klassifikation auf Bernd Basterts umfassende Studie zur deutschen Rezeption der </w:t>
      </w:r>
      <w:r>
        <w:rPr>
          <w:rFonts w:ascii="Times New Roman" w:cs="Times New Roman" w:eastAsia="Times New Roman" w:hAnsi="Times New Roman"/>
          <w:i/>
          <w:iCs/>
          <w:sz w:val="24"/>
          <w:szCs w:val="24"/>
        </w:rPr>
        <w:t xml:space="preserve">chanson de geste</w:t>
      </w:r>
      <w:r>
        <w:rPr>
          <w:rFonts w:ascii="Times New Roman" w:cs="Times New Roman" w:eastAsia="Times New Roman" w:hAnsi="Times New Roman"/>
          <w:sz w:val="24"/>
          <w:szCs w:val="24"/>
        </w:rPr>
        <w:t xml:space="preserve"> stützen (Bastert 2010). Weniger scharf ist die Grenze zwischen </w:t>
      </w:r>
      <w:r>
        <w:rPr>
          <w:rFonts w:ascii="Times New Roman" w:cs="Times New Roman" w:eastAsia="Times New Roman" w:hAnsi="Times New Roman"/>
          <w:i/>
          <w:iCs/>
          <w:sz w:val="24"/>
          <w:szCs w:val="24"/>
        </w:rPr>
        <w:t xml:space="preserve">Rome</w:t>
      </w:r>
      <w:r>
        <w:rPr>
          <w:rFonts w:ascii="Times New Roman" w:cs="Times New Roman" w:eastAsia="Times New Roman" w:hAnsi="Times New Roman"/>
          <w:sz w:val="24"/>
          <w:szCs w:val="24"/>
        </w:rPr>
        <w:t xml:space="preserve"> und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insbesondere bei Erzählungen, die antike Stoffe mit anderen Traditionen verbinden. Die Zuweisung einer einzigen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pro Werk ist daher als pragmatische analytische Klassifikation zu verstehen und nicht als Behauptung, alle Werke gehörten eindeutig zu einander ausschließenden literarhistorischen Kategorien. Auch wenn einzelne Grenzfälle alternative Zuordnungen nahelegen mögen, erwarten wir nicht, dass sie die im Folgenden untersuchten übergreifenden Muster beeinflussen.</w:t>
      </w:r>
    </w:p>
    <w:p>
      <w:pPr>
        <w:keepNext/>
        <w:spacing w:after="120" w:before="240" w:line="240"/>
      </w:pPr>
      <w:r>
        <w:rPr>
          <w:rFonts w:ascii="Times New Roman" w:cs="Times New Roman" w:eastAsia="Times New Roman" w:hAnsi="Times New Roman"/>
          <w:b/>
          <w:bCs/>
          <w:sz w:val="24"/>
          <w:szCs w:val="24"/>
        </w:rPr>
        <w:t xml:space="preserve">Französische und deutsche Ritterromane im Vergleich</w:t>
      </w:r>
    </w:p>
    <w:p>
      <w:pPr>
        <w:spacing w:after="120" w:before="0" w:line="240"/>
        <w:jc w:val="both"/>
      </w:pPr>
      <w:r>
        <w:rPr>
          <w:rFonts w:ascii="Times New Roman" w:cs="Times New Roman" w:eastAsia="Times New Roman" w:hAnsi="Times New Roman"/>
          <w:sz w:val="24"/>
          <w:szCs w:val="24"/>
        </w:rPr>
        <w:t xml:space="preserve">Bevor wir uns der thematischen Organisation der handschriftlichen Überlieferung zuwenden, ist ein Vergleich der Grundstruktur des französischen und des deutschen Korpus aufschlussreich. Da unsere Analyse der Mitüberlieferung von Romanen gilt, haben wir im Folgenden alle fragmentarischen Textzeugen ausgeschlossen: Fragmente sind zwar für die Einschätzung der Abschreibehäufigkeit, d. h. der Beliebtheit von Texten, unverzichtbar, in der Regel jedoch zu kurz, um verlässliche Aussagen über Muster des gemeinsamen Vorkommens in Handschriften zu erlauben. Damit verbleiben 256 Werke in 911 Handschriften für das Französische und 118 Werke in 449 Handschriften für das Deutsche. Unsere Analyse beschränkt sich auf die Mitüberlieferung von Ritterromanen mit anderen Ritterromanen: Andere in denselben Handschriften überlieferte Texte bleiben unberücksichtigt, da diese Daten im – ohnehin umfangreichen – LostMa-Korpus nicht systematisch erhoben wurden.</w:t>
      </w:r>
    </w:p>
    <w:p>
      <w:pPr>
        <w:keepNext/>
        <w:spacing w:after="60" w:before="120" w:line="240"/>
        <w:jc w:val="center"/>
      </w:pPr>
      <w:r>
        <w:drawing>
          <wp:inline distT="0" distB="0" distL="0" distR="0">
            <wp:extent cx="576262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3381375"/>
                    </a:xfrm>
                    <a:prstGeom prst="rect">
                      <a:avLst/>
                    </a:prstGeom>
                  </pic:spPr>
                </pic:pic>
              </a:graphicData>
            </a:graphic>
          </wp:inline>
        </w:drawing>
      </w:r>
    </w:p>
    <w:p>
      <w:pPr>
        <w:spacing w:after="240" w:line="240"/>
      </w:pPr>
      <w:r>
        <w:rPr>
          <w:rFonts w:ascii="Times New Roman" w:cs="Times New Roman" w:eastAsia="Times New Roman" w:hAnsi="Times New Roman"/>
          <w:sz w:val="22"/>
          <w:szCs w:val="22"/>
        </w:rPr>
        <w:t xml:space="preserve">Abbildung 1: Boxplots zum Vergleich der beiden Traditionen in sechs Dimensionen, annotiert mit den Ergebnissen zweiseitiger Mann-Whitney-U-Tests. Die Sterne beziehen sich auf die Bonferroni-korrigierten p-Werte (sieben Tests): **</w:t>
      </w:r>
      <w:r>
        <w:rPr>
          <w:rFonts w:ascii="Times New Roman" w:cs="Times New Roman" w:eastAsia="Times New Roman" w:hAnsi="Times New Roman"/>
          <w:i/>
          <w:iCs/>
          <w:sz w:val="22"/>
          <w:szCs w:val="22"/>
        </w:rPr>
        <w:t xml:space="preserve"> p &lt; 0,001; </w:t>
      </w:r>
      <w:r>
        <w:rPr>
          <w:rFonts w:ascii="Times New Roman" w:cs="Times New Roman" w:eastAsia="Times New Roman" w:hAnsi="Times New Roman"/>
          <w:i/>
          <w:iCs/>
          <w:sz w:val="22"/>
          <w:szCs w:val="22"/>
        </w:rPr>
        <w:t xml:space="preserve"> p &lt; 0,01; </w:t>
      </w:r>
      <w:r>
        <w:rPr>
          <w:rFonts w:ascii="Times New Roman" w:cs="Times New Roman" w:eastAsia="Times New Roman" w:hAnsi="Times New Roman"/>
          <w:sz w:val="22"/>
          <w:szCs w:val="22"/>
        </w:rPr>
        <w:t xml:space="preserve"> p &lt; 0,05; ns = nicht signifikant.</w:t>
      </w:r>
    </w:p>
    <w:p>
      <w:pPr>
        <w:spacing w:after="120" w:before="0" w:line="240"/>
        <w:jc w:val="both"/>
      </w:pPr>
      <w:r>
        <w:rPr>
          <w:rFonts w:ascii="Times New Roman" w:cs="Times New Roman" w:eastAsia="Times New Roman" w:hAnsi="Times New Roman"/>
          <w:sz w:val="24"/>
          <w:szCs w:val="24"/>
        </w:rPr>
        <w:t xml:space="preserve">Es ist ebenso aufschlussreich, mit konventionellen statistischen Verfahren zu ermitteln, in welchen Dimensionen sich die beiden Traditionen voneinander unterscheiden, wie zu beobachten, worin sich die beiden Korpora weitgehend gleichen. Ein erster Vergleichspunkt ist die Art, wie sich die Romane auf die Handschriften verteilen. Französische Handschriften vereinen erheblich häufiger mehrere Romane, während die deutsche Überlieferung stärker von Handschriften mit einem einzigen Roman geprägt ist. Dieser Unterschied tritt besonders deutlich hervor, wenn man die Zahl der Romane pro Handschrift vergleicht: Französische Handschriften enthalten im Durchschnitt 1,77 Romane gegenüber 1,35 im deutschen Korpus; der Unterschied zwischen den beiden Verteilungen ist statistisch signifikant. Der Kontrast zeigt sich auch am oberen Ende der Verteilung: Während die umfangreichste deutsche Handschrift des Datensatzes elf Romane enthält, umfasst das französische Korpus Handschriften mit bis zu neunzehn Werken. In beiden Traditionen bleiben Handschriften mit nur einem Roman häufig, doch weist die französische Überlieferung einen deutlich längeren Ausläufer von Handschriften auf, in denen sich Romane häufen. Französische Romane haben daher mehr Gelegenheit, wiederholt Verbindungen mit anderen Werken einzugehen. Bemerkenswert – und vielleicht überraschend – ist, dass sich dieser Kontrast nicht einfach durch eine unterschiedliche Zahl erhaltener Textzeugen pro Werk erklären lässt. Die mittlere Zahl der bezeugten Textzeugen pro Werk ist in beiden Korpora ähnlich: 5,38 im Französischen und 5,06 im Deutschen; die entsprechenden Verteilungen unterscheiden sich in dieser Hinsicht nicht signifikant. Das ist entscheidend: Französische Romane sind nicht einfach durch mehr erhaltene Textzeugen vertreten und treffen deshalb gleichsam mechanisch häufiger auf andere Texte. Was sich zu unterscheiden scheint, ist die </w:t>
      </w:r>
      <w:r>
        <w:rPr>
          <w:rFonts w:ascii="Times New Roman" w:cs="Times New Roman" w:eastAsia="Times New Roman" w:hAnsi="Times New Roman"/>
          <w:i/>
          <w:iCs/>
          <w:sz w:val="24"/>
          <w:szCs w:val="24"/>
        </w:rPr>
        <w:t xml:space="preserve">Organisation</w:t>
      </w:r>
      <w:r>
        <w:rPr>
          <w:rFonts w:ascii="Times New Roman" w:cs="Times New Roman" w:eastAsia="Times New Roman" w:hAnsi="Times New Roman"/>
          <w:sz w:val="24"/>
          <w:szCs w:val="24"/>
        </w:rPr>
        <w:t xml:space="preserve"> dieser Textzeugen in handschriftlichen Kontexten.</w:t>
      </w:r>
    </w:p>
    <w:p>
      <w:pPr>
        <w:spacing w:after="120" w:before="0" w:line="240"/>
        <w:jc w:val="both"/>
      </w:pPr>
      <w:r>
        <w:rPr>
          <w:rFonts w:ascii="Times New Roman" w:cs="Times New Roman" w:eastAsia="Times New Roman" w:hAnsi="Times New Roman"/>
          <w:sz w:val="24"/>
          <w:szCs w:val="24"/>
        </w:rPr>
        <w:t xml:space="preserve">Ein zweiter struktureller Unterschied betrifft die Chronologie. Die Werke selbst gehören im Großen und Ganzen derselben Epoche an: Ihre zentrale Tendenz hinsichtlich der Entstehungszeit – um 1250 für das Französische und um 1265 für das Deutsche – unterscheidet sich nicht signifikant. Ihre erhaltenen handschriftlichen Textzeugen dagegen schon: Das mediane Handschriftendatum liegt im französischen Korpus bei etwa 1350, im deutschen bei etwa 1450 – ein hochsignifikanter Unterschied. Dieses spätere Profil der deutschen Überlieferung ist bei der Interpretation der nachfolgenden Muster im Blick zu behalten. Es könnte Unterschiede in der Chronologie des Abschreibens und der Sammlungsbildung widerspiegeln, wenngleich die Chronologie allein nicht erklären kann, warum Romane innerhalb einzelner Kodizes unterschiedlich gruppiert wurden. Nachdem diese strukturellen Unterschiede festgestellt sind, können wir nun fragen, welche Arten von Romanen zusammengeführt wurden und ob die traditionellen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zur Erklärung dieser Muster beitragen.</w:t>
      </w:r>
    </w:p>
    <w:p>
      <w:pPr>
        <w:keepNext/>
        <w:spacing w:after="120" w:before="240" w:line="240"/>
      </w:pPr>
      <w:r>
        <w:rPr>
          <w:rFonts w:ascii="Times New Roman" w:cs="Times New Roman" w:eastAsia="Times New Roman" w:hAnsi="Times New Roman"/>
          <w:b/>
          <w:bCs/>
          <w:sz w:val="24"/>
          <w:szCs w:val="24"/>
        </w:rPr>
        <w:t xml:space="preserve">Die Verteilung der </w:t>
      </w:r>
      <w:r>
        <w:rPr>
          <w:rFonts w:ascii="Times New Roman" w:cs="Times New Roman" w:eastAsia="Times New Roman" w:hAnsi="Times New Roman"/>
          <w:b/>
          <w:bCs/>
          <w:i/>
          <w:iCs/>
          <w:sz w:val="24"/>
          <w:szCs w:val="24"/>
        </w:rPr>
        <w:t xml:space="preserve">matières</w:t>
      </w:r>
      <w:r>
        <w:rPr>
          <w:rFonts w:ascii="Times New Roman" w:cs="Times New Roman" w:eastAsia="Times New Roman" w:hAnsi="Times New Roman"/>
          <w:b/>
          <w:bCs/>
          <w:sz w:val="24"/>
          <w:szCs w:val="24"/>
        </w:rPr>
        <w:t xml:space="preserve"> in den beiden Traditionen</w:t>
      </w:r>
    </w:p>
    <w:p>
      <w:pPr>
        <w:spacing w:after="120" w:before="0" w:line="240"/>
        <w:jc w:val="both"/>
      </w:pPr>
      <w:r>
        <w:rPr>
          <w:rFonts w:ascii="Times New Roman" w:cs="Times New Roman" w:eastAsia="Times New Roman" w:hAnsi="Times New Roman"/>
          <w:sz w:val="24"/>
          <w:szCs w:val="24"/>
        </w:rPr>
        <w:t xml:space="preserve">Ein erster Schritt zur Untersuchung der thematischen Organisation dieser Mitüberlieferung besteht darin, zu ermitteln, wie die drei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in den beiden Korpora vertreten sind. Unser Ausgangspunkt ist Jean Bodels bekannte Unterscheidung, formuliert um 1200 im Prolog der </w:t>
      </w:r>
      <w:r>
        <w:rPr>
          <w:rFonts w:ascii="Times New Roman" w:cs="Times New Roman" w:eastAsia="Times New Roman" w:hAnsi="Times New Roman"/>
          <w:i/>
          <w:iCs/>
          <w:sz w:val="24"/>
          <w:szCs w:val="24"/>
        </w:rPr>
        <w:t xml:space="preserve">Chanson des Saisnes</w:t>
      </w:r>
      <w:r>
        <w:rPr>
          <w:rFonts w:ascii="Times New Roman" w:cs="Times New Roman" w:eastAsia="Times New Roman" w:hAnsi="Times New Roman"/>
          <w:sz w:val="24"/>
          <w:szCs w:val="24"/>
        </w:rPr>
        <w:t xml:space="preserve"> (Bodel 1989, V. 6–11):</w:t>
      </w:r>
    </w:p>
    <w:p>
      <w:pPr>
        <w:spacing w:after="0" w:line="240"/>
        <w:ind w:left="566"/>
      </w:pPr>
      <w:r>
        <w:rPr>
          <w:rFonts w:ascii="Times New Roman" w:cs="Times New Roman" w:eastAsia="Times New Roman" w:hAnsi="Times New Roman"/>
          <w:sz w:val="24"/>
          <w:szCs w:val="24"/>
        </w:rPr>
        <w:t xml:space="preserve">N’en sont que trois materes a nul home vivant :</w:t>
      </w:r>
    </w:p>
    <w:p>
      <w:pPr>
        <w:spacing w:after="0" w:line="240"/>
        <w:ind w:left="566"/>
      </w:pPr>
      <w:r>
        <w:rPr>
          <w:rFonts w:ascii="Times New Roman" w:cs="Times New Roman" w:eastAsia="Times New Roman" w:hAnsi="Times New Roman"/>
          <w:sz w:val="24"/>
          <w:szCs w:val="24"/>
        </w:rPr>
        <w:t xml:space="preserve">De France et de Bretaigne et de Ronme la grant ;</w:t>
      </w:r>
    </w:p>
    <w:p>
      <w:pPr>
        <w:spacing w:after="0" w:line="240"/>
        <w:ind w:left="566"/>
      </w:pPr>
      <w:r>
        <w:rPr>
          <w:rFonts w:ascii="Times New Roman" w:cs="Times New Roman" w:eastAsia="Times New Roman" w:hAnsi="Times New Roman"/>
          <w:sz w:val="24"/>
          <w:szCs w:val="24"/>
        </w:rPr>
        <w:t xml:space="preserve">Ne de ces trois materes n’i a nule samblant.</w:t>
      </w:r>
    </w:p>
    <w:p>
      <w:pPr>
        <w:spacing w:after="0" w:line="240"/>
        <w:ind w:left="566"/>
      </w:pPr>
      <w:r>
        <w:rPr>
          <w:rFonts w:ascii="Times New Roman" w:cs="Times New Roman" w:eastAsia="Times New Roman" w:hAnsi="Times New Roman"/>
          <w:sz w:val="24"/>
          <w:szCs w:val="24"/>
        </w:rPr>
        <w:t xml:space="preserve">Li conte de Bretaigne sont si vain et plaisant,</w:t>
      </w:r>
    </w:p>
    <w:p>
      <w:pPr>
        <w:spacing w:after="0" w:line="240"/>
        <w:ind w:left="566"/>
      </w:pPr>
      <w:r>
        <w:rPr>
          <w:rFonts w:ascii="Times New Roman" w:cs="Times New Roman" w:eastAsia="Times New Roman" w:hAnsi="Times New Roman"/>
          <w:sz w:val="24"/>
          <w:szCs w:val="24"/>
        </w:rPr>
        <w:t xml:space="preserve">Et cil de Ronme sage et de sens aprendant,</w:t>
      </w:r>
    </w:p>
    <w:p>
      <w:pPr>
        <w:spacing w:after="0" w:line="240"/>
        <w:ind w:left="566"/>
      </w:pPr>
      <w:r>
        <w:rPr>
          <w:rFonts w:ascii="Times New Roman" w:cs="Times New Roman" w:eastAsia="Times New Roman" w:hAnsi="Times New Roman"/>
          <w:sz w:val="24"/>
          <w:szCs w:val="24"/>
        </w:rPr>
        <w:t xml:space="preserve">Cil de France sont voir de chascun jour aparant.</w:t>
      </w:r>
      <w:r>
        <w:rPr>
          <w:rStyle w:val="FootnoteReference"/>
        </w:rPr>
        <w:footnoteReference w:id="3"/>
      </w:r>
    </w:p>
    <w:p>
      <w:pPr>
        <w:spacing w:after="120" w:before="160" w:line="240"/>
        <w:jc w:val="both"/>
      </w:pPr>
      <w:r>
        <w:rPr>
          <w:rFonts w:ascii="Times New Roman" w:cs="Times New Roman" w:eastAsia="Times New Roman" w:hAnsi="Times New Roman"/>
          <w:sz w:val="24"/>
          <w:szCs w:val="24"/>
        </w:rPr>
        <w:t xml:space="preserve">Bodel unterscheidet somit zwischen der </w:t>
      </w:r>
      <w:r>
        <w:rPr>
          <w:rFonts w:ascii="Times New Roman" w:cs="Times New Roman" w:eastAsia="Times New Roman" w:hAnsi="Times New Roman"/>
          <w:i/>
          <w:iCs/>
          <w:sz w:val="24"/>
          <w:szCs w:val="24"/>
        </w:rPr>
        <w:t xml:space="preserve">matière de Bretagne</w:t>
      </w:r>
      <w:r>
        <w:rPr>
          <w:rFonts w:ascii="Times New Roman" w:cs="Times New Roman" w:eastAsia="Times New Roman" w:hAnsi="Times New Roman"/>
          <w:sz w:val="24"/>
          <w:szCs w:val="24"/>
        </w:rPr>
        <w:t xml:space="preserve">, der </w:t>
      </w:r>
      <w:r>
        <w:rPr>
          <w:rFonts w:ascii="Times New Roman" w:cs="Times New Roman" w:eastAsia="Times New Roman" w:hAnsi="Times New Roman"/>
          <w:i/>
          <w:iCs/>
          <w:sz w:val="24"/>
          <w:szCs w:val="24"/>
        </w:rPr>
        <w:t xml:space="preserve">matière de Rome</w:t>
      </w:r>
      <w:r>
        <w:rPr>
          <w:rFonts w:ascii="Times New Roman" w:cs="Times New Roman" w:eastAsia="Times New Roman" w:hAnsi="Times New Roman"/>
          <w:sz w:val="24"/>
          <w:szCs w:val="24"/>
        </w:rPr>
        <w:t xml:space="preserve"> und der </w:t>
      </w:r>
      <w:r>
        <w:rPr>
          <w:rFonts w:ascii="Times New Roman" w:cs="Times New Roman" w:eastAsia="Times New Roman" w:hAnsi="Times New Roman"/>
          <w:i/>
          <w:iCs/>
          <w:sz w:val="24"/>
          <w:szCs w:val="24"/>
        </w:rPr>
        <w:t xml:space="preserve">matière de France</w:t>
      </w:r>
      <w:r>
        <w:rPr>
          <w:rFonts w:ascii="Times New Roman" w:cs="Times New Roman" w:eastAsia="Times New Roman" w:hAnsi="Times New Roman"/>
          <w:sz w:val="24"/>
          <w:szCs w:val="24"/>
        </w:rPr>
        <w:t xml:space="preserve"> und charakterisiert sie nicht nur über ihre Stoffe, sondern auch über die unterschiedlichen Qualitäten, die er ihren Erzählungen zuschreibt. Für unsere Analyse verwenden wir diese drei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in erster Linie als thematische Kategorien: </w:t>
      </w:r>
      <w:r>
        <w:rPr>
          <w:rFonts w:ascii="Times New Roman" w:cs="Times New Roman" w:eastAsia="Times New Roman" w:hAnsi="Times New Roman"/>
          <w:i/>
          <w:iCs/>
          <w:sz w:val="24"/>
          <w:szCs w:val="24"/>
        </w:rPr>
        <w:t xml:space="preserve">Britain</w:t>
      </w:r>
      <w:r>
        <w:rPr>
          <w:rFonts w:ascii="Times New Roman" w:cs="Times New Roman" w:eastAsia="Times New Roman" w:hAnsi="Times New Roman"/>
          <w:sz w:val="24"/>
          <w:szCs w:val="24"/>
        </w:rPr>
        <w:t xml:space="preserve"> umfasst die mit Artus und der britannischen Welt verbundenen Erzählungen; </w:t>
      </w:r>
      <w:r>
        <w:rPr>
          <w:rFonts w:ascii="Times New Roman" w:cs="Times New Roman" w:eastAsia="Times New Roman" w:hAnsi="Times New Roman"/>
          <w:i/>
          <w:iCs/>
          <w:sz w:val="24"/>
          <w:szCs w:val="24"/>
        </w:rPr>
        <w:t xml:space="preserve">France</w:t>
      </w:r>
      <w:r>
        <w:rPr>
          <w:rFonts w:ascii="Times New Roman" w:cs="Times New Roman" w:eastAsia="Times New Roman" w:hAnsi="Times New Roman"/>
          <w:sz w:val="24"/>
          <w:szCs w:val="24"/>
        </w:rPr>
        <w:t xml:space="preserve"> konzentriert sich vor allem auf Karl den Großen und die heroische Welt der </w:t>
      </w:r>
      <w:r>
        <w:rPr>
          <w:rFonts w:ascii="Times New Roman" w:cs="Times New Roman" w:eastAsia="Times New Roman" w:hAnsi="Times New Roman"/>
          <w:i/>
          <w:iCs/>
          <w:sz w:val="24"/>
          <w:szCs w:val="24"/>
        </w:rPr>
        <w:t xml:space="preserve">chansons de geste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Rome</w:t>
      </w:r>
      <w:r>
        <w:rPr>
          <w:rFonts w:ascii="Times New Roman" w:cs="Times New Roman" w:eastAsia="Times New Roman" w:hAnsi="Times New Roman"/>
          <w:sz w:val="24"/>
          <w:szCs w:val="24"/>
        </w:rPr>
        <w:t xml:space="preserve"> schließt die Erzählungen über die klassische Antike ein. Werke außerhalb dieser drei Kategorien werden hier als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zusammengefasst. Die Verteilungen unterscheiden sich zwischen dem französischen und dem deutschen Korpus erheblich (Abb. 2).</w:t>
      </w:r>
    </w:p>
    <w:p>
      <w:pPr>
        <w:keepNext/>
        <w:spacing w:after="60" w:before="120" w:line="240"/>
        <w:jc w:val="center"/>
      </w:pPr>
      <w:r>
        <w:drawing>
          <wp:inline distT="0" distB="0" distL="0" distR="0">
            <wp:extent cx="54006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2657475"/>
                    </a:xfrm>
                    <a:prstGeom prst="rect">
                      <a:avLst/>
                    </a:prstGeom>
                  </pic:spPr>
                </pic:pic>
              </a:graphicData>
            </a:graphic>
          </wp:inline>
        </w:drawing>
      </w:r>
    </w:p>
    <w:p>
      <w:pPr>
        <w:spacing w:after="240" w:line="240"/>
      </w:pPr>
      <w:r>
        <w:rPr>
          <w:rFonts w:ascii="Times New Roman" w:cs="Times New Roman" w:eastAsia="Times New Roman" w:hAnsi="Times New Roman"/>
          <w:sz w:val="22"/>
          <w:szCs w:val="22"/>
        </w:rPr>
        <w:t xml:space="preserve">Abbildung 2: Absoluter und relativer Anteil der Werke, die in den beiden Sprachen den einzelnen </w:t>
      </w:r>
      <w:r>
        <w:rPr>
          <w:rFonts w:ascii="Times New Roman" w:cs="Times New Roman" w:eastAsia="Times New Roman" w:hAnsi="Times New Roman"/>
          <w:i/>
          <w:iCs/>
          <w:sz w:val="22"/>
          <w:szCs w:val="22"/>
        </w:rPr>
        <w:t xml:space="preserve">matières</w:t>
      </w:r>
      <w:r>
        <w:rPr>
          <w:rFonts w:ascii="Times New Roman" w:cs="Times New Roman" w:eastAsia="Times New Roman" w:hAnsi="Times New Roman"/>
          <w:sz w:val="22"/>
          <w:szCs w:val="22"/>
        </w:rPr>
        <w:t xml:space="preserve"> zugewiesen sind. In der französischen Kategorie </w:t>
      </w:r>
      <w:r>
        <w:rPr>
          <w:rFonts w:ascii="Times New Roman" w:cs="Times New Roman" w:eastAsia="Times New Roman" w:hAnsi="Times New Roman"/>
          <w:i/>
          <w:iCs/>
          <w:sz w:val="22"/>
          <w:szCs w:val="22"/>
        </w:rPr>
        <w:t xml:space="preserve">Other</w:t>
      </w:r>
      <w:r>
        <w:rPr>
          <w:rFonts w:ascii="Times New Roman" w:cs="Times New Roman" w:eastAsia="Times New Roman" w:hAnsi="Times New Roman"/>
          <w:sz w:val="22"/>
          <w:szCs w:val="22"/>
        </w:rPr>
        <w:t xml:space="preserve"> sind 20 Werke nach 1300 entstanden: Dies verdeutlicht, dass Bodels Klassifikation durchaus auf die zu seiner Zeit beliebten Stoffe hin ausgerichtet sein könnte. Innerhalb der (deutschen) Kategorie </w:t>
      </w:r>
      <w:r>
        <w:rPr>
          <w:rFonts w:ascii="Times New Roman" w:cs="Times New Roman" w:eastAsia="Times New Roman" w:hAnsi="Times New Roman"/>
          <w:i/>
          <w:iCs/>
          <w:sz w:val="22"/>
          <w:szCs w:val="22"/>
        </w:rPr>
        <w:t xml:space="preserve">Other</w:t>
      </w:r>
      <w:r>
        <w:rPr>
          <w:rFonts w:ascii="Times New Roman" w:cs="Times New Roman" w:eastAsia="Times New Roman" w:hAnsi="Times New Roman"/>
          <w:sz w:val="22"/>
          <w:szCs w:val="22"/>
        </w:rPr>
        <w:t xml:space="preserve"> lassen sich 18 Werke der Heldendichtung zählen, die außerhalb von Bodels Klassifikation liegen.</w:t>
      </w:r>
    </w:p>
    <w:p>
      <w:pPr>
        <w:spacing w:after="120" w:before="0" w:line="240"/>
        <w:jc w:val="both"/>
      </w:pPr>
      <w:r>
        <w:rPr>
          <w:rFonts w:ascii="Times New Roman" w:cs="Times New Roman" w:eastAsia="Times New Roman" w:hAnsi="Times New Roman"/>
          <w:sz w:val="24"/>
          <w:szCs w:val="24"/>
        </w:rPr>
        <w:t xml:space="preserve">Während Bodel für die Kategorisierung der französischen Erzählungen offenkundig einen interessanten Rahmen bietet, ist seine Übertragung auf das deutsche Material erheblich weniger selbstverständlich – und vielleicht sogar tendenziös. Im französischen Korpus decken Bodels Kategorien einen beträchtlichen Teil des Materials ab. Besonders prominent ist die </w:t>
      </w:r>
      <w:r>
        <w:rPr>
          <w:rFonts w:ascii="Times New Roman" w:cs="Times New Roman" w:eastAsia="Times New Roman" w:hAnsi="Times New Roman"/>
          <w:i/>
          <w:iCs/>
          <w:sz w:val="24"/>
          <w:szCs w:val="24"/>
        </w:rPr>
        <w:t xml:space="preserve">matière de France</w:t>
      </w:r>
      <w:r>
        <w:rPr>
          <w:rFonts w:ascii="Times New Roman" w:cs="Times New Roman" w:eastAsia="Times New Roman" w:hAnsi="Times New Roman"/>
          <w:sz w:val="24"/>
          <w:szCs w:val="24"/>
        </w:rPr>
        <w:t xml:space="preserve">, was den großen Bestand an </w:t>
      </w:r>
      <w:r>
        <w:rPr>
          <w:rFonts w:ascii="Times New Roman" w:cs="Times New Roman" w:eastAsia="Times New Roman" w:hAnsi="Times New Roman"/>
          <w:i/>
          <w:iCs/>
          <w:sz w:val="24"/>
          <w:szCs w:val="24"/>
        </w:rPr>
        <w:t xml:space="preserve">chansons de geste</w:t>
      </w:r>
      <w:r>
        <w:rPr>
          <w:rFonts w:ascii="Times New Roman" w:cs="Times New Roman" w:eastAsia="Times New Roman" w:hAnsi="Times New Roman"/>
          <w:sz w:val="24"/>
          <w:szCs w:val="24"/>
        </w:rPr>
        <w:t xml:space="preserve"> widerspiegelt; auch die </w:t>
      </w:r>
      <w:r>
        <w:rPr>
          <w:rFonts w:ascii="Times New Roman" w:cs="Times New Roman" w:eastAsia="Times New Roman" w:hAnsi="Times New Roman"/>
          <w:i/>
          <w:iCs/>
          <w:sz w:val="24"/>
          <w:szCs w:val="24"/>
        </w:rPr>
        <w:t xml:space="preserve">matière de Bretagne</w:t>
      </w:r>
      <w:r>
        <w:rPr>
          <w:rFonts w:ascii="Times New Roman" w:cs="Times New Roman" w:eastAsia="Times New Roman" w:hAnsi="Times New Roman"/>
          <w:sz w:val="24"/>
          <w:szCs w:val="24"/>
        </w:rPr>
        <w:t xml:space="preserve"> macht einen erheblichen Teil des Korpus aus. Die deutsche Verteilung ist deutlich anders, vor allem durch den wesentlich größeren Anteil der als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klassifizierten Werke. Diese Kategorie ist jedoch nicht einfach als heterogener Rest von Texten zu verstehen, die sich einer sinnvollen Klassifikation entziehen. Sie umfasst vor allem die deutsche Heldendichtung, eine der markantesten genuin einheimischen Traditionen der deutschen Erzählliteratur. Auf der Grundlage der genetischen Klassifikation des </w:t>
      </w:r>
      <w:r>
        <w:rPr>
          <w:rFonts w:ascii="Times New Roman" w:cs="Times New Roman" w:eastAsia="Times New Roman" w:hAnsi="Times New Roman"/>
          <w:i/>
          <w:iCs/>
          <w:sz w:val="24"/>
          <w:szCs w:val="24"/>
        </w:rPr>
        <w:t xml:space="preserve">Handschriftencensus</w:t>
      </w:r>
      <w:r>
        <w:rPr>
          <w:rFonts w:ascii="Times New Roman" w:cs="Times New Roman" w:eastAsia="Times New Roman" w:hAnsi="Times New Roman"/>
          <w:sz w:val="24"/>
          <w:szCs w:val="24"/>
        </w:rPr>
        <w:t xml:space="preserve"> haben wir Werke der Kategorie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wo zutreffend, manuell als Heldendichtung annotiert (Handschriftencensus, „Helden- und Dietrichepik“; Lienert 2015). Dies erlaubte es, diese spezifisch deutsche Kategorie, die dem französischen Korpus naturgemäß fehlt, in den weiteren Analysen zu berücksichtigen. Die Prominenz von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legt somit eine grundlegende Asymmetrie in der vergleichenden Anwendung von Bodels Schema offen: Die drei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erfassen einen wesentlich größeren Anteil des französischen als des deutschen Korpus. Dieser Unterschied in der Abdeckung bedeutet allerdings nicht notwendigerweise, dass Bodels Kategorien die deutsche Mitüberlieferung dort, wo sie anwendbar sind, weniger stark strukturieren.</w:t>
      </w:r>
    </w:p>
    <w:p>
      <w:pPr>
        <w:spacing w:after="120" w:before="0" w:line="240"/>
        <w:jc w:val="both"/>
      </w:pPr>
      <w:r>
        <w:rPr>
          <w:rFonts w:ascii="Times New Roman" w:cs="Times New Roman" w:eastAsia="Times New Roman" w:hAnsi="Times New Roman"/>
          <w:sz w:val="24"/>
          <w:szCs w:val="24"/>
        </w:rPr>
        <w:t xml:space="preserve">Diese Asymmetrie ist für die folgenden Analysen von Bedeutung. Wenn Werke derselben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dazu neigen, gemeinsam überliefert zu werden, spräche dies dafür, dass Bodels Kategorien zumindest teilweise Mustern der mittelalterlichen handschriftlichen Überlieferung entsprechen. Die ungleiche Abdeckung der beiden Korpora ist dabei jedoch im Blick zu behalten: Die große Kategorie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kann kohärente Textgemeinschaften verbergen, die Bodels Modell schlicht nicht als solche unterschieden hat. Bodels Schema kann hier also nicht als neutrale Taxonomie dienen, sondern ist als historische Hypothese zu behandeln, die an der handschriftlichen Überlieferung zu überprüfen ist. Kommen Werke, die derselben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zugewiesen sind, tatsächlich gemeinsam vor, und ist der Zusammenhang zwischen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und Mitüberlieferung in beiden Traditionen gleich stark?</w:t>
      </w:r>
    </w:p>
    <w:p>
      <w:pPr>
        <w:keepNext/>
        <w:spacing w:after="120" w:before="240" w:line="240"/>
      </w:pPr>
      <w:r>
        <w:rPr>
          <w:rFonts w:ascii="Times New Roman" w:cs="Times New Roman" w:eastAsia="Times New Roman" w:hAnsi="Times New Roman"/>
          <w:b/>
          <w:bCs/>
          <w:i/>
          <w:iCs/>
          <w:sz w:val="24"/>
          <w:szCs w:val="24"/>
        </w:rPr>
        <w:t xml:space="preserve">Matière</w:t>
      </w:r>
      <w:r>
        <w:rPr>
          <w:rFonts w:ascii="Times New Roman" w:cs="Times New Roman" w:eastAsia="Times New Roman" w:hAnsi="Times New Roman"/>
          <w:b/>
          <w:bCs/>
          <w:sz w:val="24"/>
          <w:szCs w:val="24"/>
        </w:rPr>
        <w:t xml:space="preserve"> und Textgemeinschaften in den Mitüberlieferungsnetzwerken</w:t>
      </w:r>
    </w:p>
    <w:p>
      <w:pPr>
        <w:spacing w:after="120" w:before="0" w:line="240"/>
        <w:jc w:val="both"/>
      </w:pPr>
      <w:r>
        <w:rPr>
          <w:rFonts w:ascii="Times New Roman" w:cs="Times New Roman" w:eastAsia="Times New Roman" w:hAnsi="Times New Roman"/>
          <w:sz w:val="24"/>
          <w:szCs w:val="24"/>
        </w:rPr>
        <w:t xml:space="preserve">Im weiteren Verlauf dieses Beitrags nutzen wir die Netzwerkanalyse, um Muster der Mitüberlieferung innerhalb der und zwischen den verschiedenen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zu untersuchen. Im resultierenden Graphen werden die Werke als Knoten dargestellt und immer dann durch eine Kante verbunden, wenn sie gemeinsam in einem Textträger vorkommen. Jedes bezeugte gemeinsame Vorkommen erhöht das Gewicht der entsprechenden Kante um eins, sodass das Kantengewicht angibt, wie oft ein bestimmtes Werkpaar in der handschriftlichen Überlieferung bezeugt ist. Eine Handschrift mit vier verschiedenen Werken trägt also zum Gewicht von sechs Kanten bei, die alle möglichen Werkpaare repräsentieren. Das resultierende Netzwerk ist </w:t>
      </w:r>
      <w:r>
        <w:rPr>
          <w:rFonts w:ascii="Times New Roman" w:cs="Times New Roman" w:eastAsia="Times New Roman" w:hAnsi="Times New Roman"/>
          <w:i/>
          <w:iCs/>
          <w:sz w:val="24"/>
          <w:szCs w:val="24"/>
        </w:rPr>
        <w:t xml:space="preserve">ungerichtet</w:t>
      </w:r>
      <w:r>
        <w:rPr>
          <w:rFonts w:ascii="Times New Roman" w:cs="Times New Roman" w:eastAsia="Times New Roman" w:hAnsi="Times New Roman"/>
          <w:sz w:val="24"/>
          <w:szCs w:val="24"/>
        </w:rPr>
        <w:t xml:space="preserve">: Die Kanten drücken die Stärke, nicht aber die Richtung der Verbindung zwischen zwei Werken aus. Solche Darstellungen sind in den digitalen Geisteswissenschaften verbreitet, weil sie es erlauben, die relationale Struktur der Daten zu visualisieren und zu quantifizieren.</w:t>
      </w:r>
    </w:p>
    <w:p>
      <w:pPr>
        <w:spacing w:after="120" w:before="0" w:line="240"/>
        <w:jc w:val="both"/>
      </w:pPr>
      <w:r>
        <w:rPr>
          <w:rFonts w:ascii="Times New Roman" w:cs="Times New Roman" w:eastAsia="Times New Roman" w:hAnsi="Times New Roman"/>
          <w:sz w:val="24"/>
          <w:szCs w:val="24"/>
        </w:rPr>
        <w:t xml:space="preserve">Abbildung 3 visualisiert die Mitüberlieferungsnetzwerke beider Sprachen für die Werke der drei Bodel’schen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und der Kategorie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wobei die Heldendichtung durch eine eigene Farbe hervorgehoben ist. Die Darstellungen verwenden einen verbreiteten Layout-Algorithmus (Fruchterman-Reingold), der Werke, die direkt oder indirekt über gemeinsames Vorkommen verbunden sind, näher zueinander positioniert und schwächer verbundene Werke weiter voneinander entfernt platziert. Zu beachten ist, dass zwei Werke, selbst wenn sie physisch </w:t>
      </w:r>
      <w:r>
        <w:rPr>
          <w:rFonts w:ascii="Times New Roman" w:cs="Times New Roman" w:eastAsia="Times New Roman" w:hAnsi="Times New Roman"/>
          <w:i/>
          <w:iCs/>
          <w:sz w:val="24"/>
          <w:szCs w:val="24"/>
        </w:rPr>
        <w:t xml:space="preserve">nie</w:t>
      </w:r>
      <w:r>
        <w:rPr>
          <w:rFonts w:ascii="Times New Roman" w:cs="Times New Roman" w:eastAsia="Times New Roman" w:hAnsi="Times New Roman"/>
          <w:sz w:val="24"/>
          <w:szCs w:val="24"/>
        </w:rPr>
        <w:t xml:space="preserve"> gemeinsam in einer Handschrift vorkommen, dennoch eine ähnliche Position im Netzwerk einnehmen können, etwa weil sie häufig mit denselben handschriftlichen Nachbarn zusammen auftreten. Die Größe der Knoten entspricht dem Umfang der erhaltenen handschriftlichen Überlieferung eines Werkes, d. h. der Zahl der nicht-fragmentarischen Handschriften, in denen es bezeugt ist (in beiden Netzwerken auf derselben Skala); die Zahl der verschiedenen Werke, mit denen ein Roman zusammen überliefert ist – sein sogenannter Grad –, ist dagegen an den von ihm ausgehenden Kanten ablesbar. In beiden Netzwerken zeigen Werke derselben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eine sichtbare Tendenz, sich zusammenzuballen, ohne dass sich eines der Netzwerke in drei diskrete Gemeinschaften auflösen würde. Auf den ersten Blick scheinen Bodels Kategorien die Mitüberlieferung also bis zu einem gewissen Grad zu strukturieren, erklären aber nicht vollständig, wie sich die Werke gruppieren.</w:t>
      </w:r>
    </w:p>
    <w:p>
      <w:pPr>
        <w:keepNext/>
        <w:spacing w:after="60" w:before="120" w:line="240"/>
        <w:jc w:val="center"/>
      </w:pPr>
      <w:r>
        <w:drawing>
          <wp:inline distT="0" distB="0" distL="0" distR="0">
            <wp:extent cx="576262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943225"/>
                    </a:xfrm>
                    <a:prstGeom prst="rect">
                      <a:avLst/>
                    </a:prstGeom>
                  </pic:spPr>
                </pic:pic>
              </a:graphicData>
            </a:graphic>
          </wp:inline>
        </w:drawing>
      </w:r>
    </w:p>
    <w:p>
      <w:pPr>
        <w:spacing w:after="240" w:line="240"/>
      </w:pPr>
      <w:r>
        <w:rPr>
          <w:rFonts w:ascii="Times New Roman" w:cs="Times New Roman" w:eastAsia="Times New Roman" w:hAnsi="Times New Roman"/>
          <w:sz w:val="22"/>
          <w:szCs w:val="22"/>
        </w:rPr>
        <w:t xml:space="preserve">Abbildung 3 (A und B): Mitüberlieferungsnetzwerke der französischen und der deutschen Werke. Dargestellt sind alle Werke mit mindestens einem handschriftlichen Nachbarn, gefärbt nach </w:t>
      </w:r>
      <w:r>
        <w:rPr>
          <w:rFonts w:ascii="Times New Roman" w:cs="Times New Roman" w:eastAsia="Times New Roman" w:hAnsi="Times New Roman"/>
          <w:i/>
          <w:iCs/>
          <w:sz w:val="22"/>
          <w:szCs w:val="22"/>
        </w:rPr>
        <w:t xml:space="preserve">matière</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Britain</w:t>
      </w:r>
      <w:r>
        <w:rPr>
          <w:rFonts w:ascii="Times New Roman" w:cs="Times New Roman" w:eastAsia="Times New Roman" w:hAnsi="Times New Roman"/>
          <w:sz w:val="22"/>
          <w:szCs w:val="22"/>
        </w:rPr>
        <w:t xml:space="preserve"> (blau), </w:t>
      </w:r>
      <w:r>
        <w:rPr>
          <w:rFonts w:ascii="Times New Roman" w:cs="Times New Roman" w:eastAsia="Times New Roman" w:hAnsi="Times New Roman"/>
          <w:i/>
          <w:iCs/>
          <w:sz w:val="22"/>
          <w:szCs w:val="22"/>
        </w:rPr>
        <w:t xml:space="preserve">France</w:t>
      </w:r>
      <w:r>
        <w:rPr>
          <w:rFonts w:ascii="Times New Roman" w:cs="Times New Roman" w:eastAsia="Times New Roman" w:hAnsi="Times New Roman"/>
          <w:sz w:val="22"/>
          <w:szCs w:val="22"/>
        </w:rPr>
        <w:t xml:space="preserve"> (rot), </w:t>
      </w:r>
      <w:r>
        <w:rPr>
          <w:rFonts w:ascii="Times New Roman" w:cs="Times New Roman" w:eastAsia="Times New Roman" w:hAnsi="Times New Roman"/>
          <w:i/>
          <w:iCs/>
          <w:sz w:val="22"/>
          <w:szCs w:val="22"/>
        </w:rPr>
        <w:t xml:space="preserve">Rome</w:t>
      </w:r>
      <w:r>
        <w:rPr>
          <w:rFonts w:ascii="Times New Roman" w:cs="Times New Roman" w:eastAsia="Times New Roman" w:hAnsi="Times New Roman"/>
          <w:sz w:val="22"/>
          <w:szCs w:val="22"/>
        </w:rPr>
        <w:t xml:space="preserve"> (orange), Heldendichtung (violett) und die übrigen Werke der Kategorie </w:t>
      </w:r>
      <w:r>
        <w:rPr>
          <w:rFonts w:ascii="Times New Roman" w:cs="Times New Roman" w:eastAsia="Times New Roman" w:hAnsi="Times New Roman"/>
          <w:i/>
          <w:iCs/>
          <w:sz w:val="22"/>
          <w:szCs w:val="22"/>
        </w:rPr>
        <w:t xml:space="preserve">Other</w:t>
      </w:r>
      <w:r>
        <w:rPr>
          <w:rFonts w:ascii="Times New Roman" w:cs="Times New Roman" w:eastAsia="Times New Roman" w:hAnsi="Times New Roman"/>
          <w:sz w:val="22"/>
          <w:szCs w:val="22"/>
        </w:rPr>
        <w:t xml:space="preserve"> (grau). Die Knoten stehen für einzelne Werke; die Kanten messen die Zahl der Handschriften, in denen ein Werkpaar gemeinsam vorkommt, und werden mit steigender Zahl dicker und dunkler gezeichnet. Die Knotengröße ist proportional zur Zahl der erhaltenen Handschriften eines Werkes (gleiche Skala in beiden Netzwerken). Die Position der Knoten bestimmt ein Layout-Algorithmus, der häufiger gemeinsam überlieferte Werke näher beieinander platziert.</w:t>
      </w:r>
    </w:p>
    <w:p>
      <w:pPr>
        <w:spacing w:after="120" w:before="0" w:line="240"/>
        <w:jc w:val="both"/>
      </w:pPr>
      <w:r>
        <w:rPr>
          <w:rFonts w:ascii="Times New Roman" w:cs="Times New Roman" w:eastAsia="Times New Roman" w:hAnsi="Times New Roman"/>
          <w:sz w:val="24"/>
          <w:szCs w:val="24"/>
        </w:rPr>
        <w:t xml:space="preserve">Wie stark wird das gemeinsame Vorkommen von Werken durch die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strukturiert? Um diesen Effekt zu bemessen, haben wir ein statistisches Modell entwickelt. Für jedes Werk behandelt das Modell alle Verbindungen zu seinen handschriftlichen Nachbarn als eine Reihe von Versuchen: Gehört ein solcher Nachbar derselben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an, werten wir dies als „Erfolg“, andernfalls als „Misserfolg“. Als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klassifizierte Texte, einschließlich der Heldendichtung, haben wir ausdrücklich unter diese Nachbarn aufgenommen, ohne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selbst als vierte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zu behandeln. Kommen zwei Artusromane allein in einer Handschrift vor, so ist dies ein stärkerer Beleg für eine auf der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beruhende Kohäsion, als wenn dieselben beiden Romane in einer Handschrift stehen, die daneben mehrere als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klassifizierte Texte enthält. Unser Modell schätzt somit die Wahrscheinlichkeit, dass zwei in einer Handschrift gemeinsam vorkommende Werke dieselbe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teilen. Wir verwenden ein bayesianisches Modell</w:t>
      </w:r>
      <w:r>
        <w:rPr>
          <w:rStyle w:val="FootnoteReference"/>
        </w:rPr>
        <w:footnoteReference w:id="4"/>
      </w:r>
      <w:r>
        <w:rPr>
          <w:rFonts w:ascii="Times New Roman" w:cs="Times New Roman" w:eastAsia="Times New Roman" w:hAnsi="Times New Roman"/>
          <w:sz w:val="24"/>
          <w:szCs w:val="24"/>
        </w:rPr>
        <w:t xml:space="preserve"> mit einer binomialen Zielgröße (die genannten Erfolge gegenüber der Zahl der Versuche) auf der Grundlage einer Interaktion unserer beiden Prädiktoren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und Sprache.</w:t>
      </w:r>
      <w:r>
        <w:rPr>
          <w:rStyle w:val="FootnoteReference"/>
        </w:rPr>
        <w:footnoteReference w:id="5"/>
      </w:r>
      <w:r>
        <w:rPr>
          <w:rFonts w:ascii="Times New Roman" w:cs="Times New Roman" w:eastAsia="Times New Roman" w:hAnsi="Times New Roman"/>
          <w:sz w:val="24"/>
          <w:szCs w:val="24"/>
        </w:rPr>
        <w:t xml:space="preserve"> Dies erlaubt es, für jede Kombination aus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und Tradition die Wahrscheinlichkeit eines „Erfolgs“ zu schätzen, zusammen mit Glaubwürdigkeitsintervallen, die die Unsicherheit jeder Schätzung angeben. Wir interpretieren diese Wahrscheinlichkeit als handschriftliche Kohäsion.</w:t>
      </w:r>
    </w:p>
    <w:p>
      <w:pPr>
        <w:spacing w:after="120" w:before="0" w:line="240"/>
        <w:jc w:val="both"/>
      </w:pPr>
      <w:r>
        <w:rPr>
          <w:rFonts w:ascii="Times New Roman" w:cs="Times New Roman" w:eastAsia="Times New Roman" w:hAnsi="Times New Roman"/>
          <w:sz w:val="24"/>
          <w:szCs w:val="24"/>
        </w:rPr>
        <w:t xml:space="preserve">Insgesamt könnte der „Bodel-Effekt“ im französischen Handschriftenkorpus stärker erscheinen als im deutschen. Die Gesamtwahrscheinlichkeit, dass der handschriftliche Nachbar eines Werkes derselben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angehört, beträgt – auf eine gemeinsame Zusammensetzung der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standardisiert – 0,858 [0,849; 0,866] für das Französische gegenüber 0,711 [0,665; 0,754] für das Deutsche. Allerdings ist zu bedenken, dass die beiden Traditionen nicht von derselben Ausgangslage aus starten, da ein größerer Teil des deutschen Korpus außerhalb von Bodels drei Kategorien liegt. Ein zufällig gewählter deutscher Nachbar gehört daher von vornherein deutlich seltener zu einem passenden Werk der Kategorien </w:t>
      </w:r>
      <w:r>
        <w:rPr>
          <w:rFonts w:ascii="Times New Roman" w:cs="Times New Roman" w:eastAsia="Times New Roman" w:hAnsi="Times New Roman"/>
          <w:i/>
          <w:iCs/>
          <w:sz w:val="24"/>
          <w:szCs w:val="24"/>
        </w:rPr>
        <w:t xml:space="preserve">Britain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France</w:t>
      </w:r>
      <w:r>
        <w:rPr>
          <w:rFonts w:ascii="Times New Roman" w:cs="Times New Roman" w:eastAsia="Times New Roman" w:hAnsi="Times New Roman"/>
          <w:sz w:val="24"/>
          <w:szCs w:val="24"/>
        </w:rPr>
        <w:t xml:space="preserve"> oder </w:t>
      </w:r>
      <w:r>
        <w:rPr>
          <w:rFonts w:ascii="Times New Roman" w:cs="Times New Roman" w:eastAsia="Times New Roman" w:hAnsi="Times New Roman"/>
          <w:i/>
          <w:iCs/>
          <w:sz w:val="24"/>
          <w:szCs w:val="24"/>
        </w:rPr>
        <w:t xml:space="preserve">Rome</w:t>
      </w:r>
      <w:r>
        <w:rPr>
          <w:rFonts w:ascii="Times New Roman" w:cs="Times New Roman" w:eastAsia="Times New Roman" w:hAnsi="Times New Roman"/>
          <w:sz w:val="24"/>
          <w:szCs w:val="24"/>
        </w:rPr>
        <w:t xml:space="preserve">: Die zufällige Grundwahrscheinlichkeit einer solchen Übereinstimmung beträgt 0,32 für das Französische und nur 0,19 für das Deutsche. Das französische Korpus erscheint also in absoluten Zahlen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-kohäsiver, doch bedeutet dies nicht notwendigerweise, dass die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die französische Überlieferung stärker strukturiert, da der Unterschied zum Teil den größeren Anteil deutscher Werke außerhalb von Bodels Schema widerspiegelt.</w:t>
      </w:r>
    </w:p>
    <w:p>
      <w:pPr>
        <w:keepNext/>
        <w:spacing w:after="60" w:before="120" w:line="240"/>
        <w:jc w:val="center"/>
      </w:pPr>
      <w:r>
        <w:drawing>
          <wp:inline distT="0" distB="0" distL="0" distR="0">
            <wp:extent cx="46767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76775" cy="2886075"/>
                    </a:xfrm>
                    <a:prstGeom prst="rect">
                      <a:avLst/>
                    </a:prstGeom>
                  </pic:spPr>
                </pic:pic>
              </a:graphicData>
            </a:graphic>
          </wp:inline>
        </w:drawing>
      </w:r>
    </w:p>
    <w:p>
      <w:pPr>
        <w:spacing w:after="240" w:line="240"/>
      </w:pPr>
      <w:r>
        <w:rPr>
          <w:rFonts w:ascii="Times New Roman" w:cs="Times New Roman" w:eastAsia="Times New Roman" w:hAnsi="Times New Roman"/>
          <w:sz w:val="22"/>
          <w:szCs w:val="22"/>
        </w:rPr>
        <w:t xml:space="preserve">Abbildung 4: Geschätzte Kohäsion innerhalb der </w:t>
      </w:r>
      <w:r>
        <w:rPr>
          <w:rFonts w:ascii="Times New Roman" w:cs="Times New Roman" w:eastAsia="Times New Roman" w:hAnsi="Times New Roman"/>
          <w:i/>
          <w:iCs/>
          <w:sz w:val="22"/>
          <w:szCs w:val="22"/>
        </w:rPr>
        <w:t xml:space="preserve">matières</w:t>
      </w:r>
      <w:r>
        <w:rPr>
          <w:rFonts w:ascii="Times New Roman" w:cs="Times New Roman" w:eastAsia="Times New Roman" w:hAnsi="Times New Roman"/>
          <w:sz w:val="22"/>
          <w:szCs w:val="22"/>
        </w:rPr>
        <w:t xml:space="preserve"> in der französischen und der deutschen Tradition. Die Punkte geben die geschätzte Wahrscheinlichkeit an, dass die handschriftlichen Nachbarn eines Werkes derselben </w:t>
      </w:r>
      <w:r>
        <w:rPr>
          <w:rFonts w:ascii="Times New Roman" w:cs="Times New Roman" w:eastAsia="Times New Roman" w:hAnsi="Times New Roman"/>
          <w:i/>
          <w:iCs/>
          <w:sz w:val="22"/>
          <w:szCs w:val="22"/>
        </w:rPr>
        <w:t xml:space="preserve">matière</w:t>
      </w:r>
      <w:r>
        <w:rPr>
          <w:rFonts w:ascii="Times New Roman" w:cs="Times New Roman" w:eastAsia="Times New Roman" w:hAnsi="Times New Roman"/>
          <w:sz w:val="22"/>
          <w:szCs w:val="22"/>
        </w:rPr>
        <w:t xml:space="preserve"> angehören; die Balken zeigen die zugehörigen Glaubwürdigkeitsintervalle (dick: 50 %, dünn: 89 %). Alle gemeinsam vorkommenden Werke, einschließlich der als </w:t>
      </w:r>
      <w:r>
        <w:rPr>
          <w:rFonts w:ascii="Times New Roman" w:cs="Times New Roman" w:eastAsia="Times New Roman" w:hAnsi="Times New Roman"/>
          <w:i/>
          <w:iCs/>
          <w:sz w:val="22"/>
          <w:szCs w:val="22"/>
        </w:rPr>
        <w:t xml:space="preserve">Other</w:t>
      </w:r>
      <w:r>
        <w:rPr>
          <w:rFonts w:ascii="Times New Roman" w:cs="Times New Roman" w:eastAsia="Times New Roman" w:hAnsi="Times New Roman"/>
          <w:sz w:val="22"/>
          <w:szCs w:val="22"/>
        </w:rPr>
        <w:t xml:space="preserve"> klassifizierten, gehen als Versuche in die Berechnung dieser Wahrscheinlichkeit ein. Die grauen gestrichelten Linien markieren die zufällige Grundwahrscheinlichkeit jeder Sprache: die Wahrscheinlichkeit, dass zwei zufällig kombinierte Werke derselben </w:t>
      </w:r>
      <w:r>
        <w:rPr>
          <w:rFonts w:ascii="Times New Roman" w:cs="Times New Roman" w:eastAsia="Times New Roman" w:hAnsi="Times New Roman"/>
          <w:i/>
          <w:iCs/>
          <w:sz w:val="22"/>
          <w:szCs w:val="22"/>
        </w:rPr>
        <w:t xml:space="preserve">matière</w:t>
      </w:r>
      <w:r>
        <w:rPr>
          <w:rFonts w:ascii="Times New Roman" w:cs="Times New Roman" w:eastAsia="Times New Roman" w:hAnsi="Times New Roman"/>
          <w:sz w:val="22"/>
          <w:szCs w:val="22"/>
        </w:rPr>
        <w:t xml:space="preserve"> angehören; sie unterscheidet sich zwischen den beiden Sprachen.</w:t>
      </w:r>
    </w:p>
    <w:p>
      <w:pPr>
        <w:spacing w:after="120" w:before="0" w:line="240"/>
        <w:jc w:val="both"/>
      </w:pPr>
      <w:r>
        <w:rPr>
          <w:rFonts w:ascii="Times New Roman" w:cs="Times New Roman" w:eastAsia="Times New Roman" w:hAnsi="Times New Roman"/>
          <w:sz w:val="24"/>
          <w:szCs w:val="24"/>
        </w:rPr>
        <w:t xml:space="preserve">Wie Abbildung 4 zeigt, liegt die geschätzte Kohäsion innerhalb der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in allen drei Kategorien deutlich über der jeweiligen sprachspezifischen Grundwahrscheinlichkeit. Größe und Richtung des Unterschieds zwischen den beiden Traditionen variieren jedoch je nach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erheblich. Werke der Kategorie </w:t>
      </w:r>
      <w:r>
        <w:rPr>
          <w:rFonts w:ascii="Times New Roman" w:cs="Times New Roman" w:eastAsia="Times New Roman" w:hAnsi="Times New Roman"/>
          <w:i/>
          <w:iCs/>
          <w:sz w:val="24"/>
          <w:szCs w:val="24"/>
        </w:rPr>
        <w:t xml:space="preserve">Britain</w:t>
      </w:r>
      <w:r>
        <w:rPr>
          <w:rFonts w:ascii="Times New Roman" w:cs="Times New Roman" w:eastAsia="Times New Roman" w:hAnsi="Times New Roman"/>
          <w:sz w:val="24"/>
          <w:szCs w:val="24"/>
        </w:rPr>
        <w:t xml:space="preserve"> weisen in der französischen Tradition eine wesentlich größere Kohäsion auf als in der deutschen, während der Unterschied bei </w:t>
      </w:r>
      <w:r>
        <w:rPr>
          <w:rFonts w:ascii="Times New Roman" w:cs="Times New Roman" w:eastAsia="Times New Roman" w:hAnsi="Times New Roman"/>
          <w:i/>
          <w:iCs/>
          <w:sz w:val="24"/>
          <w:szCs w:val="24"/>
        </w:rPr>
        <w:t xml:space="preserve">France</w:t>
      </w:r>
      <w:r>
        <w:rPr>
          <w:rFonts w:ascii="Times New Roman" w:cs="Times New Roman" w:eastAsia="Times New Roman" w:hAnsi="Times New Roman"/>
          <w:sz w:val="24"/>
          <w:szCs w:val="24"/>
        </w:rPr>
        <w:t xml:space="preserve"> ebenfalls vorhanden, aber gedämpfter ist. Die geringere Kohäsion des deutschen Artusmaterials könnte zum Teil sein häufiges gemeinsames Vorkommen mit als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klassifizierten Werken, einschließlich der Heldendichtung, widerspiegeln, wie die Netzwerkdarstellungen nahelegen. Bei </w:t>
      </w:r>
      <w:r>
        <w:rPr>
          <w:rFonts w:ascii="Times New Roman" w:cs="Times New Roman" w:eastAsia="Times New Roman" w:hAnsi="Times New Roman"/>
          <w:i/>
          <w:iCs/>
          <w:sz w:val="24"/>
          <w:szCs w:val="24"/>
        </w:rPr>
        <w:t xml:space="preserve">Rome</w:t>
      </w:r>
      <w:r>
        <w:rPr>
          <w:rFonts w:ascii="Times New Roman" w:cs="Times New Roman" w:eastAsia="Times New Roman" w:hAnsi="Times New Roman"/>
          <w:sz w:val="24"/>
          <w:szCs w:val="24"/>
        </w:rPr>
        <w:t xml:space="preserve"> ist das Muster dagegen umgekehrt: Erzählungen über die klassische Antike zeigen in der deutschen Tradition eine deutlich größere handschriftliche Kohäsion als in der französischen.</w:t>
      </w:r>
    </w:p>
    <w:p>
      <w:pPr>
        <w:keepNext/>
        <w:spacing w:after="120" w:before="240" w:line="240"/>
      </w:pPr>
      <w:r>
        <w:rPr>
          <w:rFonts w:ascii="Times New Roman" w:cs="Times New Roman" w:eastAsia="Times New Roman" w:hAnsi="Times New Roman"/>
          <w:b/>
          <w:bCs/>
          <w:sz w:val="24"/>
          <w:szCs w:val="24"/>
        </w:rPr>
        <w:t xml:space="preserve">Jenseits von Bodel: Von Kategorien zu Gemeinschaften</w:t>
      </w:r>
    </w:p>
    <w:p>
      <w:pPr>
        <w:spacing w:after="120" w:before="0" w:line="240"/>
        <w:jc w:val="both"/>
      </w:pPr>
      <w:r>
        <w:rPr>
          <w:rFonts w:ascii="Times New Roman" w:cs="Times New Roman" w:eastAsia="Times New Roman" w:hAnsi="Times New Roman"/>
          <w:sz w:val="24"/>
          <w:szCs w:val="24"/>
        </w:rPr>
        <w:t xml:space="preserve">Der vorangehende Abschnitt hat gezeigt, dass Bodels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die Mitüberlieferung in beiden Traditionen in nennenswertem Maße strukturieren, auch wenn ihre Wirkung sich zwischen dem Französischen und dem Deutschen unterscheidet. Diese von Bodel inspirierte Analyse ist wertvoll, geht aber von einer </w:t>
      </w:r>
      <w:r>
        <w:rPr>
          <w:rFonts w:ascii="Times New Roman" w:cs="Times New Roman" w:eastAsia="Times New Roman" w:hAnsi="Times New Roman"/>
          <w:i/>
          <w:iCs/>
          <w:sz w:val="24"/>
          <w:szCs w:val="24"/>
        </w:rPr>
        <w:t xml:space="preserve">top-down</w:t>
      </w:r>
      <w:r>
        <w:rPr>
          <w:rFonts w:ascii="Times New Roman" w:cs="Times New Roman" w:eastAsia="Times New Roman" w:hAnsi="Times New Roman"/>
          <w:sz w:val="24"/>
          <w:szCs w:val="24"/>
        </w:rPr>
        <w:t xml:space="preserve">-Klassifikation aus, die auf dem Inhalt der Werke beruht und nicht auf der Art, wie sie in Mehrtextsammlungen tatsächlich gruppiert sind. Statt Werke vorab Kategorien zuzuweisen, können wir daher auch Gemeinschaften aus den beobachteten Mustern des gemeinsamen Vorkommens im Netzwerk hervorgehen lassen. Wie verhalten sich diese </w:t>
      </w:r>
      <w:r>
        <w:rPr>
          <w:rFonts w:ascii="Times New Roman" w:cs="Times New Roman" w:eastAsia="Times New Roman" w:hAnsi="Times New Roman"/>
          <w:i/>
          <w:iCs/>
          <w:sz w:val="24"/>
          <w:szCs w:val="24"/>
        </w:rPr>
        <w:t xml:space="preserve">bottom-up</w:t>
      </w:r>
      <w:r>
        <w:rPr>
          <w:rFonts w:ascii="Times New Roman" w:cs="Times New Roman" w:eastAsia="Times New Roman" w:hAnsi="Times New Roman"/>
          <w:sz w:val="24"/>
          <w:szCs w:val="24"/>
        </w:rPr>
        <w:t xml:space="preserve"> ermittelten Gruppierungen zu den literarischen Kategorien, die wir den Werken oben – einigermaßen gewaltsam und anachronistisch – auferlegt haben? Die deutsche Heldendichtung bietet hierfür ein Beispiel. Obwohl Bodels Klassifikation keine Kategorie für diese Tradition kennt, ließ die vorangehende Netzwerkdarstellung bereits eine recht kohärente Gruppe heroischer Texte innerhalb des ansonsten dicht vernetzten Ganzen erkennen. Weitere bedeutsame Textgemeinschaften könnten sich ebenso in den Daten verbergen.</w:t>
      </w:r>
    </w:p>
    <w:p>
      <w:pPr>
        <w:spacing w:after="120" w:before="0" w:line="240"/>
        <w:jc w:val="both"/>
      </w:pPr>
      <w:r>
        <w:rPr>
          <w:rFonts w:ascii="Times New Roman" w:cs="Times New Roman" w:eastAsia="Times New Roman" w:hAnsi="Times New Roman"/>
          <w:sz w:val="24"/>
          <w:szCs w:val="24"/>
        </w:rPr>
        <w:t xml:space="preserve">Zu diesem Zweck wenden wir einen Algorithmus zur Erkennung von Gemeinschaften (</w:t>
      </w:r>
      <w:r>
        <w:rPr>
          <w:rFonts w:ascii="Times New Roman" w:cs="Times New Roman" w:eastAsia="Times New Roman" w:hAnsi="Times New Roman"/>
          <w:i/>
          <w:iCs/>
          <w:sz w:val="24"/>
          <w:szCs w:val="24"/>
        </w:rPr>
        <w:t xml:space="preserve">community detection</w:t>
      </w:r>
      <w:r>
        <w:rPr>
          <w:rFonts w:ascii="Times New Roman" w:cs="Times New Roman" w:eastAsia="Times New Roman" w:hAnsi="Times New Roman"/>
          <w:sz w:val="24"/>
          <w:szCs w:val="24"/>
        </w:rPr>
        <w:t xml:space="preserve">, hier das Verfahren der </w:t>
      </w:r>
      <w:r>
        <w:rPr>
          <w:rFonts w:ascii="Times New Roman" w:cs="Times New Roman" w:eastAsia="Times New Roman" w:hAnsi="Times New Roman"/>
          <w:i/>
          <w:iCs/>
          <w:sz w:val="24"/>
          <w:szCs w:val="24"/>
        </w:rPr>
        <w:t xml:space="preserve">greedy modularity</w:t>
      </w:r>
      <w:r>
        <w:rPr>
          <w:rFonts w:ascii="Times New Roman" w:cs="Times New Roman" w:eastAsia="Times New Roman" w:hAnsi="Times New Roman"/>
          <w:sz w:val="24"/>
          <w:szCs w:val="24"/>
        </w:rPr>
        <w:t xml:space="preserve">) an, der ursprünglich entwickelt wurde, um Gruppen wie soziale „Cliquen“ in Netzwerken zu ermitteln, sich hier aber ebenso anwenden lässt. Die resultierenden Gemeinschaften grenzen Gruppen von Werken (Nachbarschaften) ab, die über ihre Überlieferung eng miteinander verbunden sind, etwa weil sie häufig in denselben Kodizes gemeinsam vorkommen. Wir gewichten das Netzwerk mit der Projektion nach Newman, die den Einfluss großer Mehrtextkodizes abschwächt. Ohne diese Gewichtung neigen solche großen Sammlungen, die häufig relativ spät sind, dazu, das Ergebnis zu dominieren und Muster in kleineren Kodizes zu überdecken.</w:t>
      </w:r>
      <w:r>
        <w:rPr>
          <w:rStyle w:val="FootnoteReference"/>
        </w:rPr>
        <w:footnoteReference w:id="6"/>
      </w:r>
      <w:r>
        <w:rPr>
          <w:rFonts w:ascii="Times New Roman" w:cs="Times New Roman" w:eastAsia="Times New Roman" w:hAnsi="Times New Roman"/>
          <w:sz w:val="24"/>
          <w:szCs w:val="24"/>
        </w:rPr>
        <w:t xml:space="preserve"> Um die Lesbarkeit zu wahren, heben die Abbildungen 5 A und B nur die sieben größten Gemeinschaften, bezeichnet mit dem Präfix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farblich hervor; Werke kleinerer Gemeinschaften sind grau dargestellt. Sie lassen mehrere Konstellationen der Mitüberlieferung erkennen, die durch Bodels Modell nicht notwendigerweise erfasst werden. Einige der ermittelten Gruppen bestehen ausschließlich aus Werken einer einzigen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wie das französische C2, das den </w:t>
      </w:r>
      <w:r>
        <w:rPr>
          <w:rFonts w:ascii="Times New Roman" w:cs="Times New Roman" w:eastAsia="Times New Roman" w:hAnsi="Times New Roman"/>
          <w:i/>
          <w:iCs/>
          <w:sz w:val="24"/>
          <w:szCs w:val="24"/>
        </w:rPr>
        <w:t xml:space="preserve">Guillaume</w:t>
      </w:r>
      <w:r>
        <w:rPr>
          <w:rFonts w:ascii="Times New Roman" w:cs="Times New Roman" w:eastAsia="Times New Roman" w:hAnsi="Times New Roman"/>
          <w:sz w:val="24"/>
          <w:szCs w:val="24"/>
        </w:rPr>
        <w:t xml:space="preserve">-Zyklus umfasst; viele sind jedoch gemischt. Das deutsche C2 etwa vereint Artusromane mit der historischen Dietrichepik.</w:t>
      </w:r>
    </w:p>
    <w:p>
      <w:pPr>
        <w:spacing w:after="120" w:before="0" w:line="240"/>
        <w:jc w:val="both"/>
      </w:pPr>
      <w:r>
        <w:rPr>
          <w:rFonts w:ascii="Times New Roman" w:cs="Times New Roman" w:eastAsia="Times New Roman" w:hAnsi="Times New Roman"/>
          <w:sz w:val="24"/>
          <w:szCs w:val="24"/>
        </w:rPr>
        <w:t xml:space="preserve">Besonders aufschlussreich ist die Verteilung der deutschen Dietricherzählungen. Die Forschung unterscheidet traditionell zwischen der </w:t>
      </w:r>
      <w:r>
        <w:rPr>
          <w:rFonts w:ascii="Times New Roman" w:cs="Times New Roman" w:eastAsia="Times New Roman" w:hAnsi="Times New Roman"/>
          <w:i/>
          <w:iCs/>
          <w:sz w:val="24"/>
          <w:szCs w:val="24"/>
        </w:rPr>
        <w:t xml:space="preserve">aventiurehaften Dietrichepik</w:t>
      </w:r>
      <w:r>
        <w:rPr>
          <w:rFonts w:ascii="Times New Roman" w:cs="Times New Roman" w:eastAsia="Times New Roman" w:hAnsi="Times New Roman"/>
          <w:sz w:val="24"/>
          <w:szCs w:val="24"/>
        </w:rPr>
        <w:t xml:space="preserve"> und der </w:t>
      </w:r>
      <w:r>
        <w:rPr>
          <w:rFonts w:ascii="Times New Roman" w:cs="Times New Roman" w:eastAsia="Times New Roman" w:hAnsi="Times New Roman"/>
          <w:i/>
          <w:iCs/>
          <w:sz w:val="24"/>
          <w:szCs w:val="24"/>
        </w:rPr>
        <w:t xml:space="preserve">historischen Dietrichepik</w:t>
      </w:r>
      <w:r>
        <w:rPr>
          <w:rFonts w:ascii="Times New Roman" w:cs="Times New Roman" w:eastAsia="Times New Roman" w:hAnsi="Times New Roman"/>
          <w:sz w:val="24"/>
          <w:szCs w:val="24"/>
        </w:rPr>
        <w:t xml:space="preserve">, die um Dietrichs Exil und Rückkehr kreist (Lienert 2015, 20). Die aventiurehafte Dietrichepik gehört zum deutschen C1, während </w:t>
      </w:r>
      <w:r>
        <w:rPr>
          <w:rFonts w:ascii="Times New Roman" w:cs="Times New Roman" w:eastAsia="Times New Roman" w:hAnsi="Times New Roman"/>
          <w:i/>
          <w:iCs/>
          <w:sz w:val="24"/>
          <w:szCs w:val="24"/>
        </w:rPr>
        <w:t xml:space="preserve">Dietrichs Flucht</w:t>
      </w:r>
      <w:r>
        <w:rPr>
          <w:rFonts w:ascii="Times New Roman" w:cs="Times New Roman" w:eastAsia="Times New Roman" w:hAnsi="Times New Roman"/>
          <w:sz w:val="24"/>
          <w:szCs w:val="24"/>
        </w:rPr>
        <w:t xml:space="preserve"> und die </w:t>
      </w:r>
      <w:r>
        <w:rPr>
          <w:rFonts w:ascii="Times New Roman" w:cs="Times New Roman" w:eastAsia="Times New Roman" w:hAnsi="Times New Roman"/>
          <w:i/>
          <w:iCs/>
          <w:sz w:val="24"/>
          <w:szCs w:val="24"/>
        </w:rPr>
        <w:t xml:space="preserve">Rabenschlacht</w:t>
      </w:r>
      <w:r>
        <w:rPr>
          <w:rFonts w:ascii="Times New Roman" w:cs="Times New Roman" w:eastAsia="Times New Roman" w:hAnsi="Times New Roman"/>
          <w:sz w:val="24"/>
          <w:szCs w:val="24"/>
        </w:rPr>
        <w:t xml:space="preserve"> zusammen mit mehreren Artusromanen in C2 stehen. Keine der beiden Gemeinschaften ist jedoch eine reine Dietrich-Gemeinschaft, was die gemischte Überlieferung dieser Texte in den Heldenbüchern widerspiegelt. Was C1 und C2 in der Abbildung nahe zueinander rückt, ist das Paar </w:t>
      </w:r>
      <w:r>
        <w:rPr>
          <w:rFonts w:ascii="Times New Roman" w:cs="Times New Roman" w:eastAsia="Times New Roman" w:hAnsi="Times New Roman"/>
          <w:i/>
          <w:iCs/>
          <w:sz w:val="24"/>
          <w:szCs w:val="24"/>
        </w:rPr>
        <w:t xml:space="preserve">Ortnit</w:t>
      </w:r>
      <w:r>
        <w:rPr>
          <w:rFonts w:ascii="Times New Roman" w:cs="Times New Roman" w:eastAsia="Times New Roman" w:hAnsi="Times New Roman"/>
          <w:sz w:val="24"/>
          <w:szCs w:val="24"/>
        </w:rPr>
        <w:t xml:space="preserve"> und </w:t>
      </w:r>
      <w:r>
        <w:rPr>
          <w:rFonts w:ascii="Times New Roman" w:cs="Times New Roman" w:eastAsia="Times New Roman" w:hAnsi="Times New Roman"/>
          <w:i/>
          <w:iCs/>
          <w:sz w:val="24"/>
          <w:szCs w:val="24"/>
        </w:rPr>
        <w:t xml:space="preserve">Wolfdietrich</w:t>
      </w:r>
      <w:r>
        <w:rPr>
          <w:rFonts w:ascii="Times New Roman" w:cs="Times New Roman" w:eastAsia="Times New Roman" w:hAnsi="Times New Roman"/>
          <w:sz w:val="24"/>
          <w:szCs w:val="24"/>
        </w:rPr>
        <w:t xml:space="preserve">, das zusammen mit dem Paar </w:t>
      </w:r>
      <w:r>
        <w:rPr>
          <w:rFonts w:ascii="Times New Roman" w:cs="Times New Roman" w:eastAsia="Times New Roman" w:hAnsi="Times New Roman"/>
          <w:i/>
          <w:iCs/>
          <w:sz w:val="24"/>
          <w:szCs w:val="24"/>
        </w:rPr>
        <w:t xml:space="preserve">Willehalm</w:t>
      </w:r>
      <w:r>
        <w:rPr>
          <w:rFonts w:ascii="Times New Roman" w:cs="Times New Roman" w:eastAsia="Times New Roman" w:hAnsi="Times New Roman"/>
          <w:sz w:val="24"/>
          <w:szCs w:val="24"/>
        </w:rPr>
        <w:t xml:space="preserve"> und </w:t>
      </w:r>
      <w:r>
        <w:rPr>
          <w:rFonts w:ascii="Times New Roman" w:cs="Times New Roman" w:eastAsia="Times New Roman" w:hAnsi="Times New Roman"/>
          <w:i/>
          <w:iCs/>
          <w:sz w:val="24"/>
          <w:szCs w:val="24"/>
        </w:rPr>
        <w:t xml:space="preserve">Arabel</w:t>
      </w:r>
      <w:r>
        <w:rPr>
          <w:rFonts w:ascii="Times New Roman" w:cs="Times New Roman" w:eastAsia="Times New Roman" w:hAnsi="Times New Roman"/>
          <w:sz w:val="24"/>
          <w:szCs w:val="24"/>
        </w:rPr>
        <w:t xml:space="preserve"> die stärkste deutsche Kante bildet. Dieses Paar steht sowohl im Dresdner Heldenbuch (Mscr. M 201), der Handschrift mit den meisten Werken aus C1, als auch im vergleichsweise späten Ambraser Heldenbuch (Cod. Ser. nova 2663), das die meisten Werke aus C2 enthält.</w:t>
      </w:r>
      <w:r>
        <w:rPr>
          <w:rStyle w:val="FootnoteReference"/>
        </w:rPr>
        <w:footnoteReference w:id="7"/>
      </w:r>
      <w:r>
        <w:rPr>
          <w:rFonts w:ascii="Times New Roman" w:cs="Times New Roman" w:eastAsia="Times New Roman" w:hAnsi="Times New Roman"/>
          <w:sz w:val="24"/>
          <w:szCs w:val="24"/>
        </w:rPr>
        <w:t xml:space="preserve"> Schließlich muss selbst eine eng verbundene Gruppe häufig gemeinsam überlieferter Werke keine eigene Gemeinschaft bilden: </w:t>
      </w:r>
      <w:r>
        <w:rPr>
          <w:rFonts w:ascii="Times New Roman" w:cs="Times New Roman" w:eastAsia="Times New Roman" w:hAnsi="Times New Roman"/>
          <w:i/>
          <w:iCs/>
          <w:sz w:val="24"/>
          <w:szCs w:val="24"/>
        </w:rPr>
        <w:t xml:space="preserve">Willehalm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Arabel</w:t>
      </w:r>
      <w:r>
        <w:rPr>
          <w:rFonts w:ascii="Times New Roman" w:cs="Times New Roman" w:eastAsia="Times New Roman" w:hAnsi="Times New Roman"/>
          <w:sz w:val="24"/>
          <w:szCs w:val="24"/>
        </w:rPr>
        <w:t xml:space="preserve"> und </w:t>
      </w:r>
      <w:r>
        <w:rPr>
          <w:rFonts w:ascii="Times New Roman" w:cs="Times New Roman" w:eastAsia="Times New Roman" w:hAnsi="Times New Roman"/>
          <w:i/>
          <w:iCs/>
          <w:sz w:val="24"/>
          <w:szCs w:val="24"/>
        </w:rPr>
        <w:t xml:space="preserve">Rennewart</w:t>
      </w:r>
      <w:r>
        <w:rPr>
          <w:rFonts w:ascii="Times New Roman" w:cs="Times New Roman" w:eastAsia="Times New Roman" w:hAnsi="Times New Roman"/>
          <w:sz w:val="24"/>
          <w:szCs w:val="24"/>
        </w:rPr>
        <w:t xml:space="preserve"> bleiben zusammen mit dem </w:t>
      </w:r>
      <w:r>
        <w:rPr>
          <w:rFonts w:ascii="Times New Roman" w:cs="Times New Roman" w:eastAsia="Times New Roman" w:hAnsi="Times New Roman"/>
          <w:i/>
          <w:iCs/>
          <w:sz w:val="24"/>
          <w:szCs w:val="24"/>
        </w:rPr>
        <w:t xml:space="preserve">Karl</w:t>
      </w:r>
      <w:r>
        <w:rPr>
          <w:rFonts w:ascii="Times New Roman" w:cs="Times New Roman" w:eastAsia="Times New Roman" w:hAnsi="Times New Roman"/>
          <w:sz w:val="24"/>
          <w:szCs w:val="24"/>
        </w:rPr>
        <w:t xml:space="preserve"> des Strickers Teil von C5.</w:t>
      </w:r>
    </w:p>
    <w:p>
      <w:pPr>
        <w:keepNext/>
        <w:spacing w:after="60" w:before="120" w:line="240"/>
        <w:jc w:val="center"/>
      </w:pPr>
      <w:r>
        <w:drawing>
          <wp:inline distT="0" distB="0" distL="0" distR="0">
            <wp:extent cx="4676775"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4638675"/>
                    </a:xfrm>
                    <a:prstGeom prst="rect">
                      <a:avLst/>
                    </a:prstGeom>
                  </pic:spPr>
                </pic:pic>
              </a:graphicData>
            </a:graphic>
          </wp:inline>
        </w:drawing>
      </w:r>
    </w:p>
    <w:p>
      <w:pPr>
        <w:keepNext/>
        <w:spacing w:after="60" w:before="120" w:line="240"/>
        <w:jc w:val="center"/>
      </w:pPr>
      <w:r>
        <w:drawing>
          <wp:inline distT="0" distB="0" distL="0" distR="0">
            <wp:extent cx="4676775"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76775" cy="3962400"/>
                    </a:xfrm>
                    <a:prstGeom prst="rect">
                      <a:avLst/>
                    </a:prstGeom>
                  </pic:spPr>
                </pic:pic>
              </a:graphicData>
            </a:graphic>
          </wp:inline>
        </w:drawing>
      </w:r>
    </w:p>
    <w:p>
      <w:pPr>
        <w:spacing w:after="240" w:line="240"/>
      </w:pPr>
      <w:r>
        <w:rPr>
          <w:rFonts w:ascii="Times New Roman" w:cs="Times New Roman" w:eastAsia="Times New Roman" w:hAnsi="Times New Roman"/>
          <w:sz w:val="22"/>
          <w:szCs w:val="22"/>
        </w:rPr>
        <w:t xml:space="preserve">Abbildung 5 (A und B): Französisches und deutsches Mitüberlieferungsnetzwerk, visualisiert wie in Abbildung 3. Die Knotenfarbe steht diesmal jedoch für Gemeinschaften, die mittels </w:t>
      </w:r>
      <w:r>
        <w:rPr>
          <w:rFonts w:ascii="Times New Roman" w:cs="Times New Roman" w:eastAsia="Times New Roman" w:hAnsi="Times New Roman"/>
          <w:i/>
          <w:iCs/>
          <w:sz w:val="22"/>
          <w:szCs w:val="22"/>
        </w:rPr>
        <w:t xml:space="preserve">greedy modularity</w:t>
      </w:r>
      <w:r>
        <w:rPr>
          <w:rFonts w:ascii="Times New Roman" w:cs="Times New Roman" w:eastAsia="Times New Roman" w:hAnsi="Times New Roman"/>
          <w:sz w:val="22"/>
          <w:szCs w:val="22"/>
        </w:rPr>
        <w:t xml:space="preserve"> auf Newman-Projektionsgewichten und ohne Rücksicht auf die Bodel’sche Klassifikation ermittelt wurden. Die Gemeinschaften heben Gruppen von Werken hervor, die durch Mitüberlieferung vergleichsweise stark miteinander verbunden sind. Kantenbreite und -deckkraft geben wie in Abbildung 3 die Zahl der gemeinsamen Handschriften wieder. Halbtransparente Flächen und Kürzel markieren die sieben größten Gemeinschaften; Werke kleinerer Gemeinschaften sind grau dargestellt. Die vollständige Zusammensetzung aller Gemeinschaften ist im begleitenden Notebook dokumentiert (s. Anm. 1).</w:t>
      </w:r>
    </w:p>
    <w:p>
      <w:pPr>
        <w:spacing w:after="120" w:before="0" w:line="240"/>
        <w:jc w:val="both"/>
      </w:pPr>
      <w:r>
        <w:rPr>
          <w:rFonts w:ascii="Times New Roman" w:cs="Times New Roman" w:eastAsia="Times New Roman" w:hAnsi="Times New Roman"/>
          <w:sz w:val="24"/>
          <w:szCs w:val="24"/>
        </w:rPr>
        <w:t xml:space="preserve">Das französische Netzwerk zeigt besonders deutlich, wie sich die breiten Affinitäten, die Bodels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erfassen, in spezifischere Textgemeinschaften untergliedern. Innerhalb der </w:t>
      </w:r>
      <w:r>
        <w:rPr>
          <w:rFonts w:ascii="Times New Roman" w:cs="Times New Roman" w:eastAsia="Times New Roman" w:hAnsi="Times New Roman"/>
          <w:i/>
          <w:iCs/>
          <w:sz w:val="24"/>
          <w:szCs w:val="24"/>
        </w:rPr>
        <w:t xml:space="preserve">matière de France</w:t>
      </w:r>
      <w:r>
        <w:rPr>
          <w:rFonts w:ascii="Times New Roman" w:cs="Times New Roman" w:eastAsia="Times New Roman" w:hAnsi="Times New Roman"/>
          <w:sz w:val="24"/>
          <w:szCs w:val="24"/>
        </w:rPr>
        <w:t xml:space="preserve"> bildet die Tradition um </w:t>
      </w:r>
      <w:r>
        <w:rPr>
          <w:rFonts w:ascii="Times New Roman" w:cs="Times New Roman" w:eastAsia="Times New Roman" w:hAnsi="Times New Roman"/>
          <w:i/>
          <w:iCs/>
          <w:sz w:val="24"/>
          <w:szCs w:val="24"/>
        </w:rPr>
        <w:t xml:space="preserve">Guillaume d’Orange</w:t>
      </w:r>
      <w:r>
        <w:rPr>
          <w:rFonts w:ascii="Times New Roman" w:cs="Times New Roman" w:eastAsia="Times New Roman" w:hAnsi="Times New Roman"/>
          <w:sz w:val="24"/>
          <w:szCs w:val="24"/>
        </w:rPr>
        <w:t xml:space="preserve"> eine dicht vernetzte Gruppe. Werke, die mit der </w:t>
      </w:r>
      <w:r>
        <w:rPr>
          <w:rFonts w:ascii="Times New Roman" w:cs="Times New Roman" w:eastAsia="Times New Roman" w:hAnsi="Times New Roman"/>
          <w:i/>
          <w:iCs/>
          <w:sz w:val="24"/>
          <w:szCs w:val="24"/>
        </w:rPr>
        <w:t xml:space="preserve">Geste de Doon de Mayence</w:t>
      </w:r>
      <w:r>
        <w:rPr>
          <w:rFonts w:ascii="Times New Roman" w:cs="Times New Roman" w:eastAsia="Times New Roman" w:hAnsi="Times New Roman"/>
          <w:sz w:val="24"/>
          <w:szCs w:val="24"/>
        </w:rPr>
        <w:t xml:space="preserve"> verbunden sind, formen eine weitere erkennbare Konstellation, während sich eine dritte epische Gruppierung um den Lothringer Zyklus und den Zyklus um </w:t>
      </w:r>
      <w:r>
        <w:rPr>
          <w:rFonts w:ascii="Times New Roman" w:cs="Times New Roman" w:eastAsia="Times New Roman" w:hAnsi="Times New Roman"/>
          <w:i/>
          <w:iCs/>
          <w:sz w:val="24"/>
          <w:szCs w:val="24"/>
        </w:rPr>
        <w:t xml:space="preserve">Huon de Bordeaux</w:t>
      </w:r>
      <w:r>
        <w:rPr>
          <w:rFonts w:ascii="Times New Roman" w:cs="Times New Roman" w:eastAsia="Times New Roman" w:hAnsi="Times New Roman"/>
          <w:sz w:val="24"/>
          <w:szCs w:val="24"/>
        </w:rPr>
        <w:t xml:space="preserve"> konzentriert. Eine vergleichbare interne Differenzierung zeigt sich in der </w:t>
      </w:r>
      <w:r>
        <w:rPr>
          <w:rFonts w:ascii="Times New Roman" w:cs="Times New Roman" w:eastAsia="Times New Roman" w:hAnsi="Times New Roman"/>
          <w:i/>
          <w:iCs/>
          <w:sz w:val="24"/>
          <w:szCs w:val="24"/>
        </w:rPr>
        <w:t xml:space="preserve">matière de Bretagne</w:t>
      </w:r>
      <w:r>
        <w:rPr>
          <w:rFonts w:ascii="Times New Roman" w:cs="Times New Roman" w:eastAsia="Times New Roman" w:hAnsi="Times New Roman"/>
          <w:sz w:val="24"/>
          <w:szCs w:val="24"/>
        </w:rPr>
        <w:t xml:space="preserve">: Das Material des Prosa-</w:t>
      </w:r>
      <w:r>
        <w:rPr>
          <w:rFonts w:ascii="Times New Roman" w:cs="Times New Roman" w:eastAsia="Times New Roman" w:hAnsi="Times New Roman"/>
          <w:i/>
          <w:iCs/>
          <w:sz w:val="24"/>
          <w:szCs w:val="24"/>
        </w:rPr>
        <w:t xml:space="preserve">Lancelot-Graal</w:t>
      </w:r>
      <w:r>
        <w:rPr>
          <w:rFonts w:ascii="Times New Roman" w:cs="Times New Roman" w:eastAsia="Times New Roman" w:hAnsi="Times New Roman"/>
          <w:sz w:val="24"/>
          <w:szCs w:val="24"/>
        </w:rPr>
        <w:t xml:space="preserve"> gruppiert sich getrennt von den Versromanen Chrétiens de Troyes, die in ein stärker gemischtes Netzwerk von Verserzählungen eingebettet sind. Auf der Ebene einzelner Verbindungen kommen Chrétiens Romane wiederholt gemeinsam mit Antikenromanen vor. Insbesondere der </w:t>
      </w:r>
      <w:r>
        <w:rPr>
          <w:rFonts w:ascii="Times New Roman" w:cs="Times New Roman" w:eastAsia="Times New Roman" w:hAnsi="Times New Roman"/>
          <w:i/>
          <w:iCs/>
          <w:sz w:val="24"/>
          <w:szCs w:val="24"/>
        </w:rPr>
        <w:t xml:space="preserve">Roman de Troie</w:t>
      </w:r>
      <w:r>
        <w:rPr>
          <w:rFonts w:ascii="Times New Roman" w:cs="Times New Roman" w:eastAsia="Times New Roman" w:hAnsi="Times New Roman"/>
          <w:sz w:val="24"/>
          <w:szCs w:val="24"/>
        </w:rPr>
        <w:t xml:space="preserve"> ist im vorliegenden Korpus ein wichtiger Mitüberlieferungspartner von </w:t>
      </w:r>
      <w:r>
        <w:rPr>
          <w:rFonts w:ascii="Times New Roman" w:cs="Times New Roman" w:eastAsia="Times New Roman" w:hAnsi="Times New Roman"/>
          <w:i/>
          <w:iCs/>
          <w:sz w:val="24"/>
          <w:szCs w:val="24"/>
        </w:rPr>
        <w:t xml:space="preserve">Erec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Cligès</w:t>
      </w:r>
      <w:r>
        <w:rPr>
          <w:rFonts w:ascii="Times New Roman" w:cs="Times New Roman" w:eastAsia="Times New Roman" w:hAnsi="Times New Roman"/>
          <w:sz w:val="24"/>
          <w:szCs w:val="24"/>
        </w:rPr>
        <w:t xml:space="preserve"> und </w:t>
      </w:r>
      <w:r>
        <w:rPr>
          <w:rFonts w:ascii="Times New Roman" w:cs="Times New Roman" w:eastAsia="Times New Roman" w:hAnsi="Times New Roman"/>
          <w:i/>
          <w:iCs/>
          <w:sz w:val="24"/>
          <w:szCs w:val="24"/>
        </w:rPr>
        <w:t xml:space="preserve">Yvain</w:t>
      </w:r>
      <w:r>
        <w:rPr>
          <w:rFonts w:ascii="Times New Roman" w:cs="Times New Roman" w:eastAsia="Times New Roman" w:hAnsi="Times New Roman"/>
          <w:sz w:val="24"/>
          <w:szCs w:val="24"/>
        </w:rPr>
        <w:t xml:space="preserve">.</w:t>
      </w:r>
      <w:r>
        <w:rPr>
          <w:rStyle w:val="FootnoteReference"/>
        </w:rPr>
        <w:footnoteReference w:id="8"/>
      </w:r>
      <w:r>
        <w:rPr>
          <w:rFonts w:ascii="Times New Roman" w:cs="Times New Roman" w:eastAsia="Times New Roman" w:hAnsi="Times New Roman"/>
          <w:sz w:val="24"/>
          <w:szCs w:val="24"/>
        </w:rPr>
        <w:t xml:space="preserve"> Diese Muster offenbaren eine andere Organisationsebene als die im vorangehenden Abschnitt festgestellte allgemeine Tendenz von Werken derselben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gemeinsam überliefert zu werden. Bodels Kategorien erfassen breite Affinitäten in der handschriftlichen Überlieferung, während die </w:t>
      </w:r>
      <w:r>
        <w:rPr>
          <w:rFonts w:ascii="Times New Roman" w:cs="Times New Roman" w:eastAsia="Times New Roman" w:hAnsi="Times New Roman"/>
          <w:i/>
          <w:iCs/>
          <w:sz w:val="24"/>
          <w:szCs w:val="24"/>
        </w:rPr>
        <w:t xml:space="preserve">bottom-up</w:t>
      </w:r>
      <w:r>
        <w:rPr>
          <w:rFonts w:ascii="Times New Roman" w:cs="Times New Roman" w:eastAsia="Times New Roman" w:hAnsi="Times New Roman"/>
          <w:sz w:val="24"/>
          <w:szCs w:val="24"/>
        </w:rPr>
        <w:t xml:space="preserve"> ermittelten Gemeinschaften spezifischere Konstellationen innerhalb dieser Kategorien unterscheiden und lokale Verbindungen über deren Grenzen hinweg sichtbar machen. Die </w:t>
      </w:r>
      <w:r>
        <w:rPr>
          <w:rFonts w:ascii="Times New Roman" w:cs="Times New Roman" w:eastAsia="Times New Roman" w:hAnsi="Times New Roman"/>
          <w:i/>
          <w:iCs/>
          <w:sz w:val="24"/>
          <w:szCs w:val="24"/>
        </w:rPr>
        <w:t xml:space="preserve">bottom-up</w:t>
      </w:r>
      <w:r>
        <w:rPr>
          <w:rFonts w:ascii="Times New Roman" w:cs="Times New Roman" w:eastAsia="Times New Roman" w:hAnsi="Times New Roman"/>
          <w:sz w:val="24"/>
          <w:szCs w:val="24"/>
        </w:rPr>
        <w:t xml:space="preserve">-Perspektive verleiht dem aus Bodels Kategorien gewonnenen Bild somit zusätzliche Schärfe.</w:t>
      </w:r>
    </w:p>
    <w:p>
      <w:pPr>
        <w:spacing w:after="120" w:before="0" w:line="240"/>
        <w:jc w:val="both"/>
      </w:pPr>
      <w:r>
        <w:rPr>
          <w:rFonts w:ascii="Times New Roman" w:cs="Times New Roman" w:eastAsia="Times New Roman" w:hAnsi="Times New Roman"/>
          <w:sz w:val="24"/>
          <w:szCs w:val="24"/>
        </w:rPr>
        <w:t xml:space="preserve">Die deutschen </w:t>
      </w:r>
      <w:r>
        <w:rPr>
          <w:rFonts w:ascii="Times New Roman" w:cs="Times New Roman" w:eastAsia="Times New Roman" w:hAnsi="Times New Roman"/>
          <w:i/>
          <w:iCs/>
          <w:sz w:val="24"/>
          <w:szCs w:val="24"/>
        </w:rPr>
        <w:t xml:space="preserve">bottom-up</w:t>
      </w:r>
      <w:r>
        <w:rPr>
          <w:rFonts w:ascii="Times New Roman" w:cs="Times New Roman" w:eastAsia="Times New Roman" w:hAnsi="Times New Roman"/>
          <w:sz w:val="24"/>
          <w:szCs w:val="24"/>
        </w:rPr>
        <w:t xml:space="preserve">-Gemeinschaften zeigen einen vergleichbaren Differenzierungsprozess, sind aber kein einfaches Spiegelbild des französischen Netzwerks. Die Heldendichtung, die oben innerhalb von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ausgesondert wurde und im Netzwerk als relativ kohärente Gruppe erschien, konzentriert sich vor allem in zwei der größeren ermittelten Gemeinschaften, statt einen einzigen undifferenzierten Block zu bilden. Wie erwähnt, spiegelt die Verteilung der Dietricherzählungen auf diese Gemeinschaften teilweise die traditionelle Unterscheidung zwischen aventiurehafter und historischer Dietrichepik wider. Das ist umso bemerkenswerter, als diese Gemeinschaften ausschließlich auf der Grundlage der Mitüberlieferung ermittelt wurden: Eine aus der Literaturgeschichte vertraute Unterscheidung zeichnet sich somit auch in den Mustern der handschriftlichen Überlieferung ab. Die Entsprechung ist allerdings nicht absolut, wie sowohl die gemischte Zusammensetzung der Gemeinschaften als auch die starken Verbindungen zwischen ihnen zeigen. Auch andere Konstellationen sind erkennbar: Das </w:t>
      </w:r>
      <w:r>
        <w:rPr>
          <w:rFonts w:ascii="Times New Roman" w:cs="Times New Roman" w:eastAsia="Times New Roman" w:hAnsi="Times New Roman"/>
          <w:i/>
          <w:iCs/>
          <w:sz w:val="24"/>
          <w:szCs w:val="24"/>
        </w:rPr>
        <w:t xml:space="preserve">Tristan</w:t>
      </w:r>
      <w:r>
        <w:rPr>
          <w:rFonts w:ascii="Times New Roman" w:cs="Times New Roman" w:eastAsia="Times New Roman" w:hAnsi="Times New Roman"/>
          <w:sz w:val="24"/>
          <w:szCs w:val="24"/>
        </w:rPr>
        <w:t xml:space="preserve">-Material bildet eine relativ kompakte Konstellation, und auch der </w:t>
      </w:r>
      <w:r>
        <w:rPr>
          <w:rFonts w:ascii="Times New Roman" w:cs="Times New Roman" w:eastAsia="Times New Roman" w:hAnsi="Times New Roman"/>
          <w:i/>
          <w:iCs/>
          <w:sz w:val="24"/>
          <w:szCs w:val="24"/>
        </w:rPr>
        <w:t xml:space="preserve">Willehalm</w:t>
      </w:r>
      <w:r>
        <w:rPr>
          <w:rFonts w:ascii="Times New Roman" w:cs="Times New Roman" w:eastAsia="Times New Roman" w:hAnsi="Times New Roman"/>
          <w:sz w:val="24"/>
          <w:szCs w:val="24"/>
        </w:rPr>
        <w:t xml:space="preserve"> und die mit ihm verbundenen Werke zeigen eine ausgeprägte Tendenz, sich zusammenzuschließen.</w:t>
      </w:r>
    </w:p>
    <w:p>
      <w:pPr>
        <w:spacing w:after="120" w:before="0" w:line="240"/>
        <w:jc w:val="both"/>
      </w:pPr>
      <w:r>
        <w:rPr>
          <w:rFonts w:ascii="Times New Roman" w:cs="Times New Roman" w:eastAsia="Times New Roman" w:hAnsi="Times New Roman"/>
          <w:sz w:val="24"/>
          <w:szCs w:val="24"/>
        </w:rPr>
        <w:t xml:space="preserve">Die </w:t>
      </w:r>
      <w:r>
        <w:rPr>
          <w:rFonts w:ascii="Times New Roman" w:cs="Times New Roman" w:eastAsia="Times New Roman" w:hAnsi="Times New Roman"/>
          <w:i/>
          <w:iCs/>
          <w:sz w:val="24"/>
          <w:szCs w:val="24"/>
        </w:rPr>
        <w:t xml:space="preserve">bottom-up</w:t>
      </w:r>
      <w:r>
        <w:rPr>
          <w:rFonts w:ascii="Times New Roman" w:cs="Times New Roman" w:eastAsia="Times New Roman" w:hAnsi="Times New Roman"/>
          <w:sz w:val="24"/>
          <w:szCs w:val="24"/>
        </w:rPr>
        <w:t xml:space="preserve">-Analyse bestätigt und verkompliziert somit zugleich das in den vorangehenden Abschnitten entwickelte Bild. Die ermittelten Gemeinschaften entsprechen nicht genau den etablierten literarischen Klassifikationen: Einige ähneln anerkannten Traditionen sehr, andere offenbaren Affinitäten, die die oben verwendeten breiteren Kategorien durchkreuzen. Der Unterschied besteht daher nicht zwischen literarischer Klassifikation und handschriftlicher Praxis, sondern zwischen verschiedenen Organisationsebenen. Die handschriftliche Überlieferung kann breite gattungsmäßige Affinitäten widerspiegeln und zugleich lokalere Beziehungen zwischen Werken sichtbar machen.</w:t>
      </w:r>
    </w:p>
    <w:p>
      <w:pPr>
        <w:keepNext/>
        <w:spacing w:after="120" w:before="240" w:line="240"/>
      </w:pPr>
      <w:r>
        <w:rPr>
          <w:rFonts w:ascii="Times New Roman" w:cs="Times New Roman" w:eastAsia="Times New Roman" w:hAnsi="Times New Roman"/>
          <w:b/>
          <w:bCs/>
          <w:sz w:val="24"/>
          <w:szCs w:val="24"/>
        </w:rPr>
        <w:t xml:space="preserve">Schluss</w:t>
      </w:r>
    </w:p>
    <w:p>
      <w:pPr>
        <w:spacing w:after="120" w:before="0" w:line="240"/>
        <w:jc w:val="both"/>
      </w:pPr>
      <w:r>
        <w:rPr>
          <w:rFonts w:ascii="Times New Roman" w:cs="Times New Roman" w:eastAsia="Times New Roman" w:hAnsi="Times New Roman"/>
          <w:sz w:val="24"/>
          <w:szCs w:val="24"/>
        </w:rPr>
        <w:t xml:space="preserve">Die vergleichende Analyse der französischen und der deutschen Romanüberlieferung offenbart sowohl die Erklärungskraft als auch die Grenzen etablierter literarischer Klassifikationen. Bodels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sind nicht bloß literarhistorische Kategorien: Wo sie anwendbar sind, entsprechen sie in beiden Traditionen auffallend gut den Mustern der handschriftlichen Mitüberlieferung. Die statistische Analyse zeigt, dass gemeinsam überlieferte Werke wesentlich häufiger derselben </w:t>
      </w:r>
      <w:r>
        <w:rPr>
          <w:rFonts w:ascii="Times New Roman" w:cs="Times New Roman" w:eastAsia="Times New Roman" w:hAnsi="Times New Roman"/>
          <w:i/>
          <w:iCs/>
          <w:sz w:val="24"/>
          <w:szCs w:val="24"/>
        </w:rPr>
        <w:t xml:space="preserve">matière</w:t>
      </w:r>
      <w:r>
        <w:rPr>
          <w:rFonts w:ascii="Times New Roman" w:cs="Times New Roman" w:eastAsia="Times New Roman" w:hAnsi="Times New Roman"/>
          <w:sz w:val="24"/>
          <w:szCs w:val="24"/>
        </w:rPr>
        <w:t xml:space="preserve"> angehören, als allein aufgrund des verfügbaren Werkrepertoires zu erwarten wäre. Zugleich legt der Vergleich eine wichtige Unterscheidung zwischen Erklärungskraft und Abdeckung offen. Bodels Schema erfasst einen wesentlich größeren Anteil des französischen als des deutschen Korpus. Die deutsche Kategorie </w:t>
      </w:r>
      <w:r>
        <w:rPr>
          <w:rFonts w:ascii="Times New Roman" w:cs="Times New Roman" w:eastAsia="Times New Roman" w:hAnsi="Times New Roman"/>
          <w:i/>
          <w:iCs/>
          <w:sz w:val="24"/>
          <w:szCs w:val="24"/>
        </w:rPr>
        <w:t xml:space="preserve">Other</w:t>
      </w:r>
      <w:r>
        <w:rPr>
          <w:rFonts w:ascii="Times New Roman" w:cs="Times New Roman" w:eastAsia="Times New Roman" w:hAnsi="Times New Roman"/>
          <w:sz w:val="24"/>
          <w:szCs w:val="24"/>
        </w:rPr>
        <w:t xml:space="preserve"> besteht nicht einfach aus klassifikatorischem Rauschen: Sobald die Heldendichtung innerhalb dieser Kategorie ausgesondert wird, zeigt sich ihre Kohärenz als Erzähltradition auch in der handschriftlichen Mitüberlieferung. Ein Klassifikationssystem kann also innerhalb seines Geltungsbereichs eng mit der handschriftlichen Praxis übereinstimmen, ohne ein erschöpfendes Vokabular für den Vergleich volkssprachlicher Traditionen bereitzustellen.</w:t>
      </w:r>
    </w:p>
    <w:p>
      <w:pPr>
        <w:spacing w:after="120" w:before="0" w:line="240"/>
        <w:jc w:val="both"/>
      </w:pPr>
      <w:r>
        <w:rPr>
          <w:rFonts w:ascii="Times New Roman" w:cs="Times New Roman" w:eastAsia="Times New Roman" w:hAnsi="Times New Roman"/>
          <w:sz w:val="24"/>
          <w:szCs w:val="24"/>
        </w:rPr>
        <w:t xml:space="preserve">Die </w:t>
      </w:r>
      <w:r>
        <w:rPr>
          <w:rFonts w:ascii="Times New Roman" w:cs="Times New Roman" w:eastAsia="Times New Roman" w:hAnsi="Times New Roman"/>
          <w:i/>
          <w:iCs/>
          <w:sz w:val="24"/>
          <w:szCs w:val="24"/>
        </w:rPr>
        <w:t xml:space="preserve">bottom-up</w:t>
      </w:r>
      <w:r>
        <w:rPr>
          <w:rFonts w:ascii="Times New Roman" w:cs="Times New Roman" w:eastAsia="Times New Roman" w:hAnsi="Times New Roman"/>
          <w:sz w:val="24"/>
          <w:szCs w:val="24"/>
        </w:rPr>
        <w:t xml:space="preserve">-Analyse fügt diesem Bild eine weitere Ebene hinzu. Weder Bodels </w:t>
      </w:r>
      <w:r>
        <w:rPr>
          <w:rFonts w:ascii="Times New Roman" w:cs="Times New Roman" w:eastAsia="Times New Roman" w:hAnsi="Times New Roman"/>
          <w:i/>
          <w:iCs/>
          <w:sz w:val="24"/>
          <w:szCs w:val="24"/>
        </w:rPr>
        <w:t xml:space="preserve">matières</w:t>
      </w:r>
      <w:r>
        <w:rPr>
          <w:rFonts w:ascii="Times New Roman" w:cs="Times New Roman" w:eastAsia="Times New Roman" w:hAnsi="Times New Roman"/>
          <w:sz w:val="24"/>
          <w:szCs w:val="24"/>
        </w:rPr>
        <w:t xml:space="preserve"> noch die Heldendichtung bilden in sich homogene Textgemeinschaften. Innerhalb dieser breiten Kategorien differenziert die handschriftliche Mitüberlieferung kleinere Konstellationen, von denen einige auch über deren Grenzen hinausreichen. Diese geschichteten Strukturen nehmen zudem in den beiden Traditionen unterschiedliche Formen an. Das dichtere französische Netzwerk bringt umfangreichere und sich überlappende Gemeinschaften hervor, während die deutsche Überlieferung um klarer voneinander abgegrenzte Konstellationen organisiert ist, was allgemeinere Unterschiede in Verbreitung und Zusammensetzung von Mehrtexthandschriften widerspiegelt. In beiden Netzwerken scheinen volkssprachliche heroische Traditionen eine besonders starke zentripetale Kraft auszuüben und kohäsive Gemeinschaften um die französischen Epenzyklen und die deutsche Heldendichtung zu bilden. Ihre innere Organisation unterscheidet sich jedoch: Während die deutschen Heldenerzählungen eine vergleichsweise konzentrierte Konstellation bilden, gliedert sich die französische epische Tradition in mehrere distinkte Gemeinschaften, die im Großen und Ganzen einzelnen Zyklen entsprechen.</w:t>
      </w:r>
    </w:p>
    <w:p>
      <w:pPr>
        <w:spacing w:after="120" w:before="0" w:line="240"/>
        <w:jc w:val="both"/>
      </w:pPr>
      <w:r>
        <w:rPr>
          <w:rFonts w:ascii="Times New Roman" w:cs="Times New Roman" w:eastAsia="Times New Roman" w:hAnsi="Times New Roman"/>
          <w:sz w:val="24"/>
          <w:szCs w:val="24"/>
        </w:rPr>
        <w:t xml:space="preserve">Diese Befunde werfen die Frage auf, ob volkssprachliche heroische Traditionen auch in anderen Sprachtraditionen vergleichbare organisierende Kerne bildeten. Die erhaltene mittelniederländische Überlieferung kann diese Hypothese nicht angemessen prüfen, da die Tradition der </w:t>
      </w:r>
      <w:r>
        <w:rPr>
          <w:rFonts w:ascii="Times New Roman" w:cs="Times New Roman" w:eastAsia="Times New Roman" w:hAnsi="Times New Roman"/>
          <w:i/>
          <w:iCs/>
          <w:sz w:val="24"/>
          <w:szCs w:val="24"/>
        </w:rPr>
        <w:t xml:space="preserve">chansons de geste</w:t>
      </w:r>
      <w:r>
        <w:rPr>
          <w:rFonts w:ascii="Times New Roman" w:cs="Times New Roman" w:eastAsia="Times New Roman" w:hAnsi="Times New Roman"/>
          <w:sz w:val="24"/>
          <w:szCs w:val="24"/>
        </w:rPr>
        <w:t xml:space="preserve"> (die sogenannte </w:t>
      </w:r>
      <w:r>
        <w:rPr>
          <w:rFonts w:ascii="Times New Roman" w:cs="Times New Roman" w:eastAsia="Times New Roman" w:hAnsi="Times New Roman"/>
          <w:i/>
          <w:iCs/>
          <w:sz w:val="24"/>
          <w:szCs w:val="24"/>
        </w:rPr>
        <w:t xml:space="preserve">Karelepiek</w:t>
      </w:r>
      <w:r>
        <w:rPr>
          <w:rFonts w:ascii="Times New Roman" w:cs="Times New Roman" w:eastAsia="Times New Roman" w:hAnsi="Times New Roman"/>
          <w:sz w:val="24"/>
          <w:szCs w:val="24"/>
        </w:rPr>
        <w:t xml:space="preserve">) fast ausschließlich fragmentarisch überliefert ist und nur relativ wenige Kodizes überhaupt mehrere Romane bewahren (Kienhorst 1988). Der mittelenglische Roman ist ebenfalls überwiegend in relativ späten Handschriften überliefert und umfasst viele vergleichsweise kurze Texte. Zwar sind mehrere bedeutende Mehrtextsammlungen erhalten, doch würde der kleinere Umfang dieser Tradition ein weniger ausgedehntes Netzwerk ergeben als das hier untersuchte französische und deutsche Material. Besonders instruktive Vergleiche könnten die irische und die altnordisch-isländische Tradition bieten. Mehrere irische Mehrtexthandschriften enthalten Gruppen miteinander verbundener Erzählungen, die demselben einheimischen Heldenzyklus angehören, am deutlichsten in der Ulster-Tradition (Poppe 2008, bes. 15 und 44). Die altnordisch-isländische Überlieferung zeigt eine andere Konfiguration: Breite Textgemeinschaften durchkreuzen etablierte Klassifikationen, indem sie eher phantastische Erzählungen über legendäre Helden (Vorzeitsagas) mit Ritterromanen und Erzählungen über isländische Familien (Isländersagas) mit Berichten über skandinavische Könige (Königssagas) zusammenführen (Kapitan/Wills 2023).</w:t>
      </w:r>
      <w:r>
        <w:rPr>
          <w:rStyle w:val="FootnoteReference"/>
        </w:rPr>
        <w:footnoteReference w:id="9"/>
      </w:r>
      <w:r>
        <w:rPr>
          <w:rFonts w:ascii="Times New Roman" w:cs="Times New Roman" w:eastAsia="Times New Roman" w:hAnsi="Times New Roman"/>
          <w:sz w:val="24"/>
          <w:szCs w:val="24"/>
        </w:rPr>
        <w:t xml:space="preserve"> Zusammengenommen lassen diese Fälle die Möglichkeit erkennen, dass volkssprachliche heroische Traditionen wiederholt Textgemeinschaften geprägt haben, und zeigen zugleich, dass sich Umfang und Zusammensetzung dieser Gemeinschaften nicht allein aus etablierten literarischen Klassifikationen ableiten lassen. Gattung erscheint in der handschriftlichen Überlieferung demnach nicht als festes Set einander ausschließender Kategorien, sondern als geschichtete Struktur, in der breite literarische Affinitäten mit spezifischeren textuellen Beziehungen koexistieren. Die Mitüberlieferung bietet damit einen Zugang zur mittelalterlichen Gattung, der nicht zwischen historischen Kategorien und handschriftlicher Praxis wählt, sondern die verschiedenen Ebenen untersucht, auf denen sich beide überschneiden.</w:t>
      </w:r>
    </w:p>
    <w:p>
      <w:pPr>
        <w:keepNext/>
        <w:spacing w:after="120" w:before="240" w:line="240"/>
      </w:pPr>
      <w:r>
        <w:rPr>
          <w:rFonts w:ascii="Times New Roman" w:cs="Times New Roman" w:eastAsia="Times New Roman" w:hAnsi="Times New Roman"/>
          <w:b/>
          <w:bCs/>
          <w:sz w:val="24"/>
          <w:szCs w:val="24"/>
        </w:rPr>
        <w:t xml:space="preserve">Bibliografie</w:t>
      </w:r>
    </w:p>
    <w:p>
      <w:pPr>
        <w:spacing w:after="80" w:line="240"/>
        <w:ind w:left="566" w:hanging="566"/>
      </w:pPr>
      <w:r>
        <w:rPr>
          <w:rFonts w:ascii="Times New Roman" w:cs="Times New Roman" w:eastAsia="Times New Roman" w:hAnsi="Times New Roman"/>
          <w:sz w:val="24"/>
          <w:szCs w:val="24"/>
        </w:rPr>
        <w:t xml:space="preserve">Andrist, Patrick, Paul Canart und Marilena Maniaci. 2013. </w:t>
      </w:r>
      <w:r>
        <w:rPr>
          <w:rFonts w:ascii="Times New Roman" w:cs="Times New Roman" w:eastAsia="Times New Roman" w:hAnsi="Times New Roman"/>
          <w:i/>
          <w:iCs/>
          <w:sz w:val="24"/>
          <w:szCs w:val="24"/>
        </w:rPr>
        <w:t xml:space="preserve">La syntaxe du codex. Essai de codicologie structurale</w:t>
      </w:r>
      <w:r>
        <w:rPr>
          <w:rFonts w:ascii="Times New Roman" w:cs="Times New Roman" w:eastAsia="Times New Roman" w:hAnsi="Times New Roman"/>
          <w:sz w:val="24"/>
          <w:szCs w:val="24"/>
        </w:rPr>
        <w:t xml:space="preserve">. Turnhout: Brepols.</w:t>
      </w:r>
    </w:p>
    <w:p>
      <w:pPr>
        <w:spacing w:after="80" w:line="240"/>
        <w:ind w:left="566" w:hanging="566"/>
      </w:pPr>
      <w:r>
        <w:rPr>
          <w:rFonts w:ascii="Times New Roman" w:cs="Times New Roman" w:eastAsia="Times New Roman" w:hAnsi="Times New Roman"/>
          <w:sz w:val="24"/>
          <w:szCs w:val="24"/>
        </w:rPr>
        <w:t xml:space="preserve">Bastert, Bernd. 2010. </w:t>
      </w:r>
      <w:r>
        <w:rPr>
          <w:rFonts w:ascii="Times New Roman" w:cs="Times New Roman" w:eastAsia="Times New Roman" w:hAnsi="Times New Roman"/>
          <w:i/>
          <w:iCs/>
          <w:sz w:val="24"/>
          <w:szCs w:val="24"/>
        </w:rPr>
        <w:t xml:space="preserve">Helden als Heilige. Chanson de geste-Rezeption im deutschsprachigen Raum</w:t>
      </w:r>
      <w:r>
        <w:rPr>
          <w:rFonts w:ascii="Times New Roman" w:cs="Times New Roman" w:eastAsia="Times New Roman" w:hAnsi="Times New Roman"/>
          <w:sz w:val="24"/>
          <w:szCs w:val="24"/>
        </w:rPr>
        <w:t xml:space="preserve">. Tübingen: Francke (Bibliotheca Germanica 54).</w:t>
      </w:r>
    </w:p>
    <w:p>
      <w:pPr>
        <w:spacing w:after="80" w:line="240"/>
        <w:ind w:left="566" w:hanging="566"/>
      </w:pPr>
      <w:r>
        <w:rPr>
          <w:rFonts w:ascii="Times New Roman" w:cs="Times New Roman" w:eastAsia="Times New Roman" w:hAnsi="Times New Roman"/>
          <w:sz w:val="24"/>
          <w:szCs w:val="24"/>
        </w:rPr>
        <w:t xml:space="preserve">Bodel, Jean. 1989. </w:t>
      </w:r>
      <w:r>
        <w:rPr>
          <w:rFonts w:ascii="Times New Roman" w:cs="Times New Roman" w:eastAsia="Times New Roman" w:hAnsi="Times New Roman"/>
          <w:i/>
          <w:iCs/>
          <w:sz w:val="24"/>
          <w:szCs w:val="24"/>
        </w:rPr>
        <w:t xml:space="preserve">La Chanson des Saisnes</w:t>
      </w:r>
      <w:r>
        <w:rPr>
          <w:rFonts w:ascii="Times New Roman" w:cs="Times New Roman" w:eastAsia="Times New Roman" w:hAnsi="Times New Roman"/>
          <w:sz w:val="24"/>
          <w:szCs w:val="24"/>
        </w:rPr>
        <w:t xml:space="preserve">. Hrsg. von Annette Brasseur. 2 Bde. Genf: Droz.</w:t>
      </w:r>
    </w:p>
    <w:p>
      <w:pPr>
        <w:spacing w:after="80" w:line="240"/>
        <w:ind w:left="566" w:hanging="566"/>
      </w:pPr>
      <w:r>
        <w:rPr>
          <w:rFonts w:ascii="Times New Roman" w:cs="Times New Roman" w:eastAsia="Times New Roman" w:hAnsi="Times New Roman"/>
          <w:sz w:val="24"/>
          <w:szCs w:val="24"/>
        </w:rPr>
        <w:t xml:space="preserve">Busby, Keith. 2002. </w:t>
      </w:r>
      <w:r>
        <w:rPr>
          <w:rFonts w:ascii="Times New Roman" w:cs="Times New Roman" w:eastAsia="Times New Roman" w:hAnsi="Times New Roman"/>
          <w:i/>
          <w:iCs/>
          <w:sz w:val="24"/>
          <w:szCs w:val="24"/>
        </w:rPr>
        <w:t xml:space="preserve">Codex and Context. Reading Old French Verse Narrative in Manuscript</w:t>
      </w:r>
      <w:r>
        <w:rPr>
          <w:rFonts w:ascii="Times New Roman" w:cs="Times New Roman" w:eastAsia="Times New Roman" w:hAnsi="Times New Roman"/>
          <w:sz w:val="24"/>
          <w:szCs w:val="24"/>
        </w:rPr>
        <w:t xml:space="preserve">. 2 Bde. Amsterdam/New York: Rodopi.</w:t>
      </w:r>
    </w:p>
    <w:p>
      <w:pPr>
        <w:spacing w:after="80" w:line="240"/>
        <w:ind w:left="566" w:hanging="566"/>
      </w:pPr>
      <w:r>
        <w:rPr>
          <w:rFonts w:ascii="Times New Roman" w:cs="Times New Roman" w:eastAsia="Times New Roman" w:hAnsi="Times New Roman"/>
          <w:sz w:val="24"/>
          <w:szCs w:val="24"/>
        </w:rPr>
        <w:t xml:space="preserve">Edlich-Muth, Miriam. 2018. „Contextualising Continuation. An Approach to Medieval Romance Collections“. In </w:t>
      </w:r>
      <w:r>
        <w:rPr>
          <w:rFonts w:ascii="Times New Roman" w:cs="Times New Roman" w:eastAsia="Times New Roman" w:hAnsi="Times New Roman"/>
          <w:i/>
          <w:iCs/>
          <w:sz w:val="24"/>
          <w:szCs w:val="24"/>
        </w:rPr>
        <w:t xml:space="preserve">Der Kurzroman in den spätmittelalterlichen Sammelhandschriften Europas. Pan-European Romances in Medieval Compilation Manuscripts</w:t>
      </w:r>
      <w:r>
        <w:rPr>
          <w:rFonts w:ascii="Times New Roman" w:cs="Times New Roman" w:eastAsia="Times New Roman" w:hAnsi="Times New Roman"/>
          <w:sz w:val="24"/>
          <w:szCs w:val="24"/>
        </w:rPr>
        <w:t xml:space="preserve">, hrsg. von Miriam Edlich-Muth. Wiesbaden: Reichert: 183–191.</w:t>
      </w:r>
    </w:p>
    <w:p>
      <w:pPr>
        <w:spacing w:after="80" w:line="240"/>
        <w:ind w:left="566" w:hanging="566"/>
      </w:pPr>
      <w:r>
        <w:rPr>
          <w:rFonts w:ascii="Times New Roman" w:cs="Times New Roman" w:eastAsia="Times New Roman" w:hAnsi="Times New Roman"/>
          <w:sz w:val="24"/>
          <w:szCs w:val="24"/>
        </w:rPr>
        <w:t xml:space="preserve">Fitzpatrick, KellyAnn. 2019. </w:t>
      </w:r>
      <w:r>
        <w:rPr>
          <w:rFonts w:ascii="Times New Roman" w:cs="Times New Roman" w:eastAsia="Times New Roman" w:hAnsi="Times New Roman"/>
          <w:i/>
          <w:iCs/>
          <w:sz w:val="24"/>
          <w:szCs w:val="24"/>
        </w:rPr>
        <w:t xml:space="preserve">Neomedievalism, Popular Culture, and the Academy. From Tolkien to Game of Thrones</w:t>
      </w:r>
      <w:r>
        <w:rPr>
          <w:rFonts w:ascii="Times New Roman" w:cs="Times New Roman" w:eastAsia="Times New Roman" w:hAnsi="Times New Roman"/>
          <w:sz w:val="24"/>
          <w:szCs w:val="24"/>
        </w:rPr>
        <w:t xml:space="preserve">. Woodbridge: D. S. Brewer.</w:t>
      </w:r>
    </w:p>
    <w:p>
      <w:pPr>
        <w:spacing w:after="80" w:line="240"/>
        <w:ind w:left="566" w:hanging="566"/>
      </w:pPr>
      <w:r>
        <w:rPr>
          <w:rFonts w:ascii="Times New Roman" w:cs="Times New Roman" w:eastAsia="Times New Roman" w:hAnsi="Times New Roman"/>
          <w:sz w:val="24"/>
          <w:szCs w:val="24"/>
        </w:rPr>
        <w:t xml:space="preserve">Hagberg, Aric A., Daniel A. Schult und Pieter J. Swart. 2008. „Exploring Network Structure, Dynamics, and Function using NetworkX“. In </w:t>
      </w:r>
      <w:r>
        <w:rPr>
          <w:rFonts w:ascii="Times New Roman" w:cs="Times New Roman" w:eastAsia="Times New Roman" w:hAnsi="Times New Roman"/>
          <w:i/>
          <w:iCs/>
          <w:sz w:val="24"/>
          <w:szCs w:val="24"/>
        </w:rPr>
        <w:t xml:space="preserve">Proceedings of the 7th Python in Science Conference (SciPy 2008)</w:t>
      </w:r>
      <w:r>
        <w:rPr>
          <w:rFonts w:ascii="Times New Roman" w:cs="Times New Roman" w:eastAsia="Times New Roman" w:hAnsi="Times New Roman"/>
          <w:sz w:val="24"/>
          <w:szCs w:val="24"/>
        </w:rPr>
        <w:t xml:space="preserve">, hrsg. von Gaël Varoquaux, Travis Vaught und Jarrod Millman. Pasadena: 11–15.</w:t>
      </w:r>
    </w:p>
    <w:p>
      <w:pPr>
        <w:spacing w:after="80" w:line="240"/>
        <w:ind w:left="566" w:hanging="566"/>
      </w:pPr>
      <w:r>
        <w:rPr>
          <w:rFonts w:ascii="Times New Roman" w:cs="Times New Roman" w:eastAsia="Times New Roman" w:hAnsi="Times New Roman"/>
          <w:sz w:val="24"/>
          <w:szCs w:val="24"/>
        </w:rPr>
        <w:t xml:space="preserve">Handschriftencensus. o. J. </w:t>
      </w:r>
      <w:r>
        <w:rPr>
          <w:rFonts w:ascii="Times New Roman" w:cs="Times New Roman" w:eastAsia="Times New Roman" w:hAnsi="Times New Roman"/>
          <w:i/>
          <w:iCs/>
          <w:sz w:val="24"/>
          <w:szCs w:val="24"/>
        </w:rPr>
        <w:t xml:space="preserve">Helden- und Dietrichepik</w:t>
      </w:r>
      <w:r>
        <w:rPr>
          <w:rFonts w:ascii="Times New Roman" w:cs="Times New Roman" w:eastAsia="Times New Roman" w:hAnsi="Times New Roman"/>
          <w:sz w:val="24"/>
          <w:szCs w:val="24"/>
        </w:rPr>
        <w:t xml:space="preserve">. &lt;https://handschriftencensus.de/tag/Helden-+und+Dietrichepik&gt;. Aufgerufen am [DATUM EINFÜGEN].</w:t>
      </w:r>
    </w:p>
    <w:p>
      <w:pPr>
        <w:spacing w:after="80" w:line="240"/>
        <w:ind w:left="566" w:hanging="566"/>
      </w:pPr>
      <w:r>
        <w:rPr>
          <w:rFonts w:ascii="Times New Roman" w:cs="Times New Roman" w:eastAsia="Times New Roman" w:hAnsi="Times New Roman"/>
          <w:sz w:val="24"/>
          <w:szCs w:val="24"/>
        </w:rPr>
        <w:t xml:space="preserve">Kapitan, Katarzyna Anna und Tarrin Wills. 2023. „Sagas and Genre. A Case for Application of Network Analysis to Manuscripts Preserving Old Norse-Icelandic Saga Literature“. </w:t>
      </w:r>
      <w:r>
        <w:rPr>
          <w:rFonts w:ascii="Times New Roman" w:cs="Times New Roman" w:eastAsia="Times New Roman" w:hAnsi="Times New Roman"/>
          <w:i/>
          <w:iCs/>
          <w:sz w:val="24"/>
          <w:szCs w:val="24"/>
        </w:rPr>
        <w:t xml:space="preserve">Digital Scholarship in the Humanities</w:t>
      </w:r>
      <w:r>
        <w:rPr>
          <w:rFonts w:ascii="Times New Roman" w:cs="Times New Roman" w:eastAsia="Times New Roman" w:hAnsi="Times New Roman"/>
          <w:sz w:val="24"/>
          <w:szCs w:val="24"/>
        </w:rPr>
        <w:t xml:space="preserve"> 38 (3): 1130–1144.</w:t>
      </w:r>
    </w:p>
    <w:p>
      <w:pPr>
        <w:spacing w:after="80" w:line="240"/>
        <w:ind w:left="566" w:hanging="566"/>
      </w:pPr>
      <w:r>
        <w:rPr>
          <w:rFonts w:ascii="Times New Roman" w:cs="Times New Roman" w:eastAsia="Times New Roman" w:hAnsi="Times New Roman"/>
          <w:sz w:val="24"/>
          <w:szCs w:val="24"/>
        </w:rPr>
        <w:t xml:space="preserve">Kestemont, Mike, Folgert Karsdorp, Elisabeth de Bruijn, Matthew Driscoll, Katarzyna A. Kapitan, Pádraig Ó Macháin, Daniel Sawyer, Remco Sleiderink und Anne Chao. 2022. „Forgotten Books. The Application of Unseen Species Models to the Survival of Culture“.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375 (6582): 765–769. &lt;https://doi.org/10.1126/science.abl7655&gt;.</w:t>
      </w:r>
    </w:p>
    <w:p>
      <w:pPr>
        <w:spacing w:after="80" w:line="240"/>
        <w:ind w:left="566" w:hanging="566"/>
      </w:pPr>
      <w:r>
        <w:rPr>
          <w:rFonts w:ascii="Times New Roman" w:cs="Times New Roman" w:eastAsia="Times New Roman" w:hAnsi="Times New Roman"/>
          <w:sz w:val="24"/>
          <w:szCs w:val="24"/>
        </w:rPr>
        <w:t xml:space="preserve">Kienhorst, Hans. 1988. </w:t>
      </w:r>
      <w:r>
        <w:rPr>
          <w:rFonts w:ascii="Times New Roman" w:cs="Times New Roman" w:eastAsia="Times New Roman" w:hAnsi="Times New Roman"/>
          <w:i/>
          <w:iCs/>
          <w:sz w:val="24"/>
          <w:szCs w:val="24"/>
        </w:rPr>
        <w:t xml:space="preserve">De handschriften van de Middelnederlandse ridderepiek. Een codicologische beschrijving</w:t>
      </w:r>
      <w:r>
        <w:rPr>
          <w:rFonts w:ascii="Times New Roman" w:cs="Times New Roman" w:eastAsia="Times New Roman" w:hAnsi="Times New Roman"/>
          <w:sz w:val="24"/>
          <w:szCs w:val="24"/>
        </w:rPr>
        <w:t xml:space="preserve">. 2 Bde. Deventer: Sub Rosa.</w:t>
      </w:r>
    </w:p>
    <w:p>
      <w:pPr>
        <w:spacing w:after="80" w:line="240"/>
        <w:ind w:left="566" w:hanging="566"/>
      </w:pPr>
      <w:r>
        <w:rPr>
          <w:rFonts w:ascii="Times New Roman" w:cs="Times New Roman" w:eastAsia="Times New Roman" w:hAnsi="Times New Roman"/>
          <w:sz w:val="24"/>
          <w:szCs w:val="24"/>
        </w:rPr>
        <w:t xml:space="preserve">Lienert, Elisabeth. 2015. </w:t>
      </w:r>
      <w:r>
        <w:rPr>
          <w:rFonts w:ascii="Times New Roman" w:cs="Times New Roman" w:eastAsia="Times New Roman" w:hAnsi="Times New Roman"/>
          <w:i/>
          <w:iCs/>
          <w:sz w:val="24"/>
          <w:szCs w:val="24"/>
        </w:rPr>
        <w:t xml:space="preserve">Mittelhochdeutsche Heldenepik. Eine Einführung</w:t>
      </w:r>
      <w:r>
        <w:rPr>
          <w:rFonts w:ascii="Times New Roman" w:cs="Times New Roman" w:eastAsia="Times New Roman" w:hAnsi="Times New Roman"/>
          <w:sz w:val="24"/>
          <w:szCs w:val="24"/>
        </w:rPr>
        <w:t xml:space="preserve">. Berlin: Erich Schmidt (Grundlagen der Germanistik 58).</w:t>
      </w:r>
    </w:p>
    <w:p>
      <w:pPr>
        <w:spacing w:after="80" w:line="240"/>
        <w:ind w:left="566" w:hanging="566"/>
      </w:pPr>
      <w:r>
        <w:rPr>
          <w:rFonts w:ascii="Times New Roman" w:cs="Times New Roman" w:eastAsia="Times New Roman" w:hAnsi="Times New Roman"/>
          <w:sz w:val="24"/>
          <w:szCs w:val="24"/>
        </w:rPr>
        <w:t xml:space="preserve">Nichols, Stephen G. und Siegfried Wenzel, Hg. 1996. </w:t>
      </w:r>
      <w:r>
        <w:rPr>
          <w:rFonts w:ascii="Times New Roman" w:cs="Times New Roman" w:eastAsia="Times New Roman" w:hAnsi="Times New Roman"/>
          <w:i/>
          <w:iCs/>
          <w:sz w:val="24"/>
          <w:szCs w:val="24"/>
        </w:rPr>
        <w:t xml:space="preserve">The Whole Book. Cultural Perspectives on the Medieval Miscellany</w:t>
      </w:r>
      <w:r>
        <w:rPr>
          <w:rFonts w:ascii="Times New Roman" w:cs="Times New Roman" w:eastAsia="Times New Roman" w:hAnsi="Times New Roman"/>
          <w:sz w:val="24"/>
          <w:szCs w:val="24"/>
        </w:rPr>
        <w:t xml:space="preserve">. Ann Arbor: University of Michigan Press.</w:t>
      </w:r>
    </w:p>
    <w:p>
      <w:pPr>
        <w:spacing w:after="80" w:line="240"/>
        <w:ind w:left="566" w:hanging="566"/>
      </w:pPr>
      <w:r>
        <w:rPr>
          <w:rFonts w:ascii="Times New Roman" w:cs="Times New Roman" w:eastAsia="Times New Roman" w:hAnsi="Times New Roman"/>
          <w:sz w:val="24"/>
          <w:szCs w:val="24"/>
        </w:rPr>
        <w:t xml:space="preserve">Poppe, Erich. 2008. </w:t>
      </w:r>
      <w:r>
        <w:rPr>
          <w:rFonts w:ascii="Times New Roman" w:cs="Times New Roman" w:eastAsia="Times New Roman" w:hAnsi="Times New Roman"/>
          <w:i/>
          <w:iCs/>
          <w:sz w:val="24"/>
          <w:szCs w:val="24"/>
        </w:rPr>
        <w:t xml:space="preserve">Of Cycles and Other Critical Matters. Some Issues in Medieval Irish Literary History and Criticism</w:t>
      </w:r>
      <w:r>
        <w:rPr>
          <w:rFonts w:ascii="Times New Roman" w:cs="Times New Roman" w:eastAsia="Times New Roman" w:hAnsi="Times New Roman"/>
          <w:sz w:val="24"/>
          <w:szCs w:val="24"/>
        </w:rPr>
        <w:t xml:space="preserve">. Cambridge: Department of Anglo-Saxon, Norse and Celtic (E. C. Quiggin Memorial Lectures 9).</w:t>
      </w:r>
    </w:p>
    <w:p>
      <w:pPr>
        <w:spacing w:after="80" w:line="240"/>
        <w:ind w:left="566" w:hanging="566"/>
      </w:pPr>
      <w:r>
        <w:rPr>
          <w:rFonts w:ascii="Times New Roman" w:cs="Times New Roman" w:eastAsia="Times New Roman" w:hAnsi="Times New Roman"/>
          <w:sz w:val="24"/>
          <w:szCs w:val="24"/>
        </w:rPr>
        <w:t xml:space="preserve">Pratt, Karen, Bart Besamusca, Matthias Meyer und Ad Putter, Hg. 2017. </w:t>
      </w:r>
      <w:r>
        <w:rPr>
          <w:rFonts w:ascii="Times New Roman" w:cs="Times New Roman" w:eastAsia="Times New Roman" w:hAnsi="Times New Roman"/>
          <w:i/>
          <w:iCs/>
          <w:sz w:val="24"/>
          <w:szCs w:val="24"/>
        </w:rPr>
        <w:t xml:space="preserve">The Dynamics of the Medieval Manuscript. Text Collections from a European Perspective</w:t>
      </w:r>
      <w:r>
        <w:rPr>
          <w:rFonts w:ascii="Times New Roman" w:cs="Times New Roman" w:eastAsia="Times New Roman" w:hAnsi="Times New Roman"/>
          <w:sz w:val="24"/>
          <w:szCs w:val="24"/>
        </w:rPr>
        <w:t xml:space="preserve">. Göttingen: V&amp;R unipress.</w:t>
      </w:r>
    </w:p>
    <w:p>
      <w:pPr>
        <w:spacing w:after="80" w:line="240"/>
        <w:ind w:left="566" w:hanging="566"/>
      </w:pPr>
      <w:r>
        <w:rPr>
          <w:rFonts w:ascii="Times New Roman" w:cs="Times New Roman" w:eastAsia="Times New Roman" w:hAnsi="Times New Roman"/>
          <w:sz w:val="24"/>
          <w:szCs w:val="24"/>
        </w:rPr>
        <w:t xml:space="preserve">Reignier, Virgile, Jean-Baptiste Camps, Elisabeth de Bruijn, Mike Kestemont, Maud Mélinand et al. 2026. „Linking Medieval Europe. Collecting and Connecting Data on Multilingual Textual Traditions“. Beitrag zur Konferenz der </w:t>
      </w:r>
      <w:r>
        <w:rPr>
          <w:rFonts w:ascii="Times New Roman" w:cs="Times New Roman" w:eastAsia="Times New Roman" w:hAnsi="Times New Roman"/>
          <w:i/>
          <w:iCs/>
          <w:sz w:val="24"/>
          <w:szCs w:val="24"/>
        </w:rPr>
        <w:t xml:space="preserve">European Association for Digital Humanities</w:t>
      </w:r>
      <w:r>
        <w:rPr>
          <w:rFonts w:ascii="Times New Roman" w:cs="Times New Roman" w:eastAsia="Times New Roman" w:hAnsi="Times New Roman"/>
          <w:sz w:val="24"/>
          <w:szCs w:val="24"/>
        </w:rPr>
        <w:t xml:space="preserve">, Kraków, September 2026. &lt;https://hal.science/hal-05676740&gt;.</w:t>
      </w:r>
    </w:p>
    <w:p>
      <w:pPr>
        <w:spacing w:after="80" w:line="240"/>
        <w:ind w:left="566" w:hanging="566"/>
      </w:pPr>
      <w:r>
        <w:rPr>
          <w:rFonts w:ascii="Times New Roman" w:cs="Times New Roman" w:eastAsia="Times New Roman" w:hAnsi="Times New Roman"/>
          <w:sz w:val="24"/>
          <w:szCs w:val="24"/>
        </w:rPr>
        <w:t xml:space="preserve">Wolf, Jürgen. 2016. „Sammelhandschriften – mehr als die Summe der Einzelteile“. In </w:t>
      </w:r>
      <w:r>
        <w:rPr>
          <w:rFonts w:ascii="Times New Roman" w:cs="Times New Roman" w:eastAsia="Times New Roman" w:hAnsi="Times New Roman"/>
          <w:i/>
          <w:iCs/>
          <w:sz w:val="24"/>
          <w:szCs w:val="24"/>
        </w:rPr>
        <w:t xml:space="preserve">Überlieferungsgeschichte transdisziplinär. Neue Perspektiven auf ein germanistisches Forschungsparadigma</w:t>
      </w:r>
      <w:r>
        <w:rPr>
          <w:rFonts w:ascii="Times New Roman" w:cs="Times New Roman" w:eastAsia="Times New Roman" w:hAnsi="Times New Roman"/>
          <w:sz w:val="24"/>
          <w:szCs w:val="24"/>
        </w:rPr>
        <w:t xml:space="preserve">, hrsg. von Dorothea Klein. Wiesbaden: Reichert: 69–82.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pPr>
      <w:r>
        <w:rPr>
          <w:rStyle w:val="FootnoteReference"/>
        </w:rPr>
        <w:footnoteRef/>
      </w:r>
      <w:r>
        <w:rPr>
          <w:rFonts w:ascii="Times New Roman" w:cs="Times New Roman" w:eastAsia="Times New Roman" w:hAnsi="Times New Roman"/>
          <w:sz w:val="20"/>
          <w:szCs w:val="20"/>
        </w:rPr>
        <w:t xml:space="preserve">Dieser Beitrag beruht auf Daten, die im Rahmen des ERC-geförderten Projekts LostMa erhoben wurden. Die Verfasser danken den an der Datenerhebung für das französische und das deutsche Korpus beteiligten Projektmitgliedern, insbesondere Jean-Baptiste Camps, Cecile Vermaas und Virgile Reignier. Der gesamte Programmcode der hier vorgestellten Analysen wird zusammen mit den aufbereiteten Daten öffentlich auf GitHub bereitgestellt (&lt;[GITHUB-LINK EINFÜGEN]&gt;) und dauerhaft auf Zenodo archiviert (&lt;[ZENODO-DOI EINFÜGEN]&gt;).</w:t>
      </w:r>
    </w:p>
  </w:footnote>
  <w:footnote w:id="2">
    <w:p>
      <w:pPr>
        <w:spacing w:after="0" w:line="240"/>
      </w:pPr>
      <w:r>
        <w:rPr>
          <w:rStyle w:val="FootnoteReference"/>
        </w:rPr>
        <w:footnoteRef/>
      </w:r>
      <w:r>
        <w:rPr>
          <w:rFonts w:ascii="Times New Roman" w:cs="Times New Roman" w:eastAsia="Times New Roman" w:hAnsi="Times New Roman"/>
          <w:sz w:val="20"/>
          <w:szCs w:val="20"/>
        </w:rPr>
        <w:t xml:space="preserve">Der Begriff </w:t>
      </w:r>
      <w:r>
        <w:rPr>
          <w:rFonts w:ascii="Times New Roman" w:cs="Times New Roman" w:eastAsia="Times New Roman" w:hAnsi="Times New Roman"/>
          <w:i/>
          <w:iCs/>
          <w:sz w:val="20"/>
          <w:szCs w:val="20"/>
        </w:rPr>
        <w:t xml:space="preserve">Ritterroman</w:t>
      </w:r>
      <w:r>
        <w:rPr>
          <w:rFonts w:ascii="Times New Roman" w:cs="Times New Roman" w:eastAsia="Times New Roman" w:hAnsi="Times New Roman"/>
          <w:sz w:val="20"/>
          <w:szCs w:val="20"/>
        </w:rPr>
        <w:t xml:space="preserve"> wird hier, der internationalen Forschungstradition folgend, in einem weiten, sprachübergreifenden Sinne verwendet. Er umfasst sowohl Romane als auch Heldenepen und schafft damit eine gemeinsame Grundlage für den Vergleich verschiedener Sprachtraditionen.</w:t>
      </w:r>
    </w:p>
  </w:footnote>
  <w:footnote w:id="3">
    <w:p>
      <w:pPr>
        <w:spacing w:after="0" w:line="240"/>
      </w:pPr>
      <w:r>
        <w:rPr>
          <w:rStyle w:val="FootnoteReference"/>
        </w:rPr>
        <w:footnoteRef/>
      </w:r>
      <w:r>
        <w:rPr>
          <w:rFonts w:ascii="Times New Roman" w:cs="Times New Roman" w:eastAsia="Times New Roman" w:hAnsi="Times New Roman"/>
          <w:sz w:val="20"/>
          <w:szCs w:val="20"/>
        </w:rPr>
        <w:t xml:space="preserve">„Es gibt nur drei Stoffkreise, die irgendeinem lebenden Menschen bekannt sind: den von Frankreich, den von Britannien und den vom mächtigen Rom; und keiner dieser drei Stoffkreise gleicht dem anderen. Die Erzählungen von Britannien sind so unwahr und unterhaltsam, die von Rom weise und lehrreich, die von Frankreich aber sind wahr, wie sich Tag für Tag zeigt“ (unsere Übersetzung).</w:t>
      </w:r>
    </w:p>
  </w:footnote>
  <w:footnote w:id="4">
    <w:p>
      <w:pPr>
        <w:spacing w:after="0" w:line="240"/>
      </w:pPr>
      <w:r>
        <w:rPr>
          <w:rStyle w:val="FootnoteReference"/>
        </w:rPr>
        <w:footnoteRef/>
      </w:r>
      <w:r>
        <w:rPr>
          <w:rFonts w:ascii="Times New Roman" w:cs="Times New Roman" w:eastAsia="Times New Roman" w:hAnsi="Times New Roman"/>
          <w:sz w:val="20"/>
          <w:szCs w:val="20"/>
        </w:rPr>
        <w:t xml:space="preserve">In der bayesianischen Modellierung werden die geschätzten Wahrscheinlichkeiten nicht als Einzelwerte, sondern als Wahrscheinlichkeitsverteilungen ausgedrückt. Das erlaubt es, nicht nur die wahrscheinlichste Schätzung anzugeben, sondern auch die sie umgebende Unsicherheit. Wir berichten diese Unsicherheit als Glaubwürdigkeitsintervalle (in eckigen Klammern, 89 %) um die zentralen Posterior-Schätzungen des Modells.</w:t>
      </w:r>
    </w:p>
  </w:footnote>
  <w:footnote w:id="5">
    <w:p>
      <w:pPr>
        <w:spacing w:after="0" w:line="240"/>
      </w:pPr>
      <w:r>
        <w:rPr>
          <w:rStyle w:val="FootnoteReference"/>
        </w:rPr>
        <w:footnoteRef/>
      </w:r>
      <w:r>
        <w:rPr>
          <w:rFonts w:ascii="Times New Roman" w:cs="Times New Roman" w:eastAsia="Times New Roman" w:hAnsi="Times New Roman"/>
          <w:sz w:val="20"/>
          <w:szCs w:val="20"/>
        </w:rPr>
        <w:t xml:space="preserve">Verglichen wurden drei Binomialmodelle: ein Modell mit ausschließlich Achsenabschnitt (Nullmodell), ein additives Modell (</w:t>
      </w:r>
      <w:r>
        <w:rPr>
          <w:rFonts w:ascii="Times New Roman" w:cs="Times New Roman" w:eastAsia="Times New Roman" w:hAnsi="Times New Roman"/>
          <w:i/>
          <w:iCs/>
          <w:sz w:val="20"/>
          <w:szCs w:val="20"/>
        </w:rPr>
        <w:t xml:space="preserve">matière</w:t>
      </w:r>
      <w:r>
        <w:rPr>
          <w:rFonts w:ascii="Times New Roman" w:cs="Times New Roman" w:eastAsia="Times New Roman" w:hAnsi="Times New Roman"/>
          <w:sz w:val="20"/>
          <w:szCs w:val="20"/>
        </w:rPr>
        <w:t xml:space="preserve"> + Sprache) und ein Interaktionsmodell (</w:t>
      </w:r>
      <w:r>
        <w:rPr>
          <w:rFonts w:ascii="Times New Roman" w:cs="Times New Roman" w:eastAsia="Times New Roman" w:hAnsi="Times New Roman"/>
          <w:i/>
          <w:iCs/>
          <w:sz w:val="20"/>
          <w:szCs w:val="20"/>
        </w:rPr>
        <w:t xml:space="preserve">matière</w:t>
      </w:r>
      <w:r>
        <w:rPr>
          <w:rFonts w:ascii="Times New Roman" w:cs="Times New Roman" w:eastAsia="Times New Roman" w:hAnsi="Times New Roman"/>
          <w:sz w:val="20"/>
          <w:szCs w:val="20"/>
        </w:rPr>
        <w:t xml:space="preserve"> × Sprache). Das Interaktionsmodell zeigte die beste Vorhersageleistung (ELPD nach Leave-one-out-Kreuzvalidierung: −802 gegenüber −842 für das additive und −976 für das Nullmodell); die Einzelheiten sind im begleitenden Notebook dokumentiert (s. Anm. 1).</w:t>
      </w:r>
    </w:p>
  </w:footnote>
  <w:footnote w:id="6">
    <w:p>
      <w:pPr>
        <w:spacing w:after="0" w:line="240"/>
      </w:pPr>
      <w:r>
        <w:rPr>
          <w:rStyle w:val="FootnoteReference"/>
        </w:rPr>
        <w:footnoteRef/>
      </w:r>
      <w:r>
        <w:rPr>
          <w:rFonts w:ascii="Times New Roman" w:cs="Times New Roman" w:eastAsia="Times New Roman" w:hAnsi="Times New Roman"/>
          <w:sz w:val="20"/>
          <w:szCs w:val="20"/>
        </w:rPr>
        <w:t xml:space="preserve">Technisch gesprochen haben wir das Verfahren der </w:t>
      </w:r>
      <w:r>
        <w:rPr>
          <w:rFonts w:ascii="Times New Roman" w:cs="Times New Roman" w:eastAsia="Times New Roman" w:hAnsi="Times New Roman"/>
          <w:i/>
          <w:iCs/>
          <w:sz w:val="20"/>
          <w:szCs w:val="20"/>
        </w:rPr>
        <w:t xml:space="preserve">greedy modularity</w:t>
      </w:r>
      <w:r>
        <w:rPr>
          <w:rFonts w:ascii="Times New Roman" w:cs="Times New Roman" w:eastAsia="Times New Roman" w:hAnsi="Times New Roman"/>
          <w:sz w:val="20"/>
          <w:szCs w:val="20"/>
        </w:rPr>
        <w:t xml:space="preserve"> auf die Newman-Projektionsgewichte angewandt: Eine Handschrift mit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Werken trägt zu jedem Werkpaar nur 1/(</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 bei, was den Einfluss größerer Kodizes abschwächt. Alle Netzwerkanalysen wurden mit der Programmbibliothek </w:t>
      </w:r>
      <w:r>
        <w:rPr>
          <w:rFonts w:ascii="Times New Roman" w:cs="Times New Roman" w:eastAsia="Times New Roman" w:hAnsi="Times New Roman"/>
          <w:i/>
          <w:iCs/>
          <w:sz w:val="20"/>
          <w:szCs w:val="20"/>
        </w:rPr>
        <w:t xml:space="preserve">networkx</w:t>
      </w:r>
      <w:r>
        <w:rPr>
          <w:rFonts w:ascii="Times New Roman" w:cs="Times New Roman" w:eastAsia="Times New Roman" w:hAnsi="Times New Roman"/>
          <w:sz w:val="20"/>
          <w:szCs w:val="20"/>
        </w:rPr>
        <w:t xml:space="preserve"> durchgeführt (Hagberg/Schult/Swart 2008).</w:t>
      </w:r>
    </w:p>
  </w:footnote>
  <w:footnote w:id="7">
    <w:p>
      <w:pPr>
        <w:spacing w:after="0" w:line="240"/>
      </w:pPr>
      <w:r>
        <w:rPr>
          <w:rStyle w:val="FootnoteReference"/>
        </w:rPr>
        <w:footnoteRef/>
      </w:r>
      <w:r>
        <w:rPr>
          <w:rFonts w:ascii="Times New Roman" w:cs="Times New Roman" w:eastAsia="Times New Roman" w:hAnsi="Times New Roman"/>
          <w:sz w:val="20"/>
          <w:szCs w:val="20"/>
        </w:rPr>
        <w:t xml:space="preserve">Hervorzuheben ist der erhebliche Einfluss des Ambraser Heldenbuchs auf das deutsche Netzwerk. Eine Sensitivitätsanalyse ohne diesen Kodex bestätigt, dass die Hauptergebnisse unverändert bleiben; die Tendenz von Werken derselben </w:t>
      </w:r>
      <w:r>
        <w:rPr>
          <w:rFonts w:ascii="Times New Roman" w:cs="Times New Roman" w:eastAsia="Times New Roman" w:hAnsi="Times New Roman"/>
          <w:i/>
          <w:iCs/>
          <w:sz w:val="20"/>
          <w:szCs w:val="20"/>
        </w:rPr>
        <w:t xml:space="preserve">matière</w:t>
      </w:r>
      <w:r>
        <w:rPr>
          <w:rFonts w:ascii="Times New Roman" w:cs="Times New Roman" w:eastAsia="Times New Roman" w:hAnsi="Times New Roman"/>
          <w:sz w:val="20"/>
          <w:szCs w:val="20"/>
        </w:rPr>
        <w:t xml:space="preserve">, gemeinsam überliefert zu werden, fällt für das Deutsche im Modell sogar noch stärker aus (standardisierte Kohäsion 0,761 statt 0,711). Das Ambraser Heldenbuch schwächt dieses Muster also eher ab, als dass es es hervorbrächte, da auf diesen Kodex viele der </w:t>
      </w:r>
      <w:r>
        <w:rPr>
          <w:rFonts w:ascii="Times New Roman" w:cs="Times New Roman" w:eastAsia="Times New Roman" w:hAnsi="Times New Roman"/>
          <w:i/>
          <w:iCs/>
          <w:sz w:val="20"/>
          <w:szCs w:val="20"/>
        </w:rPr>
        <w:t xml:space="preserve">matière</w:t>
      </w:r>
      <w:r>
        <w:rPr>
          <w:rFonts w:ascii="Times New Roman" w:cs="Times New Roman" w:eastAsia="Times New Roman" w:hAnsi="Times New Roman"/>
          <w:sz w:val="20"/>
          <w:szCs w:val="20"/>
        </w:rPr>
        <w:t xml:space="preserve">-übergreifenden Verbindungen zwischen Artuserzählungen und Heldendichtung entfallen. Seine außergewöhnliche Bandbreite dürfte die späte Zusammenstellung mehrerer bereits bestehender Textgruppierungen widerspiegeln. Wir haben es dennoch beibehalten, da der Ausschluss dieses wichtigen Textzeugen einen willkürlichen Eingriff in das Korpus, wie es in LostMa erfasst ist, bedeuten würde.</w:t>
      </w:r>
    </w:p>
  </w:footnote>
  <w:footnote w:id="8">
    <w:p>
      <w:pPr>
        <w:spacing w:after="0" w:line="240"/>
      </w:pPr>
      <w:r>
        <w:rPr>
          <w:rStyle w:val="FootnoteReference"/>
        </w:rPr>
        <w:footnoteRef/>
      </w:r>
      <w:r>
        <w:rPr>
          <w:rFonts w:ascii="Times New Roman" w:cs="Times New Roman" w:eastAsia="Times New Roman" w:hAnsi="Times New Roman"/>
          <w:sz w:val="20"/>
          <w:szCs w:val="20"/>
        </w:rPr>
        <w:t xml:space="preserve">Es ist eine interessante Frage, ob die ähnlichen Entstehungsdaten dieser Werke des 12. Jahrhunderts zu ihrer starken Mitüberlieferung beigetragen haben. Diese Frage verdiente jedoch eine ausführlichere statistische Behandlung, als sie hier möglich ist.</w:t>
      </w:r>
    </w:p>
  </w:footnote>
  <w:footnote w:id="9">
    <w:p>
      <w:pPr>
        <w:spacing w:after="0" w:line="240"/>
      </w:pPr>
      <w:r>
        <w:rPr>
          <w:rStyle w:val="FootnoteReference"/>
        </w:rPr>
        <w:footnoteRef/>
      </w:r>
      <w:r>
        <w:rPr>
          <w:rFonts w:ascii="Times New Roman" w:cs="Times New Roman" w:eastAsia="Times New Roman" w:hAnsi="Times New Roman"/>
          <w:sz w:val="20"/>
          <w:szCs w:val="20"/>
        </w:rPr>
        <w:t xml:space="preserve">Die Analyse von Kapitan/Wills (2023) erstreckt sich auf die altnordisch-isländische handschriftliche Überlieferung bis ins 20. Jahrhundert; ihre Ergebnisse spiegeln daher die längere Geschichte von Überlieferung und Sammlung wider und nicht allein die mittelalterliche Handschriftenproduktion.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4200ac57ca8a4eccd5d9aab17579f1a0a09527.png"/><Relationship Id="rId8" Type="http://schemas.openxmlformats.org/officeDocument/2006/relationships/image" Target="media/7421cd595ed916536742594e574125b173045a84.png"/><Relationship Id="rId9" Type="http://schemas.openxmlformats.org/officeDocument/2006/relationships/image" Target="media/825ef5b612a1ec1e3c059955f812463d21c21bed.png"/><Relationship Id="rId10" Type="http://schemas.openxmlformats.org/officeDocument/2006/relationships/image" Target="media/c57c4bae5e81514a4b1fb329f4a1b7874e7aa6cb.png"/><Relationship Id="rId11" Type="http://schemas.openxmlformats.org/officeDocument/2006/relationships/image" Target="media/31c85dc321278d9e51d4997e32a68fc151de3be4.png"/><Relationship Id="rId12" Type="http://schemas.openxmlformats.org/officeDocument/2006/relationships/image" Target="media/270a0a0e674c18d6b608285c2f907d0a8299596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Elisabeth de Bruijn / Mike Kestemont</dc:creator>
  <cp:lastModifiedBy>Un-named</cp:lastModifiedBy>
  <cp:revision>1</cp:revision>
  <dcterms:created xsi:type="dcterms:W3CDTF">2026-09-14T14:40:45.981Z</dcterms:created>
  <dcterms:modified xsi:type="dcterms:W3CDTF">2026-09-14T14:40:45.982Z</dcterms:modified>
</cp:coreProperties>
</file>

<file path=docProps/custom.xml><?xml version="1.0" encoding="utf-8"?>
<Properties xmlns="http://schemas.openxmlformats.org/officeDocument/2006/custom-properties" xmlns:vt="http://schemas.openxmlformats.org/officeDocument/2006/docPropsVTypes"/>
</file>