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240"/>
        <w:jc w:val="center"/>
      </w:pPr>
      <w:r>
        <w:rPr>
          <w:rFonts w:ascii="Times New Roman" w:cs="Times New Roman" w:eastAsia="Times New Roman" w:hAnsi="Times New Roman"/>
          <w:b/>
          <w:bCs/>
          <w:sz w:val="24"/>
          <w:szCs w:val="24"/>
        </w:rPr>
        <w:t xml:space="preserve">Bodel und das Modell</w:t>
      </w:r>
    </w:p>
    <w:p>
      <w:pPr>
        <w:spacing w:after="240" w:line="240"/>
        <w:jc w:val="center"/>
      </w:pPr>
      <w:r>
        <w:rPr>
          <w:rFonts w:ascii="Times New Roman" w:cs="Times New Roman" w:eastAsia="Times New Roman" w:hAnsi="Times New Roman"/>
          <w:b/>
          <w:bCs/>
          <w:sz w:val="24"/>
          <w:szCs w:val="24"/>
        </w:rPr>
        <w:t xml:space="preserve">Zusätzliche Angaben zum Beitrag (Zusammenfassungen, Schlagworte, Kolumnentitel, bio-bibliographische Notizen)</w:t>
      </w:r>
    </w:p>
    <w:p>
      <w:pPr>
        <w:spacing w:after="360" w:line="240"/>
        <w:jc w:val="center"/>
      </w:pPr>
      <w:r>
        <w:rPr>
          <w:rFonts w:ascii="Times New Roman" w:cs="Times New Roman" w:eastAsia="Times New Roman" w:hAnsi="Times New Roman"/>
          <w:sz w:val="24"/>
          <w:szCs w:val="24"/>
        </w:rPr>
        <w:t xml:space="preserve">Elisabeth DE BRUIJN und Mike KESTEMONT</w:t>
      </w:r>
    </w:p>
    <w:p>
      <w:pPr>
        <w:keepNext/>
        <w:spacing w:after="120" w:before="240" w:line="240"/>
      </w:pPr>
      <w:r>
        <w:rPr>
          <w:rFonts w:ascii="Times New Roman" w:cs="Times New Roman" w:eastAsia="Times New Roman" w:hAnsi="Times New Roman"/>
          <w:b/>
          <w:bCs/>
          <w:sz w:val="24"/>
          <w:szCs w:val="24"/>
        </w:rPr>
        <w:t xml:space="preserve">Kolumnentitel (40 Zeichen inkl. Leerzeichen)</w:t>
      </w:r>
    </w:p>
    <w:p>
      <w:pPr>
        <w:spacing w:after="120" w:before="0" w:line="240"/>
        <w:jc w:val="both"/>
      </w:pPr>
      <w:r>
        <w:rPr>
          <w:rFonts w:ascii="Times New Roman" w:cs="Times New Roman" w:eastAsia="Times New Roman" w:hAnsi="Times New Roman"/>
          <w:sz w:val="24"/>
          <w:szCs w:val="24"/>
        </w:rPr>
        <w:t xml:space="preserve">Bodel und das Modell</w:t>
      </w:r>
    </w:p>
    <w:p>
      <w:pPr>
        <w:keepNext/>
        <w:spacing w:after="120" w:before="240" w:line="240"/>
      </w:pPr>
      <w:r>
        <w:rPr>
          <w:rFonts w:ascii="Times New Roman" w:cs="Times New Roman" w:eastAsia="Times New Roman" w:hAnsi="Times New Roman"/>
          <w:b/>
          <w:bCs/>
          <w:sz w:val="24"/>
          <w:szCs w:val="24"/>
        </w:rPr>
        <w:t xml:space="preserve">Zusammenfassung (Deutsch)</w:t>
      </w:r>
    </w:p>
    <w:p>
      <w:pPr>
        <w:spacing w:after="120" w:before="0" w:line="240"/>
        <w:jc w:val="both"/>
      </w:pPr>
      <w:r>
        <w:rPr>
          <w:rFonts w:ascii="Times New Roman" w:cs="Times New Roman" w:eastAsia="Times New Roman" w:hAnsi="Times New Roman"/>
          <w:i/>
          <w:iCs/>
          <w:sz w:val="24"/>
          <w:szCs w:val="24"/>
        </w:rPr>
        <w:t xml:space="preserve">Bodel und das Modell. Gattung und Textgemeinschaften in der handschriftlichen Überlieferung französischer und deutscher Heldenerzählungen</w:t>
      </w:r>
    </w:p>
    <w:p>
      <w:pPr>
        <w:spacing w:after="120" w:before="0" w:line="240"/>
        <w:jc w:val="both"/>
      </w:pPr>
      <w:r>
        <w:rPr>
          <w:rFonts w:ascii="Times New Roman" w:cs="Times New Roman" w:eastAsia="Times New Roman" w:hAnsi="Times New Roman"/>
          <w:sz w:val="24"/>
          <w:szCs w:val="24"/>
        </w:rPr>
        <w:t xml:space="preserve">Der Beitrag fragt, inwieweit Jean Bodels Einteilung der Erzählstoffe in die </w:t>
      </w:r>
      <w:r>
        <w:rPr>
          <w:rFonts w:ascii="Times New Roman" w:cs="Times New Roman" w:eastAsia="Times New Roman" w:hAnsi="Times New Roman"/>
          <w:i/>
          <w:iCs/>
          <w:sz w:val="24"/>
          <w:szCs w:val="24"/>
        </w:rPr>
        <w:t xml:space="preserve">matières</w:t>
      </w:r>
      <w:r>
        <w:rPr>
          <w:rFonts w:ascii="Times New Roman" w:cs="Times New Roman" w:eastAsia="Times New Roman" w:hAnsi="Times New Roman"/>
          <w:sz w:val="24"/>
          <w:szCs w:val="24"/>
        </w:rPr>
        <w:t xml:space="preserve"> de France, de Bretagne und de Rome den Mustern entspricht, nach denen Ritterromane in mittelalterlichen Mehrtexthandschriften gemeinsam überliefert wurden. Grundlage sind die für das französische und das deutsche Korpus der LostMa-Datenbank erfassten Werke und Handschriften, aus deren Mitüberlieferung Netzwerke gebildet werden. Ein bayesianisches Modell zeigt, dass Werke derselben </w:t>
      </w:r>
      <w:r>
        <w:rPr>
          <w:rFonts w:ascii="Times New Roman" w:cs="Times New Roman" w:eastAsia="Times New Roman" w:hAnsi="Times New Roman"/>
          <w:i/>
          <w:iCs/>
          <w:sz w:val="24"/>
          <w:szCs w:val="24"/>
        </w:rPr>
        <w:t xml:space="preserve">matière</w:t>
      </w:r>
      <w:r>
        <w:rPr>
          <w:rFonts w:ascii="Times New Roman" w:cs="Times New Roman" w:eastAsia="Times New Roman" w:hAnsi="Times New Roman"/>
          <w:sz w:val="24"/>
          <w:szCs w:val="24"/>
        </w:rPr>
        <w:t xml:space="preserve"> in beiden Traditionen weit häufiger gemeinsam überliefert sind, als zufällig zu erwarten wäre – mit je nach </w:t>
      </w:r>
      <w:r>
        <w:rPr>
          <w:rFonts w:ascii="Times New Roman" w:cs="Times New Roman" w:eastAsia="Times New Roman" w:hAnsi="Times New Roman"/>
          <w:i/>
          <w:iCs/>
          <w:sz w:val="24"/>
          <w:szCs w:val="24"/>
        </w:rPr>
        <w:t xml:space="preserve">matière</w:t>
      </w:r>
      <w:r>
        <w:rPr>
          <w:rFonts w:ascii="Times New Roman" w:cs="Times New Roman" w:eastAsia="Times New Roman" w:hAnsi="Times New Roman"/>
          <w:sz w:val="24"/>
          <w:szCs w:val="24"/>
        </w:rPr>
        <w:t xml:space="preserve"> unterschiedlicher Stärke: Das Artusmaterial ist im Französischen kohäsiver, das Antikenmaterial im Deutschen. Zugleich erfasst Bodels Schema einen deutlich kleineren Teil des deutschen Korpus, vor allem weil die Heldendichtung außerhalb seiner Kategorien liegt. Eine datengeleitete Gemeinschaftsanalyse zeigt, dass sich die </w:t>
      </w:r>
      <w:r>
        <w:rPr>
          <w:rFonts w:ascii="Times New Roman" w:cs="Times New Roman" w:eastAsia="Times New Roman" w:hAnsi="Times New Roman"/>
          <w:i/>
          <w:iCs/>
          <w:sz w:val="24"/>
          <w:szCs w:val="24"/>
        </w:rPr>
        <w:t xml:space="preserve">matières</w:t>
      </w:r>
      <w:r>
        <w:rPr>
          <w:rFonts w:ascii="Times New Roman" w:cs="Times New Roman" w:eastAsia="Times New Roman" w:hAnsi="Times New Roman"/>
          <w:sz w:val="24"/>
          <w:szCs w:val="24"/>
        </w:rPr>
        <w:t xml:space="preserve"> in spezifischere Textgemeinschaften untergliedern. Gattung erscheint in der Überlieferung als geschichtete Struktur, in der breite literarische Affinitäten und lokale Textbeziehungen koexistieren.</w:t>
      </w:r>
    </w:p>
    <w:p>
      <w:pPr>
        <w:spacing w:after="120" w:before="0" w:line="240"/>
        <w:jc w:val="both"/>
      </w:pPr>
      <w:r>
        <w:rPr>
          <w:rFonts w:ascii="Times New Roman" w:cs="Times New Roman" w:eastAsia="Times New Roman" w:hAnsi="Times New Roman"/>
          <w:sz w:val="24"/>
          <w:szCs w:val="24"/>
        </w:rPr>
        <w:t xml:space="preserve">Schlagworte: Mehrtexthandschriften; Mitüberlieferung; Jean Bodel; Ritterroman; Netzwerkanalyse</w:t>
      </w:r>
    </w:p>
    <w:p>
      <w:pPr>
        <w:keepNext/>
        <w:spacing w:after="120" w:before="240" w:line="240"/>
      </w:pPr>
      <w:r>
        <w:rPr>
          <w:rFonts w:ascii="Times New Roman" w:cs="Times New Roman" w:eastAsia="Times New Roman" w:hAnsi="Times New Roman"/>
          <w:b/>
          <w:bCs/>
          <w:sz w:val="24"/>
          <w:szCs w:val="24"/>
        </w:rPr>
        <w:t xml:space="preserve">Résumé (Français)</w:t>
      </w:r>
    </w:p>
    <w:p>
      <w:pPr>
        <w:spacing w:after="120" w:before="0" w:line="240"/>
        <w:jc w:val="both"/>
      </w:pPr>
      <w:r>
        <w:rPr>
          <w:rFonts w:ascii="Times New Roman" w:cs="Times New Roman" w:eastAsia="Times New Roman" w:hAnsi="Times New Roman"/>
          <w:i/>
          <w:iCs/>
          <w:sz w:val="24"/>
          <w:szCs w:val="24"/>
        </w:rPr>
        <w:t xml:space="preserve">Bodel et le modèle. Genre et communautés textuelles dans la transmission manuscrite des récits héroïques français et allemands</w:t>
      </w:r>
    </w:p>
    <w:p>
      <w:pPr>
        <w:spacing w:after="120" w:before="0" w:line="240"/>
        <w:jc w:val="both"/>
      </w:pPr>
      <w:r>
        <w:rPr>
          <w:rFonts w:ascii="Times New Roman" w:cs="Times New Roman" w:eastAsia="Times New Roman" w:hAnsi="Times New Roman"/>
          <w:sz w:val="24"/>
          <w:szCs w:val="24"/>
        </w:rPr>
        <w:t xml:space="preserve">Cette contribution examine dans quelle mesure la division des matières narratives proposée par Jean Bodel – matière de France, de Bretagne et de Rome – correspond aux configurations selon lesquelles les romans de chevalerie ont été transmis ensemble dans les manuscrits à textes multiples du Moyen Âge. L’étude repose sur les œuvres et les manuscrits recensés pour les corpus français et allemand de la base de données LostMa, dont la co-transmission est représentée sous forme de réseaux. Un modèle bayésien montre que, dans les deux traditions, les œuvres d’une même matière sont transmises ensemble bien plus souvent que le hasard ne le laisserait attendre, avec des différences selon la matière : la matière arthurienne est plus cohésive en français, la matière antique en allemand. En même temps, le schéma de Bodel couvre une part sensiblement plus réduite du corpus allemand, notamment parce que la </w:t>
      </w:r>
      <w:r>
        <w:rPr>
          <w:rFonts w:ascii="Times New Roman" w:cs="Times New Roman" w:eastAsia="Times New Roman" w:hAnsi="Times New Roman"/>
          <w:i/>
          <w:iCs/>
          <w:sz w:val="24"/>
          <w:szCs w:val="24"/>
        </w:rPr>
        <w:t xml:space="preserve">Heldendichtung</w:t>
      </w:r>
      <w:r>
        <w:rPr>
          <w:rFonts w:ascii="Times New Roman" w:cs="Times New Roman" w:eastAsia="Times New Roman" w:hAnsi="Times New Roman"/>
          <w:sz w:val="24"/>
          <w:szCs w:val="24"/>
        </w:rPr>
        <w:t xml:space="preserve"> échappe à ses catégories. Une analyse de communautés fondée sur les seules données révèle que les matières se subdivisent en communautés textuelles plus spécifiques. Dans la transmission manuscrite, le genre apparaît ainsi comme une structure stratifiée où coexistent affinités littéraires larges et relations textuelles locales.</w:t>
      </w:r>
    </w:p>
    <w:p>
      <w:pPr>
        <w:spacing w:after="120" w:before="0" w:line="240"/>
        <w:jc w:val="both"/>
      </w:pPr>
      <w:r>
        <w:rPr>
          <w:rFonts w:ascii="Times New Roman" w:cs="Times New Roman" w:eastAsia="Times New Roman" w:hAnsi="Times New Roman"/>
          <w:sz w:val="24"/>
          <w:szCs w:val="24"/>
        </w:rPr>
        <w:t xml:space="preserve">Mots-clés : manuscrits à textes multiples ; co-transmission ; Jean Bodel ; roman de chevalerie ; analyse de réseaux</w:t>
      </w:r>
    </w:p>
    <w:p>
      <w:pPr>
        <w:keepNext/>
        <w:spacing w:after="120" w:before="240" w:line="240"/>
      </w:pPr>
      <w:r>
        <w:rPr>
          <w:rFonts w:ascii="Times New Roman" w:cs="Times New Roman" w:eastAsia="Times New Roman" w:hAnsi="Times New Roman"/>
          <w:b/>
          <w:bCs/>
          <w:sz w:val="24"/>
          <w:szCs w:val="24"/>
        </w:rPr>
        <w:t xml:space="preserve">Abstract (English)</w:t>
      </w:r>
    </w:p>
    <w:p>
      <w:pPr>
        <w:spacing w:after="120" w:before="0" w:line="240"/>
        <w:jc w:val="both"/>
      </w:pPr>
      <w:r>
        <w:rPr>
          <w:rFonts w:ascii="Times New Roman" w:cs="Times New Roman" w:eastAsia="Times New Roman" w:hAnsi="Times New Roman"/>
          <w:i/>
          <w:iCs/>
          <w:sz w:val="24"/>
          <w:szCs w:val="24"/>
        </w:rPr>
        <w:t xml:space="preserve">Bodel and the Model. Genre and Textual Communities in the Manuscript Transmission of French and German Heroic Narratives</w:t>
      </w:r>
    </w:p>
    <w:p>
      <w:pPr>
        <w:spacing w:after="120" w:before="0" w:line="240"/>
        <w:jc w:val="both"/>
      </w:pPr>
      <w:r>
        <w:rPr>
          <w:rFonts w:ascii="Times New Roman" w:cs="Times New Roman" w:eastAsia="Times New Roman" w:hAnsi="Times New Roman"/>
          <w:sz w:val="24"/>
          <w:szCs w:val="24"/>
        </w:rPr>
        <w:t xml:space="preserve">This contribution asks to what extent Jean Bodel’s division of narrative subject matter into the </w:t>
      </w:r>
      <w:r>
        <w:rPr>
          <w:rFonts w:ascii="Times New Roman" w:cs="Times New Roman" w:eastAsia="Times New Roman" w:hAnsi="Times New Roman"/>
          <w:i/>
          <w:iCs/>
          <w:sz w:val="24"/>
          <w:szCs w:val="24"/>
        </w:rPr>
        <w:t xml:space="preserve">matières</w:t>
      </w:r>
      <w:r>
        <w:rPr>
          <w:rFonts w:ascii="Times New Roman" w:cs="Times New Roman" w:eastAsia="Times New Roman" w:hAnsi="Times New Roman"/>
          <w:sz w:val="24"/>
          <w:szCs w:val="24"/>
        </w:rPr>
        <w:t xml:space="preserve"> of France, Britain and Rome corresponds to the patterns in which chivalric romances were transmitted together in medieval multi-text manuscripts. It draws on the works and manuscripts recorded for the French and German corpora of the LostMa database, whose co-transmission is represented as networks. A Bayesian model shows that, in both traditions, works of the same </w:t>
      </w:r>
      <w:r>
        <w:rPr>
          <w:rFonts w:ascii="Times New Roman" w:cs="Times New Roman" w:eastAsia="Times New Roman" w:hAnsi="Times New Roman"/>
          <w:i/>
          <w:iCs/>
          <w:sz w:val="24"/>
          <w:szCs w:val="24"/>
        </w:rPr>
        <w:t xml:space="preserve">matière</w:t>
      </w:r>
      <w:r>
        <w:rPr>
          <w:rFonts w:ascii="Times New Roman" w:cs="Times New Roman" w:eastAsia="Times New Roman" w:hAnsi="Times New Roman"/>
          <w:sz w:val="24"/>
          <w:szCs w:val="24"/>
        </w:rPr>
        <w:t xml:space="preserve"> are transmitted together far more often than chance would predict, though with differences by </w:t>
      </w:r>
      <w:r>
        <w:rPr>
          <w:rFonts w:ascii="Times New Roman" w:cs="Times New Roman" w:eastAsia="Times New Roman" w:hAnsi="Times New Roman"/>
          <w:i/>
          <w:iCs/>
          <w:sz w:val="24"/>
          <w:szCs w:val="24"/>
        </w:rPr>
        <w:t xml:space="preserve">matière</w:t>
      </w:r>
      <w:r>
        <w:rPr>
          <w:rFonts w:ascii="Times New Roman" w:cs="Times New Roman" w:eastAsia="Times New Roman" w:hAnsi="Times New Roman"/>
          <w:sz w:val="24"/>
          <w:szCs w:val="24"/>
        </w:rPr>
        <w:t xml:space="preserve">: Arthurian material is more cohesive in French, material on classical antiquity in German. At the same time, Bodel’s scheme covers a substantially smaller share of the German corpus, above all because </w:t>
      </w:r>
      <w:r>
        <w:rPr>
          <w:rFonts w:ascii="Times New Roman" w:cs="Times New Roman" w:eastAsia="Times New Roman" w:hAnsi="Times New Roman"/>
          <w:i/>
          <w:iCs/>
          <w:sz w:val="24"/>
          <w:szCs w:val="24"/>
        </w:rPr>
        <w:t xml:space="preserve">Heldendichtung</w:t>
      </w:r>
      <w:r>
        <w:rPr>
          <w:rFonts w:ascii="Times New Roman" w:cs="Times New Roman" w:eastAsia="Times New Roman" w:hAnsi="Times New Roman"/>
          <w:sz w:val="24"/>
          <w:szCs w:val="24"/>
        </w:rPr>
        <w:t xml:space="preserve"> falls outside its categories. A data-driven community analysis shows that the </w:t>
      </w:r>
      <w:r>
        <w:rPr>
          <w:rFonts w:ascii="Times New Roman" w:cs="Times New Roman" w:eastAsia="Times New Roman" w:hAnsi="Times New Roman"/>
          <w:i/>
          <w:iCs/>
          <w:sz w:val="24"/>
          <w:szCs w:val="24"/>
        </w:rPr>
        <w:t xml:space="preserve">matières</w:t>
      </w:r>
      <w:r>
        <w:rPr>
          <w:rFonts w:ascii="Times New Roman" w:cs="Times New Roman" w:eastAsia="Times New Roman" w:hAnsi="Times New Roman"/>
          <w:sz w:val="24"/>
          <w:szCs w:val="24"/>
        </w:rPr>
        <w:t xml:space="preserve"> subdivide into more specific textual communities. In manuscript transmission, genre thus appears as a layered structure in which broad literary affinities coexist with local textual relationships.</w:t>
      </w:r>
    </w:p>
    <w:p>
      <w:pPr>
        <w:spacing w:after="120" w:before="0" w:line="240"/>
        <w:jc w:val="both"/>
      </w:pPr>
      <w:r>
        <w:rPr>
          <w:rFonts w:ascii="Times New Roman" w:cs="Times New Roman" w:eastAsia="Times New Roman" w:hAnsi="Times New Roman"/>
          <w:sz w:val="24"/>
          <w:szCs w:val="24"/>
        </w:rPr>
        <w:t xml:space="preserve">Keywords: multi-text manuscripts; co-transmission; Jean Bodel; chivalric romance; network analysis</w:t>
      </w:r>
    </w:p>
    <w:p>
      <w:pPr>
        <w:keepNext/>
        <w:spacing w:after="120" w:before="240" w:line="240"/>
      </w:pPr>
      <w:r>
        <w:rPr>
          <w:rFonts w:ascii="Times New Roman" w:cs="Times New Roman" w:eastAsia="Times New Roman" w:hAnsi="Times New Roman"/>
          <w:b/>
          <w:bCs/>
          <w:sz w:val="24"/>
          <w:szCs w:val="24"/>
        </w:rPr>
        <w:t xml:space="preserve">Bio-bibliographische Notizen</w:t>
      </w:r>
    </w:p>
    <w:p>
      <w:pPr>
        <w:spacing w:after="120" w:before="0" w:line="240"/>
        <w:jc w:val="both"/>
      </w:pPr>
      <w:r>
        <w:rPr>
          <w:rFonts w:ascii="Times New Roman" w:cs="Times New Roman" w:eastAsia="Times New Roman" w:hAnsi="Times New Roman"/>
          <w:sz w:val="24"/>
          <w:szCs w:val="24"/>
        </w:rPr>
        <w:t xml:space="preserve">Elisabeth de Bruijn ist [AKADEMISCHE POSITION EINFÜGEN] an der Universiteit Antwerpen. Ihre Forschungsschwerpunkte sind die mittelniederländische und die mittelhochdeutsche Erzählliteratur, Mehrtexthandschriften und die europäische Überlieferungsgeschichte des Ritterromans. [WEITERE ANGABEN / AUSGEWÄHLTE PUBLIKATIONEN EINFÜGEN]. E-Mail: [E-MAIL EINFÜGEN].</w:t>
      </w:r>
    </w:p>
    <w:p>
      <w:pPr>
        <w:spacing w:after="120" w:before="0" w:line="240"/>
        <w:jc w:val="both"/>
      </w:pPr>
      <w:r>
        <w:rPr>
          <w:rFonts w:ascii="Times New Roman" w:cs="Times New Roman" w:eastAsia="Times New Roman" w:hAnsi="Times New Roman"/>
          <w:sz w:val="24"/>
          <w:szCs w:val="24"/>
        </w:rPr>
        <w:t xml:space="preserve">Mike Kestemont ist [AKADEMISCHE POSITION EINFÜGEN] an der Universiteit Antwerpen. Seine Forschung gilt den computergestützten Methoden in der Literaturwissenschaft, insbesondere der quantitativen Analyse mittelalterlicher Überlieferung, der Stilometrie und der Anwendung statistischer Modelle auf kulturhistorische Fragen. [WEITERE ANGABEN / AUSGEWÄHLTE PUBLIKATIONEN EINFÜGEN]. E-Mail: [E-MAIL EINFÜGEN].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Elisabeth de Bruijn / Mike Kestemont</dc:creator>
  <cp:lastModifiedBy>Un-named</cp:lastModifiedBy>
  <cp:revision>1</cp:revision>
  <dcterms:created xsi:type="dcterms:W3CDTF">2026-09-14T13:25:00.281Z</dcterms:created>
  <dcterms:modified xsi:type="dcterms:W3CDTF">2026-09-14T13:25:00.281Z</dcterms:modified>
</cp:coreProperties>
</file>

<file path=docProps/custom.xml><?xml version="1.0" encoding="utf-8"?>
<Properties xmlns="http://schemas.openxmlformats.org/officeDocument/2006/custom-properties" xmlns:vt="http://schemas.openxmlformats.org/officeDocument/2006/docPropsVTypes"/>
</file>