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CD715" w14:textId="77777777" w:rsidR="00C851C2" w:rsidRPr="00156538" w:rsidRDefault="00156538" w:rsidP="003404B6">
      <w:pPr>
        <w:jc w:val="center"/>
        <w:rPr>
          <w:b/>
        </w:rPr>
      </w:pPr>
      <w:r w:rsidRPr="00156538">
        <w:rPr>
          <w:b/>
        </w:rPr>
        <w:t>Sequence Tagging for Variation-Rich Languages Using Deep Learning</w:t>
      </w:r>
    </w:p>
    <w:p w14:paraId="0983FDA0" w14:textId="77777777" w:rsidR="00156538" w:rsidRDefault="00156538"/>
    <w:p w14:paraId="27A5910F" w14:textId="77777777" w:rsidR="00F35FEC" w:rsidRPr="00F35FEC" w:rsidRDefault="00F35FEC">
      <w:pPr>
        <w:rPr>
          <w:b/>
        </w:rPr>
      </w:pPr>
      <w:r w:rsidRPr="00F35FEC">
        <w:rPr>
          <w:b/>
        </w:rPr>
        <w:t>Abstract</w:t>
      </w:r>
    </w:p>
    <w:p w14:paraId="15BAAD31" w14:textId="77777777" w:rsidR="00156538" w:rsidRDefault="00156538" w:rsidP="00B93846">
      <w:pPr>
        <w:jc w:val="both"/>
      </w:pPr>
      <w:r>
        <w:t>In this paper, we describe a novel approach to sequence tagging for languages that are rich in (e.g. orthographic) variation. We focus on lemmatization and part-of-speech tagging, two basic steps in many processing pipelines in the Digital Humanities. While these tasks have long been considered solved for modern languages such as English, there exist many historical or minority languages, for which these problems are notoriously hard to solve, due to a lack of resources and unstable orthography. Our approach is based on recent advances in the field of “deep” representation learning, where neural networks have led to dramatic increase in performance across several domains. Our system combines two approaches: on the one hand, we apply temporal convolutions to model the orthography of input words at the character level; secondly, we use distributional “embeddings” to represent the lexical context surrounding the input words. We demonstrate how this system reaches state of the art performance on a number of representative data sets, even without corpus-specific parameter tuning.</w:t>
      </w:r>
    </w:p>
    <w:p w14:paraId="3592E1E1" w14:textId="77777777" w:rsidR="00156538" w:rsidRDefault="00156538"/>
    <w:p w14:paraId="5EF04D9A" w14:textId="77777777" w:rsidR="00156538" w:rsidRPr="00F35FEC" w:rsidRDefault="00156538">
      <w:pPr>
        <w:rPr>
          <w:b/>
        </w:rPr>
      </w:pPr>
      <w:r w:rsidRPr="00F35FEC">
        <w:rPr>
          <w:b/>
        </w:rPr>
        <w:t>Introduction</w:t>
      </w:r>
    </w:p>
    <w:p w14:paraId="43019995" w14:textId="255ED3A2" w:rsidR="008A3661" w:rsidRDefault="00C35E97" w:rsidP="00C35E97">
      <w:pPr>
        <w:jc w:val="both"/>
      </w:pPr>
      <w:r>
        <w:t>Sequence tagging is a central problem in Computational Linguistics (Natural Language Processing</w:t>
      </w:r>
      <w:r w:rsidR="00B54475">
        <w:t xml:space="preserve"> or NLP</w:t>
      </w:r>
      <w:r>
        <w:t xml:space="preserve">). It includes well-known tasks such as part-of-speech tagging or lemmatization, which are a basic, yet foundational stage in many text processing pipelines in the Digital Humanities. Lemmatization, for instance, offers a form of normalization which </w:t>
      </w:r>
      <w:r w:rsidRPr="00C35E97">
        <w:t xml:space="preserve">helps to </w:t>
      </w:r>
      <w:r>
        <w:t xml:space="preserve">more </w:t>
      </w:r>
      <w:r w:rsidRPr="00C35E97">
        <w:t>efficientl</w:t>
      </w:r>
      <w:r>
        <w:t>y process historic text corpora</w:t>
      </w:r>
      <w:r w:rsidR="008A3661">
        <w:t xml:space="preserve"> such as newspaper databases</w:t>
      </w:r>
      <w:r w:rsidRPr="00C35E97">
        <w:t xml:space="preserve">, ranging from plain searching to </w:t>
      </w:r>
      <w:r>
        <w:t xml:space="preserve">more </w:t>
      </w:r>
      <w:r w:rsidRPr="00C35E97">
        <w:t>advanced text categorization tasks in e.g. stylometry.</w:t>
      </w:r>
      <w:r>
        <w:t xml:space="preserve"> Likewise, PoS-tagging is a crucial step in automated Named Entity Recognition, which is of increasing importance in many Digital Humanities projects. </w:t>
      </w:r>
      <w:r w:rsidR="008C3B42">
        <w:t xml:space="preserve">For present-day majority languages, such as English, tasks such as PoS-tagging and lemmatization are somewhat considered “solved”, as in recent years studies have only been able </w:t>
      </w:r>
      <w:r w:rsidR="00955648">
        <w:t xml:space="preserve">to report small improvements upon </w:t>
      </w:r>
      <w:r w:rsidR="008A3661">
        <w:t>benchmark corpora such as the Wall Street Journal corpus</w:t>
      </w:r>
      <w:r w:rsidR="00955648">
        <w:t>.</w:t>
      </w:r>
      <w:r w:rsidR="008A3661">
        <w:t xml:space="preserve"> However, there exist many languages for which these tasks are much more difficult.</w:t>
      </w:r>
    </w:p>
    <w:p w14:paraId="1E9E8FA2" w14:textId="77777777" w:rsidR="008A3661" w:rsidRDefault="008A3661" w:rsidP="00C35E97">
      <w:pPr>
        <w:jc w:val="both"/>
      </w:pPr>
    </w:p>
    <w:p w14:paraId="6FBA015D" w14:textId="123400E4" w:rsidR="008A3661" w:rsidRDefault="008A3661" w:rsidP="008A3661">
      <w:pPr>
        <w:jc w:val="both"/>
        <w:rPr>
          <w:rFonts w:cs="Times New Roman"/>
        </w:rPr>
      </w:pPr>
      <w:r>
        <w:t xml:space="preserve">Firstly, there are the historic precursors of modern languages, </w:t>
      </w:r>
      <w:r w:rsidRPr="00A14E3E">
        <w:rPr>
          <w:rFonts w:cs="Times New Roman"/>
        </w:rPr>
        <w:t>Most historic stages of present-day languages are characterized by the absence of a generally accepted standard language and orthography. In pre</w:t>
      </w:r>
      <w:r>
        <w:rPr>
          <w:rFonts w:cs="Times New Roman"/>
        </w:rPr>
        <w:t>-</w:t>
      </w:r>
      <w:r w:rsidRPr="00A14E3E">
        <w:rPr>
          <w:rFonts w:cs="Times New Roman"/>
        </w:rPr>
        <w:t xml:space="preserve">modern times, language users typically enjoyed a relatively larger free freedom with respect to spelling and spacing, since there only existed local (or at most regional) orthographical conventions (Piotrowski, 2012). Thus, the same word could appear in multiple, roughly equivalent spellings </w:t>
      </w:r>
      <w:r>
        <w:rPr>
          <w:rFonts w:cs="Times New Roman"/>
        </w:rPr>
        <w:t xml:space="preserve">– even within the same text – </w:t>
      </w:r>
      <w:r w:rsidRPr="00A14E3E">
        <w:rPr>
          <w:rFonts w:cs="Times New Roman"/>
        </w:rPr>
        <w:t>which obviously presents major challenges to computational applications when it comes to word identification. The recent, dramatic growth in the availability of historic text corpora in electronic form has only increased users’ needs to be able to efficiently deal with this kind of</w:t>
      </w:r>
      <w:r>
        <w:rPr>
          <w:rFonts w:cs="Times New Roman"/>
        </w:rPr>
        <w:t xml:space="preserve"> data in computer applications, </w:t>
      </w:r>
      <w:r w:rsidRPr="00A14E3E">
        <w:rPr>
          <w:rFonts w:cs="Times New Roman"/>
        </w:rPr>
        <w:t>e.g. searching through genealogic databases or newspaper archives</w:t>
      </w:r>
      <w:r>
        <w:rPr>
          <w:rFonts w:cs="Times New Roman"/>
        </w:rPr>
        <w:t xml:space="preserve"> (</w:t>
      </w:r>
      <w:r w:rsidRPr="0096077E">
        <w:rPr>
          <w:rFonts w:cs="Times New Roman"/>
        </w:rPr>
        <w:t>Ernst-Gerlach</w:t>
      </w:r>
      <w:r>
        <w:rPr>
          <w:rFonts w:cs="Times New Roman"/>
        </w:rPr>
        <w:t xml:space="preserve"> </w:t>
      </w:r>
      <w:r w:rsidRPr="00F84B07">
        <w:rPr>
          <w:rFonts w:cs="Times New Roman"/>
          <w:i/>
        </w:rPr>
        <w:t>et al.</w:t>
      </w:r>
      <w:r w:rsidRPr="0096077E">
        <w:rPr>
          <w:rFonts w:cs="Times New Roman"/>
        </w:rPr>
        <w:t>, 2006</w:t>
      </w:r>
      <w:r>
        <w:rPr>
          <w:rFonts w:cs="Times New Roman"/>
        </w:rPr>
        <w:t>)</w:t>
      </w:r>
      <w:r w:rsidRPr="00A14E3E">
        <w:rPr>
          <w:rFonts w:cs="Times New Roman"/>
        </w:rPr>
        <w:t>.</w:t>
      </w:r>
      <w:r>
        <w:rPr>
          <w:rFonts w:cs="Times New Roman"/>
        </w:rPr>
        <w:t xml:space="preserve"> Most systems developed for tagging present-day language are not equipped to deal with large amounts of orthographic variation in the input and struggle to reliably identify unknown words in unseen texts. Naturally, this results in a considerable percolation of errors to higher-end layers in a processing pipeline (e.g. syntactic parsers).</w:t>
      </w:r>
    </w:p>
    <w:p w14:paraId="3D96E2E4" w14:textId="77777777" w:rsidR="008A3661" w:rsidRDefault="008A3661" w:rsidP="008A3661">
      <w:pPr>
        <w:jc w:val="both"/>
        <w:rPr>
          <w:rFonts w:cs="Times New Roman"/>
        </w:rPr>
      </w:pPr>
    </w:p>
    <w:p w14:paraId="1B395DE6" w14:textId="77777777" w:rsidR="00B5005D" w:rsidRDefault="008A3661" w:rsidP="008A3661">
      <w:pPr>
        <w:jc w:val="both"/>
        <w:rPr>
          <w:rFonts w:cs="Times New Roman"/>
        </w:rPr>
      </w:pPr>
      <w:r>
        <w:rPr>
          <w:rFonts w:cs="Times New Roman"/>
        </w:rPr>
        <w:lastRenderedPageBreak/>
        <w:t xml:space="preserve">Secondly, there exist many </w:t>
      </w:r>
      <w:r w:rsidR="007258F9">
        <w:rPr>
          <w:rFonts w:cs="Times New Roman"/>
        </w:rPr>
        <w:t>present-day</w:t>
      </w:r>
      <w:r>
        <w:rPr>
          <w:rFonts w:cs="Times New Roman"/>
        </w:rPr>
        <w:t xml:space="preserve"> minority languages, for which far fewer resources available</w:t>
      </w:r>
      <w:r w:rsidR="00B54475">
        <w:rPr>
          <w:rFonts w:cs="Times New Roman"/>
        </w:rPr>
        <w:t xml:space="preserve">, </w:t>
      </w:r>
      <w:r w:rsidR="006F6034">
        <w:rPr>
          <w:rFonts w:cs="Times New Roman"/>
        </w:rPr>
        <w:t xml:space="preserve">in the form of </w:t>
      </w:r>
      <w:r w:rsidR="00B54475">
        <w:rPr>
          <w:rFonts w:cs="Times New Roman"/>
        </w:rPr>
        <w:t xml:space="preserve">e.g. </w:t>
      </w:r>
      <w:r w:rsidR="007258F9">
        <w:rPr>
          <w:rFonts w:cs="Times New Roman"/>
        </w:rPr>
        <w:t>annotated corpora</w:t>
      </w:r>
      <w:r>
        <w:rPr>
          <w:rFonts w:cs="Times New Roman"/>
        </w:rPr>
        <w:t xml:space="preserve">. </w:t>
      </w:r>
      <w:r w:rsidR="007258F9">
        <w:rPr>
          <w:rFonts w:cs="Times New Roman"/>
        </w:rPr>
        <w:t>Perhaps unsurprisingly</w:t>
      </w:r>
      <w:r>
        <w:rPr>
          <w:rFonts w:cs="Times New Roman"/>
        </w:rPr>
        <w:t xml:space="preserve">, these are </w:t>
      </w:r>
      <w:r w:rsidR="007258F9">
        <w:rPr>
          <w:rFonts w:cs="Times New Roman"/>
        </w:rPr>
        <w:t xml:space="preserve">typically also </w:t>
      </w:r>
      <w:r>
        <w:rPr>
          <w:rFonts w:cs="Times New Roman"/>
        </w:rPr>
        <w:t xml:space="preserve">languages that are characterized by much more complex morphology </w:t>
      </w:r>
      <w:r w:rsidR="007258F9">
        <w:rPr>
          <w:rFonts w:cs="Times New Roman"/>
        </w:rPr>
        <w:t xml:space="preserve">and higher level of inflection </w:t>
      </w:r>
      <w:r>
        <w:rPr>
          <w:rFonts w:cs="Times New Roman"/>
        </w:rPr>
        <w:t>than e.g. English.</w:t>
      </w:r>
      <w:r w:rsidR="007258F9">
        <w:rPr>
          <w:rFonts w:cs="Times New Roman"/>
        </w:rPr>
        <w:t xml:space="preserve"> Apart from obvious examples from the Finno-Ugric language family, one can also point to many Sub-Saharan languages in Africa, where </w:t>
      </w:r>
      <w:r w:rsidR="00B54475">
        <w:rPr>
          <w:rFonts w:cs="Times New Roman"/>
        </w:rPr>
        <w:t xml:space="preserve">both the development of (digital) literacy and </w:t>
      </w:r>
      <w:r w:rsidR="007258F9">
        <w:rPr>
          <w:rFonts w:cs="Times New Roman"/>
        </w:rPr>
        <w:t xml:space="preserve">the application of </w:t>
      </w:r>
      <w:r w:rsidR="00B54475">
        <w:rPr>
          <w:rFonts w:cs="Times New Roman"/>
        </w:rPr>
        <w:t>NLP are</w:t>
      </w:r>
      <w:r w:rsidR="007258F9">
        <w:rPr>
          <w:rFonts w:cs="Times New Roman"/>
        </w:rPr>
        <w:t xml:space="preserve"> still in its infancy.</w:t>
      </w:r>
      <w:r w:rsidR="006F6034">
        <w:rPr>
          <w:rFonts w:cs="Times New Roman"/>
        </w:rPr>
        <w:t xml:space="preserve"> </w:t>
      </w:r>
      <w:r w:rsidR="00B82D36">
        <w:rPr>
          <w:rFonts w:cs="Times New Roman"/>
        </w:rPr>
        <w:t xml:space="preserve">Both historic and minority languages form the focus of many Digital Humanities projects, </w:t>
      </w:r>
      <w:r w:rsidR="006F6034">
        <w:rPr>
          <w:rFonts w:cs="Times New Roman"/>
        </w:rPr>
        <w:t>targeting the better exploitation or preservation of (specific cultural artifacts in) these languages</w:t>
      </w:r>
      <w:r w:rsidR="00B82D36">
        <w:rPr>
          <w:rFonts w:cs="Times New Roman"/>
        </w:rPr>
        <w:t>.</w:t>
      </w:r>
      <w:r w:rsidR="006F6034">
        <w:rPr>
          <w:rFonts w:cs="Times New Roman"/>
        </w:rPr>
        <w:t xml:space="preserve"> For these too, however, many of the available sequence taggers are not sufficiently equipped to deal with the advanced sub-word level variation, nor to optimally exploit the fe</w:t>
      </w:r>
      <w:r w:rsidR="00B5005D">
        <w:rPr>
          <w:rFonts w:cs="Times New Roman"/>
        </w:rPr>
        <w:t>w resources that are available.</w:t>
      </w:r>
    </w:p>
    <w:p w14:paraId="1D02B201" w14:textId="77777777" w:rsidR="00B5005D" w:rsidRDefault="00B5005D" w:rsidP="008A3661">
      <w:pPr>
        <w:jc w:val="both"/>
        <w:rPr>
          <w:rFonts w:cs="Times New Roman"/>
        </w:rPr>
      </w:pPr>
    </w:p>
    <w:p w14:paraId="51801CA4" w14:textId="3DC02056" w:rsidR="00B5005D" w:rsidRPr="00A14E3E" w:rsidRDefault="006F6034" w:rsidP="008A3661">
      <w:pPr>
        <w:jc w:val="both"/>
        <w:rPr>
          <w:rFonts w:cs="Times New Roman"/>
        </w:rPr>
      </w:pPr>
      <w:r>
        <w:rPr>
          <w:rFonts w:cs="Times New Roman"/>
        </w:rPr>
        <w:t xml:space="preserve">Needless to say, the availability of </w:t>
      </w:r>
      <w:r w:rsidR="00B5005D">
        <w:rPr>
          <w:rFonts w:cs="Times New Roman"/>
        </w:rPr>
        <w:t xml:space="preserve">efficient sequence taggers for historic and/or minority languages is a therefore a desideratum across various fields in computational humanities. In this paper, we describe a novel, language-independent approach to sequence tagging for variation-rich languages. </w:t>
      </w:r>
      <w:r w:rsidR="009A1CB0">
        <w:rPr>
          <w:rFonts w:cs="Times New Roman"/>
        </w:rPr>
        <w:t>To this end, we apply a set of techniques from the field of “Deep” Representation learning, a family of algorithms from Machine Learning based on neural networks</w:t>
      </w:r>
      <w:r w:rsidR="00B57636">
        <w:rPr>
          <w:rFonts w:cs="Times New Roman"/>
        </w:rPr>
        <w:t>, which has recently led to a dramatic increase in performance across various domains</w:t>
      </w:r>
      <w:r w:rsidR="00880D0F">
        <w:rPr>
          <w:rFonts w:cs="Times New Roman"/>
        </w:rPr>
        <w:t xml:space="preserve"> (in computer science, and elsewhere)</w:t>
      </w:r>
      <w:r w:rsidR="009A1CB0">
        <w:rPr>
          <w:rFonts w:cs="Times New Roman"/>
        </w:rPr>
        <w:t>.</w:t>
      </w:r>
      <w:r w:rsidR="00880D0F">
        <w:rPr>
          <w:rFonts w:cs="Times New Roman"/>
        </w:rPr>
        <w:t xml:space="preserve"> In this paper, we will first survey some of the most relevant related research, before we go one to briefly introduce the field of deep learning.</w:t>
      </w:r>
      <w:r w:rsidR="00EE2F33">
        <w:rPr>
          <w:rFonts w:cs="Times New Roman"/>
        </w:rPr>
        <w:t xml:space="preserve"> We then go on to describe the architecture of our sequence tagger and discuss the data sets on which we will evaluate our system. </w:t>
      </w:r>
      <w:r w:rsidR="00283E50">
        <w:rPr>
          <w:rFonts w:cs="Times New Roman"/>
        </w:rPr>
        <w:t xml:space="preserve">After presenting the results, we offer an interpretative exploration of our trained models. </w:t>
      </w:r>
      <w:r w:rsidR="008B7EB1">
        <w:rPr>
          <w:rFonts w:cs="Times New Roman"/>
        </w:rPr>
        <w:t>We conclude with a set of pointers for future research, stressing the considerable potential of representation learning for the Humanities at large.</w:t>
      </w:r>
    </w:p>
    <w:p w14:paraId="355E2280" w14:textId="2F6DB3FC" w:rsidR="00F35FEC" w:rsidRDefault="00F35FEC" w:rsidP="00C35E97">
      <w:pPr>
        <w:jc w:val="both"/>
      </w:pPr>
    </w:p>
    <w:p w14:paraId="6BF3F9E8" w14:textId="77777777" w:rsidR="00E47DF1" w:rsidRDefault="00E47DF1" w:rsidP="00C35E97">
      <w:pPr>
        <w:jc w:val="both"/>
      </w:pPr>
    </w:p>
    <w:p w14:paraId="396E2D62" w14:textId="56C60B30" w:rsidR="00E47DF1" w:rsidRPr="00E47DF1" w:rsidRDefault="00E47DF1" w:rsidP="00E47DF1">
      <w:pPr>
        <w:jc w:val="both"/>
        <w:rPr>
          <w:rFonts w:cs="Times New Roman"/>
          <w:b/>
        </w:rPr>
      </w:pPr>
      <w:r w:rsidRPr="00E47DF1">
        <w:rPr>
          <w:rFonts w:cs="Times New Roman"/>
          <w:b/>
        </w:rPr>
        <w:t xml:space="preserve">Research into historical spelling variants has enjoyed a considerable increase in academic interest in recent years.  An important impetus also comes from the considerable number of papers in the Computational Linguistics community on the normalisation of Internet-Mediated Communication (e.g. so-called ‘Twitterese’) of which Chrupała (2014) and Ljubešić </w:t>
      </w:r>
      <w:r w:rsidRPr="00E47DF1">
        <w:rPr>
          <w:rFonts w:cs="Times New Roman"/>
          <w:b/>
          <w:i/>
        </w:rPr>
        <w:t>et al.</w:t>
      </w:r>
      <w:r w:rsidRPr="00E47DF1">
        <w:rPr>
          <w:rFonts w:cs="Times New Roman"/>
          <w:b/>
        </w:rPr>
        <w:t xml:space="preserve"> (2014) are representative examples. Finally, valuable unsupervised approaches have explored by e.g. Mitankin </w:t>
      </w:r>
      <w:r w:rsidRPr="00E47DF1">
        <w:rPr>
          <w:rFonts w:cs="Times New Roman"/>
          <w:b/>
          <w:i/>
        </w:rPr>
        <w:t>et al</w:t>
      </w:r>
      <w:r w:rsidRPr="00E47DF1">
        <w:rPr>
          <w:rFonts w:cs="Times New Roman"/>
          <w:b/>
        </w:rPr>
        <w:t>. (2014).</w:t>
      </w:r>
    </w:p>
    <w:p w14:paraId="09C72F4C" w14:textId="77777777" w:rsidR="00E47DF1" w:rsidRDefault="00E47DF1" w:rsidP="00C35E97">
      <w:pPr>
        <w:jc w:val="both"/>
      </w:pPr>
    </w:p>
    <w:p w14:paraId="50BDE47C" w14:textId="77777777" w:rsidR="00B93846" w:rsidRDefault="00B93846"/>
    <w:p w14:paraId="2FF9D57B" w14:textId="77777777" w:rsidR="00F50303" w:rsidRPr="00A14E3E" w:rsidRDefault="00F50303" w:rsidP="00F50303">
      <w:pPr>
        <w:jc w:val="both"/>
        <w:rPr>
          <w:rFonts w:cs="Times New Roman"/>
          <w:b/>
        </w:rPr>
      </w:pPr>
      <w:r w:rsidRPr="00A14E3E">
        <w:rPr>
          <w:rFonts w:cs="Times New Roman"/>
          <w:b/>
        </w:rPr>
        <w:t>Related Research</w:t>
      </w:r>
    </w:p>
    <w:p w14:paraId="672638DA" w14:textId="5DC9AC01" w:rsidR="00327B79" w:rsidRDefault="003A6A81" w:rsidP="00F50303">
      <w:pPr>
        <w:jc w:val="both"/>
        <w:rPr>
          <w:rFonts w:cs="Times New Roman"/>
        </w:rPr>
      </w:pPr>
      <w:r>
        <w:rPr>
          <w:rFonts w:cs="Times New Roman"/>
        </w:rPr>
        <w:t xml:space="preserve">Morphological analysis and part-of-speech tagging are a popular research domain in computational linguistics, with recent studies especially focusing on (low-resource) languages with a rich morphology or inflectional system. </w:t>
      </w:r>
      <w:r w:rsidRPr="00A14E3E">
        <w:rPr>
          <w:rFonts w:cs="Times New Roman"/>
        </w:rPr>
        <w:t xml:space="preserve">An important boost in NLP research for </w:t>
      </w:r>
      <w:r>
        <w:rPr>
          <w:rFonts w:cs="Times New Roman"/>
        </w:rPr>
        <w:t xml:space="preserve">such </w:t>
      </w:r>
      <w:r w:rsidRPr="00A14E3E">
        <w:rPr>
          <w:rFonts w:cs="Times New Roman"/>
        </w:rPr>
        <w:t>language</w:t>
      </w:r>
      <w:r>
        <w:rPr>
          <w:rFonts w:cs="Times New Roman"/>
        </w:rPr>
        <w:t xml:space="preserve">s </w:t>
      </w:r>
      <w:r w:rsidRPr="00A14E3E">
        <w:rPr>
          <w:rFonts w:cs="Times New Roman"/>
        </w:rPr>
        <w:t xml:space="preserve">has </w:t>
      </w:r>
      <w:r w:rsidR="00327B79">
        <w:rPr>
          <w:rFonts w:cs="Times New Roman"/>
        </w:rPr>
        <w:t>been inspired by the increased relevance of</w:t>
      </w:r>
      <w:r w:rsidRPr="00A14E3E">
        <w:rPr>
          <w:rFonts w:cs="Times New Roman"/>
        </w:rPr>
        <w:t xml:space="preserve"> computer-mediated communication (</w:t>
      </w:r>
      <w:r w:rsidR="00327B79">
        <w:rPr>
          <w:rFonts w:cs="Times New Roman"/>
        </w:rPr>
        <w:t xml:space="preserve">CMC, </w:t>
      </w:r>
      <w:r w:rsidRPr="00A14E3E">
        <w:rPr>
          <w:rFonts w:cs="Times New Roman"/>
        </w:rPr>
        <w:t xml:space="preserve">Crystal, 2001), including research into the normalization of Instant Messaging or posts on online blogging platforms, such as the popular </w:t>
      </w:r>
      <w:r w:rsidR="00327B79">
        <w:rPr>
          <w:rFonts w:cs="Times New Roman"/>
        </w:rPr>
        <w:t>micro-blogging service Twitter. A</w:t>
      </w:r>
      <w:r w:rsidR="00327B79" w:rsidRPr="00A14E3E">
        <w:rPr>
          <w:rFonts w:cs="Times New Roman"/>
        </w:rPr>
        <w:t xml:space="preserve"> common solution to the problem of spelling variants </w:t>
      </w:r>
      <w:r w:rsidR="00327B79">
        <w:rPr>
          <w:rFonts w:cs="Times New Roman"/>
        </w:rPr>
        <w:t>in CMC is to apply some form of</w:t>
      </w:r>
      <w:r w:rsidR="00327B79" w:rsidRPr="00A14E3E">
        <w:rPr>
          <w:rFonts w:cs="Times New Roman"/>
        </w:rPr>
        <w:t xml:space="preserve"> spelling normalization before subsequent processing</w:t>
      </w:r>
      <w:r w:rsidR="00327B79">
        <w:rPr>
          <w:rFonts w:cs="Times New Roman"/>
        </w:rPr>
        <w:t>. (Similar research has been reported in the field of post-OCR error correction (Reynaert)</w:t>
      </w:r>
      <w:r w:rsidR="00327B79" w:rsidRPr="00A14E3E">
        <w:rPr>
          <w:rFonts w:cs="Times New Roman"/>
        </w:rPr>
        <w:t>.</w:t>
      </w:r>
      <w:r w:rsidR="00327B79">
        <w:rPr>
          <w:rFonts w:cs="Times New Roman"/>
        </w:rPr>
        <w:t>)</w:t>
      </w:r>
      <w:r w:rsidR="00327B79" w:rsidRPr="00A14E3E">
        <w:rPr>
          <w:rFonts w:cs="Times New Roman"/>
        </w:rPr>
        <w:t xml:space="preserve"> Spelling normalization essentially involves replacing a non-canonical surface token by a standard form (e.g. Beaufort </w:t>
      </w:r>
      <w:r w:rsidR="00327B79" w:rsidRPr="00A14E3E">
        <w:rPr>
          <w:rFonts w:cs="Times New Roman"/>
          <w:i/>
        </w:rPr>
        <w:t>et al.</w:t>
      </w:r>
      <w:r w:rsidR="00327B79" w:rsidRPr="00A14E3E">
        <w:rPr>
          <w:rFonts w:cs="Times New Roman"/>
        </w:rPr>
        <w:t xml:space="preserve">, 2010, Chrupała, 2014), </w:t>
      </w:r>
      <w:r w:rsidR="00327B79">
        <w:rPr>
          <w:rFonts w:cs="Times New Roman"/>
        </w:rPr>
        <w:t>as would be done</w:t>
      </w:r>
      <w:r w:rsidR="00327B79" w:rsidRPr="00A14E3E">
        <w:rPr>
          <w:rFonts w:cs="Times New Roman"/>
        </w:rPr>
        <w:t xml:space="preserve"> with spelling correctors in moder</w:t>
      </w:r>
      <w:r w:rsidR="00327B79">
        <w:rPr>
          <w:rFonts w:cs="Times New Roman"/>
        </w:rPr>
        <w:t xml:space="preserve">n word processing applications. In social media, a variety of approaches have suggested, including e.g. </w:t>
      </w:r>
      <w:r w:rsidR="00327B79" w:rsidRPr="00A14E3E">
        <w:rPr>
          <w:rFonts w:cs="Times New Roman"/>
        </w:rPr>
        <w:t>transliteration approaches borrowed from Machine Translation</w:t>
      </w:r>
      <w:r w:rsidR="00327B79">
        <w:rPr>
          <w:rFonts w:cs="Times New Roman"/>
        </w:rPr>
        <w:t xml:space="preserve"> (e.g</w:t>
      </w:r>
      <w:r w:rsidR="00327B79" w:rsidRPr="00724BDE">
        <w:rPr>
          <w:rFonts w:cs="Times New Roman"/>
        </w:rPr>
        <w:t xml:space="preserve">. Ljubešić </w:t>
      </w:r>
      <w:r w:rsidR="00327B79" w:rsidRPr="00724BDE">
        <w:rPr>
          <w:rFonts w:cs="Times New Roman"/>
          <w:i/>
        </w:rPr>
        <w:t>et al.</w:t>
      </w:r>
      <w:r w:rsidR="00327B79">
        <w:rPr>
          <w:rFonts w:cs="Times New Roman"/>
        </w:rPr>
        <w:t xml:space="preserve">, </w:t>
      </w:r>
      <w:r w:rsidR="00327B79" w:rsidRPr="00724BDE">
        <w:rPr>
          <w:rFonts w:cs="Times New Roman"/>
        </w:rPr>
        <w:t>2014</w:t>
      </w:r>
      <w:r w:rsidR="00327B79">
        <w:rPr>
          <w:rFonts w:cs="Times New Roman"/>
        </w:rPr>
        <w:t>)</w:t>
      </w:r>
      <w:r w:rsidR="00327B79" w:rsidRPr="00A14E3E">
        <w:rPr>
          <w:rFonts w:cs="Times New Roman"/>
        </w:rPr>
        <w:t>.</w:t>
      </w:r>
    </w:p>
    <w:p w14:paraId="3975CB05" w14:textId="77777777" w:rsidR="00327B79" w:rsidRDefault="00327B79" w:rsidP="00F50303">
      <w:pPr>
        <w:jc w:val="both"/>
        <w:rPr>
          <w:rFonts w:cs="Times New Roman"/>
        </w:rPr>
      </w:pPr>
    </w:p>
    <w:p w14:paraId="48644441" w14:textId="3EBB0DFF" w:rsidR="00A15273" w:rsidRDefault="00327B79" w:rsidP="00F50303">
      <w:pPr>
        <w:jc w:val="both"/>
        <w:rPr>
          <w:rFonts w:cs="Times New Roman"/>
        </w:rPr>
      </w:pPr>
      <w:r w:rsidRPr="00A14E3E">
        <w:rPr>
          <w:rFonts w:cs="Times New Roman"/>
        </w:rPr>
        <w:t>The field of Natural Language Processing for Historical Languages has recently been surveyed in a dedicate</w:t>
      </w:r>
      <w:r>
        <w:rPr>
          <w:rFonts w:cs="Times New Roman"/>
        </w:rPr>
        <w:t>d monograph (Piotrowski, 2012). T</w:t>
      </w:r>
      <w:r w:rsidRPr="00A14E3E">
        <w:rPr>
          <w:rFonts w:cs="Times New Roman"/>
        </w:rPr>
        <w:t>he problem of orthographical variation naturally plays a major role in this</w:t>
      </w:r>
      <w:r w:rsidRPr="00745797">
        <w:rPr>
          <w:rFonts w:cs="Times New Roman"/>
        </w:rPr>
        <w:t xml:space="preserve"> overview. </w:t>
      </w:r>
      <w:r w:rsidR="00745797" w:rsidRPr="00745797">
        <w:rPr>
          <w:rFonts w:cs="Times New Roman"/>
        </w:rPr>
        <w:t xml:space="preserve">Recent representative contributions </w:t>
      </w:r>
      <w:r w:rsidR="00745797">
        <w:rPr>
          <w:rFonts w:cs="Times New Roman"/>
        </w:rPr>
        <w:t>in this field</w:t>
      </w:r>
      <w:r w:rsidR="00745797" w:rsidRPr="00745797">
        <w:rPr>
          <w:rFonts w:cs="Times New Roman"/>
        </w:rPr>
        <w:t xml:space="preserve"> include Hendrickx et al. (2011) and Reynaert et al. (2012) for historical Portugese, Scherrer et al. (2013) for historical Slovene, Bollman (2012) for Early New High German, </w:t>
      </w:r>
      <w:r w:rsidR="00745797">
        <w:rPr>
          <w:rFonts w:cs="Times New Roman"/>
        </w:rPr>
        <w:t xml:space="preserve">or </w:t>
      </w:r>
      <w:r w:rsidR="00745797" w:rsidRPr="00745797">
        <w:rPr>
          <w:rFonts w:cs="Times New Roman"/>
        </w:rPr>
        <w:t xml:space="preserve">Bouma et al. (2012) </w:t>
      </w:r>
      <w:r w:rsidR="00745797">
        <w:rPr>
          <w:rFonts w:cs="Times New Roman"/>
        </w:rPr>
        <w:t>(</w:t>
      </w:r>
      <w:r w:rsidR="00745797" w:rsidRPr="00745797">
        <w:rPr>
          <w:rFonts w:cs="Times New Roman"/>
        </w:rPr>
        <w:t>on the automated syllabification of Middle Dutch</w:t>
      </w:r>
      <w:r w:rsidR="00745797">
        <w:rPr>
          <w:rFonts w:cs="Times New Roman"/>
        </w:rPr>
        <w:t>)</w:t>
      </w:r>
      <w:bookmarkStart w:id="0" w:name="_GoBack"/>
      <w:bookmarkEnd w:id="0"/>
      <w:r w:rsidR="00745797" w:rsidRPr="00745797">
        <w:rPr>
          <w:rFonts w:cs="Times New Roman"/>
        </w:rPr>
        <w:t>.</w:t>
      </w:r>
      <w:r w:rsidR="00745797" w:rsidRPr="00745797">
        <w:rPr>
          <w:rFonts w:cs="Times New Roman"/>
        </w:rPr>
        <w:t xml:space="preserve"> </w:t>
      </w:r>
      <w:r w:rsidR="00C20FDF">
        <w:rPr>
          <w:rFonts w:cs="Times New Roman"/>
        </w:rPr>
        <w:t xml:space="preserve">One </w:t>
      </w:r>
      <w:r w:rsidR="003A6A81" w:rsidRPr="00A14E3E">
        <w:rPr>
          <w:rFonts w:cs="Times New Roman"/>
        </w:rPr>
        <w:t xml:space="preserve"> characteristic feature that sets this kind of research into present-day languages apart from </w:t>
      </w:r>
      <w:r w:rsidR="00C20FDF">
        <w:rPr>
          <w:rFonts w:cs="Times New Roman"/>
        </w:rPr>
        <w:t>historical language research</w:t>
      </w:r>
      <w:r w:rsidR="003A6A81" w:rsidRPr="00A14E3E">
        <w:rPr>
          <w:rFonts w:cs="Times New Roman"/>
        </w:rPr>
        <w:t xml:space="preserve">, is that for modern languages, researchers typically </w:t>
      </w:r>
      <w:r w:rsidR="00C20FDF">
        <w:rPr>
          <w:rFonts w:cs="Times New Roman"/>
        </w:rPr>
        <w:t>are able to</w:t>
      </w:r>
      <w:r w:rsidR="003A6A81" w:rsidRPr="00A14E3E">
        <w:rPr>
          <w:rFonts w:cs="Times New Roman"/>
        </w:rPr>
        <w:t xml:space="preserve"> norma</w:t>
      </w:r>
      <w:r w:rsidR="00C20FDF">
        <w:rPr>
          <w:rFonts w:cs="Times New Roman"/>
        </w:rPr>
        <w:t xml:space="preserve">lize noisy language data into an existing, </w:t>
      </w:r>
      <w:r w:rsidR="003A6A81" w:rsidRPr="00A14E3E">
        <w:rPr>
          <w:rFonts w:cs="Times New Roman"/>
        </w:rPr>
        <w:t>canonical standard form</w:t>
      </w:r>
      <w:r w:rsidR="00C20FDF">
        <w:rPr>
          <w:rFonts w:cs="Times New Roman"/>
        </w:rPr>
        <w:t>. N</w:t>
      </w:r>
      <w:r w:rsidR="00C20FDF" w:rsidRPr="00A14E3E">
        <w:rPr>
          <w:rFonts w:cs="Times New Roman"/>
        </w:rPr>
        <w:t>evertheless</w:t>
      </w:r>
      <w:r w:rsidR="00C20FDF">
        <w:rPr>
          <w:rFonts w:cs="Times New Roman"/>
        </w:rPr>
        <w:t>, the majority of historical</w:t>
      </w:r>
      <w:r w:rsidR="003A6A81">
        <w:rPr>
          <w:rFonts w:cs="Times New Roman"/>
        </w:rPr>
        <w:t xml:space="preserve"> </w:t>
      </w:r>
      <w:r w:rsidR="00C20FDF">
        <w:rPr>
          <w:rFonts w:cs="Times New Roman"/>
        </w:rPr>
        <w:t>languages</w:t>
      </w:r>
      <w:r w:rsidR="003A6A81" w:rsidRPr="00A14E3E">
        <w:rPr>
          <w:rFonts w:cs="Times New Roman"/>
        </w:rPr>
        <w:t xml:space="preserve"> lack such a canonical orthographic variant</w:t>
      </w:r>
      <w:r w:rsidR="00C20FDF">
        <w:rPr>
          <w:rFonts w:cs="Times New Roman"/>
        </w:rPr>
        <w:t xml:space="preserve">, and therefore, this </w:t>
      </w:r>
      <w:r w:rsidR="00F50303" w:rsidRPr="00A14E3E">
        <w:rPr>
          <w:rFonts w:cs="Times New Roman"/>
        </w:rPr>
        <w:t xml:space="preserve">solution can </w:t>
      </w:r>
      <w:r w:rsidR="00C20FDF">
        <w:rPr>
          <w:rFonts w:cs="Times New Roman"/>
        </w:rPr>
        <w:t>not always</w:t>
      </w:r>
      <w:r w:rsidR="00F50303" w:rsidRPr="00A14E3E">
        <w:rPr>
          <w:rFonts w:cs="Times New Roman"/>
        </w:rPr>
        <w:t xml:space="preserve"> be applied</w:t>
      </w:r>
      <w:r w:rsidR="00C20FDF">
        <w:rPr>
          <w:rFonts w:cs="Times New Roman"/>
        </w:rPr>
        <w:t xml:space="preserve"> </w:t>
      </w:r>
      <w:r w:rsidR="00F50303" w:rsidRPr="00A14E3E">
        <w:rPr>
          <w:rFonts w:cs="Times New Roman"/>
        </w:rPr>
        <w:t xml:space="preserve">(Souvay et al., 2009): </w:t>
      </w:r>
      <w:r w:rsidR="00C20FDF">
        <w:rPr>
          <w:rFonts w:cs="Times New Roman"/>
        </w:rPr>
        <w:t xml:space="preserve">since, </w:t>
      </w:r>
      <w:r w:rsidR="00F50303" w:rsidRPr="00A14E3E">
        <w:rPr>
          <w:rFonts w:cs="Times New Roman"/>
        </w:rPr>
        <w:t xml:space="preserve">in the absence of a standard language, words do not have a single, canonical spelling by which other non-standard spellings can be replaced. </w:t>
      </w:r>
      <w:r w:rsidR="00C20FDF">
        <w:rPr>
          <w:rFonts w:cs="Times New Roman"/>
        </w:rPr>
        <w:t>I</w:t>
      </w:r>
      <w:r w:rsidR="00F50303" w:rsidRPr="00A14E3E">
        <w:rPr>
          <w:rFonts w:cs="Times New Roman"/>
        </w:rPr>
        <w:t xml:space="preserve">t is </w:t>
      </w:r>
      <w:r w:rsidR="00C20FDF">
        <w:rPr>
          <w:rFonts w:cs="Times New Roman"/>
        </w:rPr>
        <w:t>therefore also common</w:t>
      </w:r>
      <w:r w:rsidR="003A6A81">
        <w:rPr>
          <w:rFonts w:cs="Times New Roman"/>
        </w:rPr>
        <w:t xml:space="preserve"> to annotate words </w:t>
      </w:r>
      <w:r w:rsidR="00C20FDF">
        <w:rPr>
          <w:rFonts w:cs="Times New Roman"/>
        </w:rPr>
        <w:t xml:space="preserve">with other </w:t>
      </w:r>
      <w:r w:rsidR="001F510C">
        <w:rPr>
          <w:rFonts w:cs="Times New Roman"/>
        </w:rPr>
        <w:t xml:space="preserve">sorts of </w:t>
      </w:r>
      <w:r w:rsidR="00C20FDF">
        <w:rPr>
          <w:rFonts w:cs="Times New Roman"/>
        </w:rPr>
        <w:t>labels, instead of attempting an explicit respelling. Apart from</w:t>
      </w:r>
      <w:r w:rsidR="003A6A81">
        <w:rPr>
          <w:rFonts w:cs="Times New Roman"/>
        </w:rPr>
        <w:t xml:space="preserve"> part-of-</w:t>
      </w:r>
      <w:r w:rsidR="00F50303" w:rsidRPr="00A14E3E">
        <w:rPr>
          <w:rFonts w:cs="Times New Roman"/>
        </w:rPr>
        <w:t>tag</w:t>
      </w:r>
      <w:r w:rsidR="00C20FDF">
        <w:rPr>
          <w:rFonts w:cs="Times New Roman"/>
        </w:rPr>
        <w:t>s, lemmas</w:t>
      </w:r>
      <w:r w:rsidR="003A6A81">
        <w:rPr>
          <w:rFonts w:cs="Times New Roman"/>
        </w:rPr>
        <w:t xml:space="preserve"> </w:t>
      </w:r>
      <w:r w:rsidR="00D3651C">
        <w:rPr>
          <w:rFonts w:cs="Times New Roman"/>
        </w:rPr>
        <w:t>are often used</w:t>
      </w:r>
      <w:r w:rsidR="001F510C">
        <w:rPr>
          <w:rFonts w:cs="Times New Roman"/>
        </w:rPr>
        <w:t xml:space="preserve"> in this respect</w:t>
      </w:r>
      <w:r w:rsidR="00D3651C">
        <w:rPr>
          <w:rFonts w:cs="Times New Roman"/>
        </w:rPr>
        <w:t xml:space="preserve">: a lemma </w:t>
      </w:r>
      <w:r w:rsidR="001F510C">
        <w:rPr>
          <w:rFonts w:cs="Times New Roman"/>
        </w:rPr>
        <w:t>is a normalized label, which unambiguously links words to the same entry in a lexical resource, such as dictionary, if they only differ in inflection or spelling (Knowles and Modd Don)</w:t>
      </w:r>
      <w:r w:rsidR="00C20FDF">
        <w:rPr>
          <w:rFonts w:cs="Times New Roman"/>
        </w:rPr>
        <w:t>.</w:t>
      </w:r>
      <w:r w:rsidR="00A15273">
        <w:rPr>
          <w:rFonts w:cs="Times New Roman"/>
        </w:rPr>
        <w:t xml:space="preserve"> </w:t>
      </w:r>
      <w:r w:rsidR="001F510C">
        <w:rPr>
          <w:rFonts w:cs="Times New Roman"/>
        </w:rPr>
        <w:t xml:space="preserve">Lemmatization too has been an active area of research in computational linguistics, especially for languages </w:t>
      </w:r>
      <w:r w:rsidR="00084C84">
        <w:rPr>
          <w:rFonts w:cs="Times New Roman"/>
        </w:rPr>
        <w:t>with a rich inflectional system</w:t>
      </w:r>
      <w:r w:rsidR="001F510C">
        <w:rPr>
          <w:rFonts w:cs="Times New Roman"/>
        </w:rPr>
        <w:t>.</w:t>
      </w:r>
      <w:r w:rsidR="00084C84">
        <w:rPr>
          <w:rFonts w:cs="Times New Roman"/>
        </w:rPr>
        <w:t xml:space="preserve"> </w:t>
      </w:r>
      <w:r w:rsidR="00A15273">
        <w:rPr>
          <w:rFonts w:cs="Times New Roman"/>
        </w:rPr>
        <w:t>Many studies apply a combination of existing taggers (e.g. for contextual disambiguation) with a spelling normalization component to better deal with unknown words.</w:t>
      </w:r>
    </w:p>
    <w:p w14:paraId="68C3CF1E" w14:textId="77777777" w:rsidR="00A15273" w:rsidRDefault="00A15273" w:rsidP="00F50303">
      <w:pPr>
        <w:jc w:val="both"/>
        <w:rPr>
          <w:rFonts w:cs="Times New Roman"/>
        </w:rPr>
      </w:pPr>
    </w:p>
    <w:p w14:paraId="49A77F8B" w14:textId="45F42E9D" w:rsidR="00372BD3" w:rsidRDefault="00A15273" w:rsidP="00F50303">
      <w:pPr>
        <w:jc w:val="both"/>
        <w:rPr>
          <w:rFonts w:cs="Times New Roman"/>
        </w:rPr>
      </w:pPr>
      <w:r>
        <w:rPr>
          <w:rFonts w:cs="Times New Roman"/>
        </w:rPr>
        <w:t xml:space="preserve">One rough </w:t>
      </w:r>
      <w:r w:rsidR="00BD3BA8">
        <w:rPr>
          <w:rFonts w:cs="Times New Roman"/>
        </w:rPr>
        <w:t>distinction</w:t>
      </w:r>
      <w:r>
        <w:rPr>
          <w:rFonts w:cs="Times New Roman"/>
        </w:rPr>
        <w:t xml:space="preserve"> which could be made, is between ‘online’ and ‘offline’ approaches. In ‘online’ approaches, when confronted with an unknown word</w:t>
      </w:r>
      <w:r w:rsidR="00372BD3">
        <w:rPr>
          <w:rFonts w:cs="Times New Roman"/>
        </w:rPr>
        <w:t xml:space="preserve"> at the testing stage</w:t>
      </w:r>
      <w:r>
        <w:rPr>
          <w:rFonts w:cs="Times New Roman"/>
        </w:rPr>
        <w:t xml:space="preserve">, systems will </w:t>
      </w:r>
      <w:r w:rsidR="00BD3BA8">
        <w:rPr>
          <w:rFonts w:cs="Times New Roman"/>
        </w:rPr>
        <w:t xml:space="preserve">explicitly attempt to identify </w:t>
      </w:r>
      <w:r w:rsidR="00372BD3">
        <w:rPr>
          <w:rFonts w:cs="Times New Roman"/>
        </w:rPr>
        <w:t>the unknown</w:t>
      </w:r>
      <w:r>
        <w:rPr>
          <w:rFonts w:cs="Times New Roman"/>
        </w:rPr>
        <w:t xml:space="preserve"> word as a spelling variant of a known token (i.e. a token which was seen during training)</w:t>
      </w:r>
      <w:r w:rsidR="00372BD3">
        <w:rPr>
          <w:rFonts w:cs="Times New Roman"/>
        </w:rPr>
        <w:t xml:space="preserve"> before applying any disambiguation routines</w:t>
      </w:r>
      <w:r>
        <w:rPr>
          <w:rFonts w:cs="Times New Roman"/>
        </w:rPr>
        <w:t>.</w:t>
      </w:r>
      <w:r w:rsidR="00372BD3">
        <w:rPr>
          <w:rFonts w:cs="Times New Roman"/>
        </w:rPr>
        <w:t xml:space="preserve"> </w:t>
      </w:r>
      <w:r w:rsidR="00F50303" w:rsidRPr="00A14E3E">
        <w:rPr>
          <w:rFonts w:cs="Times New Roman"/>
        </w:rPr>
        <w:t xml:space="preserve">To this end, researchers typically apply a combination of </w:t>
      </w:r>
      <w:r w:rsidR="00372BD3">
        <w:rPr>
          <w:rFonts w:cs="Times New Roman"/>
        </w:rPr>
        <w:t xml:space="preserve">(weighted) </w:t>
      </w:r>
      <w:r w:rsidR="00F50303" w:rsidRPr="00A14E3E">
        <w:rPr>
          <w:rFonts w:cs="Times New Roman"/>
        </w:rPr>
        <w:t>string distance measures (e.g. Levenshtein distance: Levenshtein, 1966)</w:t>
      </w:r>
      <w:r w:rsidR="00372BD3">
        <w:rPr>
          <w:rFonts w:cs="Times New Roman"/>
        </w:rPr>
        <w:t>. While this online strategy might result in a high recall,</w:t>
      </w:r>
      <w:r w:rsidR="00F50303" w:rsidRPr="00A14E3E">
        <w:rPr>
          <w:rFonts w:cs="Times New Roman"/>
        </w:rPr>
        <w:t xml:space="preserve"> </w:t>
      </w:r>
      <w:r w:rsidR="00372BD3">
        <w:rPr>
          <w:rFonts w:cs="Times New Roman"/>
        </w:rPr>
        <w:t>it can also be expensive to apply, because the unknown token has to be matched with all known tokens and some string distance measures can be costly to apply.</w:t>
      </w:r>
      <w:r w:rsidR="0031469E">
        <w:rPr>
          <w:rFonts w:cs="Times New Roman"/>
        </w:rPr>
        <w:t xml:space="preserve"> The offline strategy follows a different road: at training time, it will attempt to generate new plausible spelling variants of </w:t>
      </w:r>
      <w:r w:rsidR="00BD3BA8">
        <w:rPr>
          <w:rFonts w:cs="Times New Roman"/>
        </w:rPr>
        <w:t xml:space="preserve">known tokens, through aligning words and applying common edit patterns to generate new forms. At the testing stage, new words can simply be matched. Interestingly, this approach will be fast to apply during testing (and might </w:t>
      </w:r>
      <w:r w:rsidR="00D24BF5">
        <w:rPr>
          <w:rFonts w:cs="Times New Roman"/>
        </w:rPr>
        <w:t>result</w:t>
      </w:r>
      <w:r w:rsidR="00BD3BA8">
        <w:rPr>
          <w:rFonts w:cs="Times New Roman"/>
        </w:rPr>
        <w:t xml:space="preserve"> </w:t>
      </w:r>
      <w:r w:rsidR="00D24BF5">
        <w:rPr>
          <w:rFonts w:cs="Times New Roman"/>
        </w:rPr>
        <w:t xml:space="preserve">in </w:t>
      </w:r>
      <w:r w:rsidR="00BD3BA8">
        <w:rPr>
          <w:rFonts w:cs="Times New Roman"/>
        </w:rPr>
        <w:t xml:space="preserve">a high precision), </w:t>
      </w:r>
      <w:r w:rsidR="00D24BF5">
        <w:rPr>
          <w:rFonts w:cs="Times New Roman"/>
        </w:rPr>
        <w:t xml:space="preserve">but </w:t>
      </w:r>
      <w:r w:rsidR="000F5AA1">
        <w:rPr>
          <w:rFonts w:cs="Times New Roman"/>
        </w:rPr>
        <w:t xml:space="preserve">it </w:t>
      </w:r>
      <w:r w:rsidR="00D24BF5">
        <w:rPr>
          <w:rFonts w:cs="Times New Roman"/>
        </w:rPr>
        <w:t xml:space="preserve">might </w:t>
      </w:r>
      <w:r w:rsidR="000F5AA1">
        <w:rPr>
          <w:rFonts w:cs="Times New Roman"/>
        </w:rPr>
        <w:t xml:space="preserve">also </w:t>
      </w:r>
      <w:r w:rsidR="00D24BF5">
        <w:rPr>
          <w:rFonts w:cs="Times New Roman"/>
        </w:rPr>
        <w:t xml:space="preserve">suffer from </w:t>
      </w:r>
      <w:r w:rsidR="000F5AA1">
        <w:rPr>
          <w:rFonts w:cs="Times New Roman"/>
        </w:rPr>
        <w:t xml:space="preserve">the </w:t>
      </w:r>
      <w:r w:rsidR="00D24BF5">
        <w:rPr>
          <w:rFonts w:cs="Times New Roman"/>
        </w:rPr>
        <w:t>noise being introduced</w:t>
      </w:r>
      <w:r w:rsidR="000F5AA1">
        <w:rPr>
          <w:rFonts w:cs="Times New Roman"/>
        </w:rPr>
        <w:t xml:space="preserve"> in the variant generation phase</w:t>
      </w:r>
      <w:r w:rsidR="00BD3BA8">
        <w:rPr>
          <w:rFonts w:cs="Times New Roman"/>
        </w:rPr>
        <w:t>.</w:t>
      </w:r>
      <w:r w:rsidR="003404B6">
        <w:rPr>
          <w:rFonts w:cs="Times New Roman"/>
        </w:rPr>
        <w:t xml:space="preserve"> Van Halteren et al. (2013) have reported the successful application of such an approach, which is in many ways reminiscent of the generation of search query variants in Information Retrieval research.</w:t>
      </w:r>
    </w:p>
    <w:p w14:paraId="3AA6D88F" w14:textId="0B5A58D5" w:rsidR="00F50303" w:rsidRPr="00A14E3E" w:rsidRDefault="00F50303" w:rsidP="00F50303">
      <w:pPr>
        <w:jc w:val="both"/>
        <w:rPr>
          <w:rFonts w:cs="Times New Roman"/>
        </w:rPr>
      </w:pPr>
    </w:p>
    <w:p w14:paraId="787711BA" w14:textId="77777777" w:rsidR="00156538" w:rsidRDefault="00156538"/>
    <w:p w14:paraId="0AEFFE64" w14:textId="77777777" w:rsidR="00156538" w:rsidRPr="00505C27" w:rsidRDefault="00156538">
      <w:pPr>
        <w:rPr>
          <w:b/>
        </w:rPr>
      </w:pPr>
      <w:r w:rsidRPr="00505C27">
        <w:rPr>
          <w:b/>
        </w:rPr>
        <w:t>“Deep” Representation Learning</w:t>
      </w:r>
    </w:p>
    <w:p w14:paraId="039F1BED" w14:textId="77777777" w:rsidR="006E0734" w:rsidRDefault="00A46E3E" w:rsidP="00754B45">
      <w:pPr>
        <w:jc w:val="both"/>
      </w:pPr>
      <w:r>
        <w:t>In this paper, we describe a novel system</w:t>
      </w:r>
      <w:r w:rsidR="00773E4C">
        <w:t xml:space="preserve"> for</w:t>
      </w:r>
      <w:r>
        <w:t xml:space="preserve"> sequence tagging using “deep” representation</w:t>
      </w:r>
      <w:r w:rsidR="00754B45">
        <w:t xml:space="preserve"> learning, which to the best of our knowledge has barely been applied to the problem of sequence tagging for historic and/or minority languages</w:t>
      </w:r>
      <w:r>
        <w:t xml:space="preserve">. </w:t>
      </w:r>
      <w:r w:rsidR="00773E4C">
        <w:t xml:space="preserve">Importantly, we will show that a single </w:t>
      </w:r>
      <w:r w:rsidR="00754B45">
        <w:t xml:space="preserve">system reaches state of the art tagging performance across </w:t>
      </w:r>
      <w:r w:rsidR="00C91314">
        <w:t>a variety of</w:t>
      </w:r>
      <w:r w:rsidR="00754B45">
        <w:t xml:space="preserve"> datasets, even without the problem-specific fine-tuning of hyper-parameters.</w:t>
      </w:r>
      <w:r w:rsidR="00C91314">
        <w:t xml:space="preserve"> Deep Learning is a popular paradigm in Machine Learning. It is based on the </w:t>
      </w:r>
      <w:r w:rsidR="00123F37">
        <w:t xml:space="preserve">general </w:t>
      </w:r>
      <w:r w:rsidR="00C91314">
        <w:t xml:space="preserve">idea of neural networks, </w:t>
      </w:r>
      <w:r w:rsidR="00123F37">
        <w:t xml:space="preserve">software system in which </w:t>
      </w:r>
      <w:r w:rsidR="00C91314">
        <w:t>information is propagated through a layered architecture of inter-connected neurons</w:t>
      </w:r>
      <w:r w:rsidR="00123F37">
        <w:t>, that iteratively transform the input information and feed it to subsequent layers in the networks</w:t>
      </w:r>
      <w:r w:rsidR="00C91314">
        <w:t xml:space="preserve">. While </w:t>
      </w:r>
      <w:r w:rsidR="006E0734">
        <w:t xml:space="preserve">theoretically, </w:t>
      </w:r>
      <w:r w:rsidR="00C91314">
        <w:t xml:space="preserve">the idea of neural networks has been around for a long time, it has </w:t>
      </w:r>
      <w:r w:rsidR="00123F37">
        <w:t xml:space="preserve">only recently </w:t>
      </w:r>
      <w:r w:rsidR="00C91314">
        <w:t>become feasible to train these architectures, because of the millions of parameters that typically have to be optimized</w:t>
      </w:r>
      <w:r w:rsidR="00123F37">
        <w:t xml:space="preserve"> during training.</w:t>
      </w:r>
    </w:p>
    <w:p w14:paraId="174A4B79" w14:textId="77777777" w:rsidR="006E0734" w:rsidRDefault="006E0734" w:rsidP="00754B45">
      <w:pPr>
        <w:jc w:val="both"/>
      </w:pPr>
    </w:p>
    <w:p w14:paraId="224A4F6B" w14:textId="3E20AFDA" w:rsidR="00BB4F97" w:rsidRDefault="006E0734" w:rsidP="00754B45">
      <w:pPr>
        <w:jc w:val="both"/>
      </w:pPr>
      <w:r>
        <w:t>More formally, Deep Learning is part of a broader field called representation learning or feature learning.</w:t>
      </w:r>
      <w:r w:rsidR="00B0149D">
        <w:t xml:space="preserve"> Deep learning can indeed be contrasted with more traditional approaches in Machine Learning, in that is very much geared towards finding good representations or “features” in the input data. </w:t>
      </w:r>
      <w:r w:rsidR="00BB4F97">
        <w:t>Simplifyingly put, t</w:t>
      </w:r>
      <w:r w:rsidR="00B0149D">
        <w:t>raditional learning algorith</w:t>
      </w:r>
      <w:r w:rsidR="00BB4F97">
        <w:t>ms would be very much dependent on a researcher’s representation of the input data and it would try to solve a particular task on the basis of the particular features suggested by the researchers. In Deep Learning,</w:t>
      </w:r>
      <w:r w:rsidR="00B0149D">
        <w:t xml:space="preserve"> the process of feature engineering</w:t>
      </w:r>
      <w:r w:rsidR="000B783E">
        <w:t xml:space="preserve"> is to a larger extend outsourced to the learning algorithm itself</w:t>
      </w:r>
      <w:r w:rsidR="00B0149D">
        <w:t>.</w:t>
      </w:r>
      <w:r w:rsidR="000B783E">
        <w:t xml:space="preserve"> </w:t>
      </w:r>
      <w:r w:rsidR="00BB4F97">
        <w:t xml:space="preserve">Instead of </w:t>
      </w:r>
      <w:r w:rsidR="00254277">
        <w:t xml:space="preserve">solely </w:t>
      </w:r>
      <w:r w:rsidR="00BB4F97">
        <w:t xml:space="preserve">relying </w:t>
      </w:r>
      <w:r w:rsidR="00254277">
        <w:t xml:space="preserve">on the pre-specified </w:t>
      </w:r>
      <w:r w:rsidR="00BB4F97">
        <w:t>features</w:t>
      </w:r>
      <w:r w:rsidR="000B783E">
        <w:t xml:space="preserve"> in the input data</w:t>
      </w:r>
      <w:r w:rsidR="00254277">
        <w:t xml:space="preserve"> (hand-crafted by scholars themselves)</w:t>
      </w:r>
      <w:r w:rsidR="000B783E">
        <w:t xml:space="preserve">, deep neural networks will attempt to </w:t>
      </w:r>
      <w:r w:rsidR="00254277">
        <w:t xml:space="preserve">independently </w:t>
      </w:r>
      <w:r w:rsidR="000B783E">
        <w:t xml:space="preserve">recombine the existing input features into new, nonlinear combinations of features, which will potentially offer a better representation </w:t>
      </w:r>
      <w:r w:rsidR="00B622B1">
        <w:t>of the input data</w:t>
      </w:r>
      <w:r w:rsidR="00BB4F97">
        <w:t>.</w:t>
      </w:r>
      <w:r w:rsidR="00B622B1">
        <w:t xml:space="preserve"> It does so </w:t>
      </w:r>
      <w:r w:rsidR="00555ADC">
        <w:t xml:space="preserve">by iteratively projecting the input </w:t>
      </w:r>
      <w:r w:rsidR="002C232D">
        <w:t xml:space="preserve">onto subsequent layers of </w:t>
      </w:r>
      <w:r w:rsidR="009D407A">
        <w:t>information units</w:t>
      </w:r>
      <w:r w:rsidR="002C232D">
        <w:t>, which are typically said to increasingly capture more abstract and complex patterns in the input data</w:t>
      </w:r>
      <w:r w:rsidR="00555ADC">
        <w:t>.</w:t>
      </w:r>
    </w:p>
    <w:p w14:paraId="2893C3E0" w14:textId="77777777" w:rsidR="00555ADC" w:rsidRDefault="00555ADC" w:rsidP="00754B45">
      <w:pPr>
        <w:jc w:val="both"/>
      </w:pPr>
    </w:p>
    <w:p w14:paraId="4D3C9BC2" w14:textId="34037FFC" w:rsidR="00555ADC" w:rsidRDefault="00555ADC" w:rsidP="00754B45">
      <w:pPr>
        <w:jc w:val="both"/>
      </w:pPr>
      <w:r>
        <w:t xml:space="preserve">The intuition behind deep learning is typically illustrated using an example from computer vision, the field where </w:t>
      </w:r>
      <w:r w:rsidR="009D407A">
        <w:t>some of the</w:t>
      </w:r>
      <w:r>
        <w:t xml:space="preserve"> earliest breakthroughs </w:t>
      </w:r>
      <w:r w:rsidR="009D407A">
        <w:t xml:space="preserve">in Deep Learning </w:t>
      </w:r>
      <w:r>
        <w:t>have been realized (e.g. in handwritten digit recognition).</w:t>
      </w:r>
      <w:r w:rsidR="005E12A9">
        <w:t xml:space="preserve"> </w:t>
      </w:r>
      <w:r w:rsidR="00EC18AC">
        <w:t xml:space="preserve">In computer vision, images are typically represented as a two-dimensional raster of pixels, which can take certain values across a series of </w:t>
      </w:r>
      <w:r w:rsidR="004C139F">
        <w:t xml:space="preserve">input channels </w:t>
      </w:r>
      <w:r w:rsidR="00EC18AC">
        <w:t xml:space="preserve">(e.g. one for every color in the RGB spectrum). </w:t>
      </w:r>
      <w:r w:rsidR="004C139F">
        <w:t xml:space="preserve">When propagating an input image through a layered neural network, it has been shown that the earliest </w:t>
      </w:r>
      <w:r w:rsidR="00A85CCB">
        <w:t xml:space="preserve">layers in the network will be receptive to very raw, primitive shapes in the data, such as a corner, parts of a curve or a stark light-dark contrast. Only at subsequent layers in the </w:t>
      </w:r>
      <w:r w:rsidR="003A15EE">
        <w:t>network</w:t>
      </w:r>
      <w:r w:rsidR="00A85CCB">
        <w:t xml:space="preserve">, </w:t>
      </w:r>
      <w:r w:rsidR="003A15EE">
        <w:t xml:space="preserve">these primitive forms are recombined into higher-level units, such as an eye or ear. At still higher layers, the network will eventually become sensible to complex </w:t>
      </w:r>
      <w:r w:rsidR="00CA4C6C">
        <w:t>units such as faces</w:t>
      </w:r>
      <w:r w:rsidR="003A15EE">
        <w:t xml:space="preserve">. </w:t>
      </w:r>
      <w:r w:rsidR="00597153">
        <w:t xml:space="preserve">It can therefore be said, that such </w:t>
      </w:r>
      <w:r w:rsidR="00CA4C6C">
        <w:t xml:space="preserve">neural </w:t>
      </w:r>
      <w:r w:rsidR="00597153">
        <w:t>networks is able to learn and detect increasingly abstract (re)combinations of the original features</w:t>
      </w:r>
      <w:r w:rsidR="00CA4C6C">
        <w:t xml:space="preserve"> in the input</w:t>
      </w:r>
      <w:r w:rsidR="00597153">
        <w:t xml:space="preserve">. </w:t>
      </w:r>
      <w:r w:rsidR="003A15EE">
        <w:t>Interestingly, it has been shown that visual perception in mammals works in a highly similar, hierarchical fashion.</w:t>
      </w:r>
      <w:r w:rsidR="00597153">
        <w:t xml:space="preserve"> Because of </w:t>
      </w:r>
      <w:r w:rsidR="005B3B37">
        <w:t>its</w:t>
      </w:r>
      <w:r w:rsidR="00597153">
        <w:t xml:space="preserve"> hierarchical </w:t>
      </w:r>
      <w:r w:rsidR="005B3B37">
        <w:t>nature</w:t>
      </w:r>
      <w:r w:rsidR="00597153">
        <w:t xml:space="preserve">, </w:t>
      </w:r>
      <w:r w:rsidR="00CA4C6C">
        <w:t xml:space="preserve">this form of learning is </w:t>
      </w:r>
      <w:r w:rsidR="008038E9">
        <w:t xml:space="preserve">commonly </w:t>
      </w:r>
      <w:r w:rsidR="00CA4C6C">
        <w:t xml:space="preserve">called ‘deep’, since it increasingly captures ‘deeper’ aspects of the problem </w:t>
      </w:r>
      <w:r w:rsidR="008038E9">
        <w:t>it</w:t>
      </w:r>
      <w:r w:rsidR="00CA4C6C">
        <w:t xml:space="preserve"> </w:t>
      </w:r>
      <w:r w:rsidR="008038E9">
        <w:t>is looking at</w:t>
      </w:r>
      <w:r w:rsidR="00597153">
        <w:t>.</w:t>
      </w:r>
    </w:p>
    <w:p w14:paraId="25794234" w14:textId="77777777" w:rsidR="00BB4F97" w:rsidRDefault="00BB4F97" w:rsidP="00754B45">
      <w:pPr>
        <w:jc w:val="both"/>
      </w:pPr>
    </w:p>
    <w:p w14:paraId="33FEF282" w14:textId="77777777" w:rsidR="00156538" w:rsidRDefault="00156538"/>
    <w:p w14:paraId="56AA3732" w14:textId="72C69997" w:rsidR="00156538" w:rsidRPr="006C4798" w:rsidRDefault="006C4798">
      <w:pPr>
        <w:rPr>
          <w:b/>
        </w:rPr>
      </w:pPr>
      <w:r w:rsidRPr="006C4798">
        <w:rPr>
          <w:b/>
        </w:rPr>
        <w:t>A</w:t>
      </w:r>
      <w:r w:rsidR="00B93846" w:rsidRPr="006C4798">
        <w:rPr>
          <w:b/>
        </w:rPr>
        <w:t>rchitecture</w:t>
      </w:r>
    </w:p>
    <w:p w14:paraId="35DF77BA" w14:textId="60F2D813" w:rsidR="001F7FE4" w:rsidRDefault="006C4798" w:rsidP="001B4172">
      <w:pPr>
        <w:jc w:val="both"/>
      </w:pPr>
      <w:r>
        <w:t xml:space="preserve">The </w:t>
      </w:r>
      <w:r w:rsidR="00922092">
        <w:t xml:space="preserve">system </w:t>
      </w:r>
      <w:r>
        <w:t xml:space="preserve">architecture we describe here primarily builds upon two </w:t>
      </w:r>
      <w:r w:rsidR="00E94D91">
        <w:t xml:space="preserve">basic </w:t>
      </w:r>
      <w:r>
        <w:t>components</w:t>
      </w:r>
      <w:r w:rsidR="00F06EA9">
        <w:t xml:space="preserve"> derived from recent studies in </w:t>
      </w:r>
      <w:r w:rsidR="001B4172">
        <w:t>Deep Learning NLP research</w:t>
      </w:r>
      <w:r>
        <w:t xml:space="preserve">: </w:t>
      </w:r>
      <w:r w:rsidR="00201E1D">
        <w:t xml:space="preserve">(i) </w:t>
      </w:r>
      <w:r>
        <w:t xml:space="preserve">temporal convolutions </w:t>
      </w:r>
      <w:r w:rsidR="00201E1D">
        <w:t xml:space="preserve">to model the orthography of input words at the character-level; and (ii) </w:t>
      </w:r>
      <w:r>
        <w:t>word embeddings</w:t>
      </w:r>
      <w:r w:rsidR="00201E1D">
        <w:t xml:space="preserve"> to model the lexical context surrounding </w:t>
      </w:r>
      <w:r w:rsidR="006B335D">
        <w:t xml:space="preserve">the input tokens, </w:t>
      </w:r>
      <w:r w:rsidR="00201E1D">
        <w:t>for the purpose of disambiguation</w:t>
      </w:r>
      <w:r w:rsidR="001F7FE4">
        <w:t xml:space="preserve">. We will first introduce </w:t>
      </w:r>
      <w:r w:rsidR="00BB7417">
        <w:t xml:space="preserve">the type of ‘subnets’ associated with </w:t>
      </w:r>
      <w:r w:rsidR="001F7FE4">
        <w:t xml:space="preserve">both components </w:t>
      </w:r>
      <w:r w:rsidR="00BB7417">
        <w:t xml:space="preserve">in our components, before we one on to discuss how our architecture eventually combines these subnets. </w:t>
      </w:r>
    </w:p>
    <w:p w14:paraId="12AD88D7" w14:textId="77777777" w:rsidR="001F7FE4" w:rsidRDefault="001F7FE4" w:rsidP="001B4172">
      <w:pPr>
        <w:jc w:val="both"/>
      </w:pPr>
    </w:p>
    <w:p w14:paraId="266757C7" w14:textId="659F458E" w:rsidR="001F7FE4" w:rsidRPr="001F7FE4" w:rsidRDefault="001F7FE4" w:rsidP="001B4172">
      <w:pPr>
        <w:jc w:val="both"/>
        <w:rPr>
          <w:i/>
        </w:rPr>
      </w:pPr>
      <w:r w:rsidRPr="001F7FE4">
        <w:rPr>
          <w:i/>
        </w:rPr>
        <w:t>Convolutions</w:t>
      </w:r>
    </w:p>
    <w:p w14:paraId="166E0668" w14:textId="5900E712" w:rsidR="00D00541" w:rsidRDefault="007A32F7" w:rsidP="001B4172">
      <w:pPr>
        <w:jc w:val="both"/>
      </w:pPr>
      <w:r>
        <w:t>Convolutions are a popular approach in computer vision</w:t>
      </w:r>
      <w:r w:rsidR="00CD3BF8">
        <w:t xml:space="preserve"> to battle the problem of </w:t>
      </w:r>
      <w:r w:rsidR="00E84555">
        <w:t>‘</w:t>
      </w:r>
      <w:r w:rsidR="00CD3BF8">
        <w:t>translations</w:t>
      </w:r>
      <w:r w:rsidR="00E84555">
        <w:t>’ in images</w:t>
      </w:r>
      <w:r w:rsidR="00CD3BF8">
        <w:t>. Consider an object classification system, whose task it is to detect the presence of certain objects in an image. I</w:t>
      </w:r>
      <w:r w:rsidR="00E84555">
        <w:t>f during training</w:t>
      </w:r>
      <w:r w:rsidR="00CD3BF8">
        <w:t xml:space="preserve">, </w:t>
      </w:r>
      <w:r w:rsidR="00E84555">
        <w:t xml:space="preserve">the system </w:t>
      </w:r>
      <w:r w:rsidR="00CD3BF8">
        <w:t xml:space="preserve">has </w:t>
      </w:r>
      <w:r w:rsidR="00021868">
        <w:t xml:space="preserve">come across </w:t>
      </w:r>
      <w:r w:rsidR="00CD3BF8">
        <w:t>e.g. a banana in the upper-left corner of a picture</w:t>
      </w:r>
      <w:r w:rsidR="00021868">
        <w:t xml:space="preserve">, we would like the system to be able to detect the same object in new images, even if the </w:t>
      </w:r>
      <w:r w:rsidR="00090D00">
        <w:t xml:space="preserve">exact </w:t>
      </w:r>
      <w:r w:rsidR="00021868">
        <w:t xml:space="preserve">location of that object </w:t>
      </w:r>
      <w:r w:rsidR="00090D00">
        <w:t xml:space="preserve">has shifted (e.g. towards </w:t>
      </w:r>
      <w:r w:rsidR="00E84555">
        <w:t>the lower-right corner of the image</w:t>
      </w:r>
      <w:r w:rsidR="00090D00">
        <w:t>)</w:t>
      </w:r>
      <w:r>
        <w:t xml:space="preserve">. </w:t>
      </w:r>
      <w:r w:rsidR="002B1403">
        <w:t xml:space="preserve">Convolutions </w:t>
      </w:r>
      <w:r w:rsidR="00B97D71">
        <w:t xml:space="preserve">can be thought of as a fixed size window </w:t>
      </w:r>
      <w:r w:rsidR="007F7F3A">
        <w:t xml:space="preserve">(e.g. 5x5 pixels) </w:t>
      </w:r>
      <w:r w:rsidR="00B97D71">
        <w:t>which gets slided over the entire input image in a stepwise fashion</w:t>
      </w:r>
      <w:r w:rsidR="00155008">
        <w:t>.</w:t>
      </w:r>
      <w:r w:rsidR="00637B92">
        <w:t xml:space="preserve"> </w:t>
      </w:r>
      <w:r w:rsidR="002B1403">
        <w:t xml:space="preserve">Convolutions are </w:t>
      </w:r>
      <w:r w:rsidR="00637B92">
        <w:t>therefore also</w:t>
      </w:r>
      <w:r w:rsidR="002B1403">
        <w:t xml:space="preserve"> said to learn ‘filters’, in that they learn </w:t>
      </w:r>
      <w:r w:rsidR="00155008">
        <w:t>a filtering mechanism to detect the presence of certain features, irrespective the exact position in which these features occur in the image</w:t>
      </w:r>
      <w:r w:rsidR="002B1403">
        <w:t>.</w:t>
      </w:r>
      <w:r w:rsidR="00434865">
        <w:t xml:space="preserve"> Import</w:t>
      </w:r>
      <w:r w:rsidR="004C76AA">
        <w:t xml:space="preserve">antly, each filter will scan the entire image for the local presence of a particular </w:t>
      </w:r>
      <w:r w:rsidR="002355BD">
        <w:t xml:space="preserve">low-level </w:t>
      </w:r>
      <w:r w:rsidR="004C76AA">
        <w:t xml:space="preserve">feature (e.g. the </w:t>
      </w:r>
      <w:r w:rsidR="002355BD">
        <w:t xml:space="preserve">yellow-colored, curved edge of the </w:t>
      </w:r>
      <w:r w:rsidR="004C76AA">
        <w:t>banana)</w:t>
      </w:r>
      <w:r w:rsidR="002355BD">
        <w:t xml:space="preserve">, and detect it irrespective of the exact position of the feature (e.g. lower-right corner versus upper-left corner). Typically, convolutions are applied as the initial layers in a neural networks, before passing on the </w:t>
      </w:r>
      <w:r w:rsidR="00263B0A">
        <w:t>activation of</w:t>
      </w:r>
      <w:r w:rsidR="002355BD">
        <w:t xml:space="preserve"> filters to subsequent layers in the network</w:t>
      </w:r>
      <w:r w:rsidR="00F11E46">
        <w:t xml:space="preserve">, </w:t>
      </w:r>
      <w:r w:rsidR="002355BD">
        <w:t>where the detected features can be recombined into more complex objects, e.g. the entire banana.</w:t>
      </w:r>
      <w:r w:rsidR="00D00541">
        <w:t xml:space="preserve"> </w:t>
      </w:r>
      <w:r w:rsidR="00155008">
        <w:t>Whereas convolutions in vision research</w:t>
      </w:r>
      <w:r w:rsidR="002232A9">
        <w:t xml:space="preserve"> are</w:t>
      </w:r>
      <w:r w:rsidR="00A35865">
        <w:t xml:space="preserve"> typically two</w:t>
      </w:r>
      <w:r w:rsidR="00155008">
        <w:t xml:space="preserve">-dimensional (cf. raster of pixels), here we apply </w:t>
      </w:r>
      <w:r w:rsidR="002232A9">
        <w:t xml:space="preserve">convolutions </w:t>
      </w:r>
      <w:r w:rsidR="00155008">
        <w:t xml:space="preserve">over </w:t>
      </w:r>
      <w:r w:rsidR="002648B4">
        <w:t>a single dimension, namely the sequence of characters in an input word</w:t>
      </w:r>
      <w:r w:rsidR="00B97D71">
        <w:t>.</w:t>
      </w:r>
      <w:r w:rsidR="002232A9">
        <w:t xml:space="preserve"> The idea to apply convolutions to character series in NLP has recently been pioneered by LeCun et al., reporting strong results across a variety of </w:t>
      </w:r>
      <w:r w:rsidR="00380B25">
        <w:t xml:space="preserve">higher-end </w:t>
      </w:r>
      <w:r w:rsidR="002232A9">
        <w:t>text classification tasks.</w:t>
      </w:r>
      <w:r w:rsidR="00316EB8">
        <w:t xml:space="preserve"> Such convolutions have also been called ‘temporal’ convolutions, because they model a linear sequence of items.</w:t>
      </w:r>
    </w:p>
    <w:p w14:paraId="79572FC1" w14:textId="77777777" w:rsidR="00D00541" w:rsidRDefault="00D00541" w:rsidP="001B4172">
      <w:pPr>
        <w:jc w:val="both"/>
      </w:pPr>
    </w:p>
    <w:p w14:paraId="51C5E9E8" w14:textId="1200797F" w:rsidR="00A14A06" w:rsidRDefault="00D00541" w:rsidP="00A14A06">
      <w:pPr>
        <w:jc w:val="both"/>
      </w:pPr>
      <w:r>
        <w:t>R</w:t>
      </w:r>
      <w:r w:rsidR="00434947">
        <w:t>epresent</w:t>
      </w:r>
      <w:r>
        <w:t>ing</w:t>
      </w:r>
      <w:r w:rsidR="00434947">
        <w:t xml:space="preserve"> input words as a sequence of characters (</w:t>
      </w:r>
      <w:r w:rsidR="00E01BBB">
        <w:t>i.e. at the sub-word lev</w:t>
      </w:r>
      <w:r w:rsidR="00434947">
        <w:t xml:space="preserve">el) has a considerable advantage over </w:t>
      </w:r>
      <w:r w:rsidR="00DA6B71">
        <w:t xml:space="preserve">more </w:t>
      </w:r>
      <w:r w:rsidR="00434947">
        <w:t>traditional approaches in se</w:t>
      </w:r>
      <w:r w:rsidR="006C062E">
        <w:t>quence tagging. Here,</w:t>
      </w:r>
      <w:r w:rsidR="005D67FB">
        <w:t xml:space="preserve"> input word</w:t>
      </w:r>
      <w:r w:rsidR="00434947">
        <w:t xml:space="preserve">s are </w:t>
      </w:r>
      <w:r w:rsidR="007E19AB">
        <w:t>typically represented using a “one-hot vocabulary encoding”</w:t>
      </w:r>
      <w:r w:rsidR="00B733A4">
        <w:t xml:space="preserve">: given an indexed vocabulary of </w:t>
      </w:r>
      <w:r w:rsidR="00B733A4" w:rsidRPr="00B733A4">
        <w:rPr>
          <w:i/>
        </w:rPr>
        <w:t>n</w:t>
      </w:r>
      <w:r w:rsidR="00B733A4">
        <w:t xml:space="preserve"> known tokens, each token is represented </w:t>
      </w:r>
      <w:r w:rsidR="007819E2">
        <w:t xml:space="preserve">as a long vector of </w:t>
      </w:r>
      <w:r w:rsidR="007819E2" w:rsidRPr="007819E2">
        <w:rPr>
          <w:i/>
        </w:rPr>
        <w:t>n</w:t>
      </w:r>
      <w:r w:rsidR="007819E2">
        <w:t xml:space="preserve"> values, in which the index of one token is set to 1, whereas all others values are set to 0. Naturally, this leads to very sparse, high-dimensional word representations. In such a one-hot representation it is therefore not uncommon to apply </w:t>
      </w:r>
      <w:r w:rsidR="00B733A4" w:rsidRPr="00B733A4">
        <w:t xml:space="preserve">a </w:t>
      </w:r>
      <w:r w:rsidR="00A439FB">
        <w:t>cut-off and only encode</w:t>
      </w:r>
      <w:r w:rsidR="00B733A4" w:rsidRPr="00B733A4">
        <w:t xml:space="preserve"> the more frequent vocabulary items, in order to battle </w:t>
      </w:r>
      <w:r w:rsidR="00A439FB">
        <w:t xml:space="preserve">the sparsity of the input data. Of course, </w:t>
      </w:r>
      <w:r w:rsidR="00A439FB" w:rsidRPr="00B733A4">
        <w:t xml:space="preserve">a one-hot vector representation </w:t>
      </w:r>
      <w:r w:rsidR="00057010">
        <w:t>(especially with a severe cutoff) can obviously not</w:t>
      </w:r>
      <w:r w:rsidR="00A439FB">
        <w:t xml:space="preserve"> represent new, unseen</w:t>
      </w:r>
      <w:r w:rsidR="00B733A4" w:rsidRPr="00B733A4">
        <w:t xml:space="preserve"> tokens at test time</w:t>
      </w:r>
      <w:r w:rsidR="00A439FB">
        <w:t xml:space="preserve">, since </w:t>
      </w:r>
      <w:r w:rsidR="00057010">
        <w:t>these do not form</w:t>
      </w:r>
      <w:r w:rsidR="00A439FB">
        <w:t xml:space="preserve"> part of the index</w:t>
      </w:r>
      <w:r w:rsidR="00057010">
        <w:t>ed training vocabulary</w:t>
      </w:r>
      <w:r w:rsidR="00A439FB">
        <w:t xml:space="preserve">. </w:t>
      </w:r>
      <w:r w:rsidR="007F29B7">
        <w:t>M</w:t>
      </w:r>
      <w:r w:rsidR="00B733A4" w:rsidRPr="00B733A4">
        <w:t xml:space="preserve">ost systems </w:t>
      </w:r>
      <w:r w:rsidR="007F29B7">
        <w:t xml:space="preserve">for e.g. PoS-tagging would in those cases </w:t>
      </w:r>
      <w:r w:rsidR="00B733A4" w:rsidRPr="00B733A4">
        <w:t>back off to additional (largely hand-crafted) features to represent the target token, such as the final character trigram of</w:t>
      </w:r>
      <w:r w:rsidR="007F29B7">
        <w:t xml:space="preserve"> the token to capture the token’</w:t>
      </w:r>
      <w:r w:rsidR="00B733A4" w:rsidRPr="00B733A4">
        <w:t>s inflection.</w:t>
      </w:r>
      <w:r w:rsidR="00666C3B">
        <w:t xml:space="preserve"> The character-level system presented here does not struggle to </w:t>
      </w:r>
      <w:r w:rsidR="00A14A06">
        <w:t>model out-of-vocabulary words. This is worthwhile characteristic</w:t>
      </w:r>
      <w:r w:rsidR="00423EF1">
        <w:t xml:space="preserve"> for our use-case</w:t>
      </w:r>
      <w:r w:rsidR="00A14A06">
        <w:t xml:space="preserve">: </w:t>
      </w:r>
      <w:r w:rsidR="00423EF1">
        <w:t xml:space="preserve">with low-resource </w:t>
      </w:r>
      <w:r w:rsidR="00A14A06">
        <w:t>languages with a rich orthographical</w:t>
      </w:r>
      <w:r w:rsidR="003C3461">
        <w:t xml:space="preserve"> variation</w:t>
      </w:r>
      <w:r w:rsidR="00A14A06">
        <w:t xml:space="preserve">, the dimensionality of word-level one-hot vectors dramatically increases </w:t>
      </w:r>
      <w:r w:rsidR="00423EF1">
        <w:t>because the vocabulary is much larger (and thus</w:t>
      </w:r>
      <w:r w:rsidR="00A14A06">
        <w:t xml:space="preserve">, the effect of </w:t>
      </w:r>
      <w:r w:rsidR="003C3461">
        <w:t xml:space="preserve">applying a </w:t>
      </w:r>
      <w:r w:rsidR="00A14A06">
        <w:t>cutoff</w:t>
      </w:r>
      <w:r w:rsidR="00423EF1">
        <w:t xml:space="preserve"> will also be more dramatic</w:t>
      </w:r>
      <w:r w:rsidR="00A14A06">
        <w:t>).</w:t>
      </w:r>
      <w:r w:rsidR="00423EF1">
        <w:t xml:space="preserve"> Additionally, t</w:t>
      </w:r>
      <w:r w:rsidR="00A14A06">
        <w:t xml:space="preserve">he problem of unknown target tokens at test time is </w:t>
      </w:r>
      <w:r w:rsidR="0041610B">
        <w:t xml:space="preserve">of course </w:t>
      </w:r>
      <w:r w:rsidR="00A14A06">
        <w:t>much more prominent</w:t>
      </w:r>
      <w:r w:rsidR="0041610B">
        <w:t>, due to spelling variation, as in traditional languages</w:t>
      </w:r>
      <w:r w:rsidR="00A14A06">
        <w:t>.</w:t>
      </w:r>
      <w:r w:rsidR="00FB5F2E">
        <w:t xml:space="preserve"> Therefore, our architecture complements a conventional one-hot encoding with a convolutional component.</w:t>
      </w:r>
    </w:p>
    <w:p w14:paraId="41CA1FE9" w14:textId="54E01348" w:rsidR="006B335D" w:rsidRDefault="006B335D" w:rsidP="007F29B7">
      <w:pPr>
        <w:jc w:val="both"/>
      </w:pPr>
    </w:p>
    <w:p w14:paraId="6B707686" w14:textId="62B50599" w:rsidR="007F29B7" w:rsidRDefault="00D60054" w:rsidP="007F29B7">
      <w:pPr>
        <w:jc w:val="both"/>
      </w:pPr>
      <w:r>
        <w:t>Following the</w:t>
      </w:r>
      <w:r w:rsidR="00316EB8">
        <w:t xml:space="preserve"> convolutional </w:t>
      </w:r>
      <w:r w:rsidR="00BB7417">
        <w:t>strategy, our system</w:t>
      </w:r>
      <w:r w:rsidR="0041610B">
        <w:t xml:space="preserve"> model</w:t>
      </w:r>
      <w:r w:rsidR="00BB7417">
        <w:t>s</w:t>
      </w:r>
      <w:r w:rsidR="0041610B">
        <w:t xml:space="preserve"> </w:t>
      </w:r>
      <w:r w:rsidR="006F738C">
        <w:t xml:space="preserve">each input token </w:t>
      </w:r>
      <w:r w:rsidR="00362417">
        <w:t>as a sequence of characters, in which each character is represented by a one-hot vector at the character level. As the example in Table 1 shows, this leads to a</w:t>
      </w:r>
      <w:r w:rsidR="00BB7417">
        <w:t>n at first sight primitive, yet</w:t>
      </w:r>
      <w:r w:rsidR="00362417">
        <w:t xml:space="preserve"> much lower-dimensional </w:t>
      </w:r>
      <w:r w:rsidR="00BB7417">
        <w:t xml:space="preserve">token </w:t>
      </w:r>
      <w:r w:rsidR="00362417">
        <w:t xml:space="preserve">representation than with a </w:t>
      </w:r>
      <w:r w:rsidR="00BB7417">
        <w:t xml:space="preserve">traditional </w:t>
      </w:r>
      <w:r w:rsidR="00362417">
        <w:t xml:space="preserve">token-level one-hot encoding, which, additionally, is able to represent out-of-vocabulary items. We include all characters in the character index used. We specify a certain threshold </w:t>
      </w:r>
      <w:r w:rsidR="00362417" w:rsidRPr="00362417">
        <w:rPr>
          <w:i/>
        </w:rPr>
        <w:t>t</w:t>
      </w:r>
      <w:r w:rsidR="00362417">
        <w:t xml:space="preserve"> (e.g. 15 characters): words longer </w:t>
      </w:r>
      <w:r w:rsidR="00D17F22">
        <w:t xml:space="preserve">or shorter </w:t>
      </w:r>
      <w:r w:rsidR="00362417">
        <w:t xml:space="preserve">than this threshold </w:t>
      </w:r>
      <w:r w:rsidR="00D17F22">
        <w:t>are respectiv</w:t>
      </w:r>
      <w:r w:rsidR="00362417">
        <w:t xml:space="preserve">ely truncated </w:t>
      </w:r>
      <w:r w:rsidR="00E15591">
        <w:t xml:space="preserve">to the right </w:t>
      </w:r>
      <w:r w:rsidR="00D17F22">
        <w:t xml:space="preserve">to </w:t>
      </w:r>
      <w:r w:rsidR="00E15591">
        <w:t xml:space="preserve">length </w:t>
      </w:r>
      <w:r w:rsidR="00D17F22" w:rsidRPr="00D17F22">
        <w:rPr>
          <w:i/>
        </w:rPr>
        <w:t>t</w:t>
      </w:r>
      <w:r w:rsidR="00E15591">
        <w:t>,</w:t>
      </w:r>
      <w:r w:rsidR="00362417">
        <w:t xml:space="preserve"> and shorter </w:t>
      </w:r>
      <w:r w:rsidR="00D17F22">
        <w:t>words are padded with zero-filled vectors.</w:t>
      </w:r>
      <w:r w:rsidR="00472862">
        <w:t xml:space="preserve"> </w:t>
      </w:r>
      <w:r w:rsidR="00E15591">
        <w:t>In terms of computer vision</w:t>
      </w:r>
      <w:r w:rsidR="00125253">
        <w:t xml:space="preserve"> research</w:t>
      </w:r>
      <w:r w:rsidR="00E15591">
        <w:t>, this representation models characters as if they were ‘color channels’, with one channel dedicated to a single character.</w:t>
      </w:r>
    </w:p>
    <w:p w14:paraId="5EB7A769" w14:textId="77777777" w:rsidR="00EE3FC0" w:rsidRDefault="00EE3FC0" w:rsidP="007F29B7">
      <w:pPr>
        <w:jc w:val="both"/>
      </w:pPr>
    </w:p>
    <w:p w14:paraId="469E6061" w14:textId="6F588B91" w:rsidR="00EE3FC0" w:rsidRDefault="00E15591" w:rsidP="007F29B7">
      <w:pPr>
        <w:jc w:val="both"/>
      </w:pPr>
      <w:r>
        <w:t>Table 1: Illustration of the c</w:t>
      </w:r>
      <w:r w:rsidR="00122C3E">
        <w:t xml:space="preserve">haracter-level representation of input tokens. Dummy example with </w:t>
      </w:r>
      <w:r w:rsidR="00472862">
        <w:t xml:space="preserve">length threshold </w:t>
      </w:r>
      <w:r w:rsidR="00472862" w:rsidRPr="00472862">
        <w:rPr>
          <w:i/>
        </w:rPr>
        <w:t>t</w:t>
      </w:r>
      <w:r w:rsidR="00472862">
        <w:t xml:space="preserve"> set at 15 and </w:t>
      </w:r>
      <w:r w:rsidR="00122C3E">
        <w:t xml:space="preserve">a restricted character vocabulary </w:t>
      </w:r>
      <w:r>
        <w:t xml:space="preserve">of size 7, </w:t>
      </w:r>
      <w:r w:rsidR="00122C3E">
        <w:t xml:space="preserve">for the Middle Dutch word </w:t>
      </w:r>
      <w:r w:rsidR="00EE3FC0" w:rsidRPr="009A5FA4">
        <w:rPr>
          <w:i/>
        </w:rPr>
        <w:t xml:space="preserve">coninghinne </w:t>
      </w:r>
      <w:r w:rsidR="00EE3FC0">
        <w:t>(‘queen’)</w:t>
      </w:r>
      <w:r w:rsidR="00472862">
        <w:t>.</w:t>
      </w:r>
    </w:p>
    <w:p w14:paraId="556E00A3" w14:textId="77777777" w:rsidR="009A5FA4" w:rsidRDefault="009A5FA4" w:rsidP="007F29B7">
      <w:pPr>
        <w:jc w:val="both"/>
      </w:pPr>
    </w:p>
    <w:tbl>
      <w:tblPr>
        <w:tblStyle w:val="TableGrid"/>
        <w:tblW w:w="0" w:type="auto"/>
        <w:tblLook w:val="04A0" w:firstRow="1" w:lastRow="0" w:firstColumn="1" w:lastColumn="0" w:noHBand="0" w:noVBand="1"/>
      </w:tblPr>
      <w:tblGrid>
        <w:gridCol w:w="683"/>
        <w:gridCol w:w="521"/>
        <w:gridCol w:w="522"/>
        <w:gridCol w:w="522"/>
        <w:gridCol w:w="522"/>
        <w:gridCol w:w="522"/>
        <w:gridCol w:w="522"/>
        <w:gridCol w:w="522"/>
        <w:gridCol w:w="522"/>
        <w:gridCol w:w="522"/>
        <w:gridCol w:w="522"/>
        <w:gridCol w:w="522"/>
        <w:gridCol w:w="523"/>
        <w:gridCol w:w="523"/>
        <w:gridCol w:w="523"/>
        <w:gridCol w:w="523"/>
      </w:tblGrid>
      <w:tr w:rsidR="00122C3E" w14:paraId="3ACFD429" w14:textId="77777777" w:rsidTr="00122C3E">
        <w:tc>
          <w:tcPr>
            <w:tcW w:w="683" w:type="dxa"/>
          </w:tcPr>
          <w:p w14:paraId="7FE576E8" w14:textId="04467EDB" w:rsidR="00122C3E" w:rsidRPr="00122C3E" w:rsidRDefault="00122C3E" w:rsidP="007F29B7">
            <w:pPr>
              <w:jc w:val="both"/>
              <w:rPr>
                <w:i/>
              </w:rPr>
            </w:pPr>
            <w:r w:rsidRPr="00122C3E">
              <w:rPr>
                <w:i/>
              </w:rPr>
              <w:t>char</w:t>
            </w:r>
          </w:p>
        </w:tc>
        <w:tc>
          <w:tcPr>
            <w:tcW w:w="521" w:type="dxa"/>
          </w:tcPr>
          <w:p w14:paraId="210FAE53" w14:textId="2A6EA7CA" w:rsidR="00122C3E" w:rsidRPr="00122C3E" w:rsidRDefault="00122C3E" w:rsidP="007F29B7">
            <w:pPr>
              <w:jc w:val="both"/>
              <w:rPr>
                <w:b/>
              </w:rPr>
            </w:pPr>
            <w:r w:rsidRPr="00122C3E">
              <w:rPr>
                <w:b/>
              </w:rPr>
              <w:t>c</w:t>
            </w:r>
          </w:p>
        </w:tc>
        <w:tc>
          <w:tcPr>
            <w:tcW w:w="522" w:type="dxa"/>
          </w:tcPr>
          <w:p w14:paraId="719F6C5C" w14:textId="7227AF2C" w:rsidR="00122C3E" w:rsidRPr="00122C3E" w:rsidRDefault="00122C3E" w:rsidP="007F29B7">
            <w:pPr>
              <w:jc w:val="both"/>
              <w:rPr>
                <w:b/>
              </w:rPr>
            </w:pPr>
            <w:r w:rsidRPr="00122C3E">
              <w:rPr>
                <w:b/>
              </w:rPr>
              <w:t>o</w:t>
            </w:r>
          </w:p>
        </w:tc>
        <w:tc>
          <w:tcPr>
            <w:tcW w:w="522" w:type="dxa"/>
          </w:tcPr>
          <w:p w14:paraId="0C0CE6D5" w14:textId="77780D10" w:rsidR="00122C3E" w:rsidRPr="00122C3E" w:rsidRDefault="00122C3E" w:rsidP="007F29B7">
            <w:pPr>
              <w:jc w:val="both"/>
              <w:rPr>
                <w:b/>
              </w:rPr>
            </w:pPr>
            <w:r w:rsidRPr="00122C3E">
              <w:rPr>
                <w:b/>
              </w:rPr>
              <w:t>n</w:t>
            </w:r>
          </w:p>
        </w:tc>
        <w:tc>
          <w:tcPr>
            <w:tcW w:w="522" w:type="dxa"/>
          </w:tcPr>
          <w:p w14:paraId="660031F3" w14:textId="539A162C" w:rsidR="00122C3E" w:rsidRPr="00122C3E" w:rsidRDefault="00122C3E" w:rsidP="007F29B7">
            <w:pPr>
              <w:jc w:val="both"/>
              <w:rPr>
                <w:b/>
              </w:rPr>
            </w:pPr>
            <w:r w:rsidRPr="00122C3E">
              <w:rPr>
                <w:b/>
              </w:rPr>
              <w:t>i</w:t>
            </w:r>
          </w:p>
        </w:tc>
        <w:tc>
          <w:tcPr>
            <w:tcW w:w="522" w:type="dxa"/>
          </w:tcPr>
          <w:p w14:paraId="30891670" w14:textId="59517D76" w:rsidR="00122C3E" w:rsidRPr="00122C3E" w:rsidRDefault="00122C3E" w:rsidP="007F29B7">
            <w:pPr>
              <w:jc w:val="both"/>
              <w:rPr>
                <w:b/>
              </w:rPr>
            </w:pPr>
            <w:r w:rsidRPr="00122C3E">
              <w:rPr>
                <w:b/>
              </w:rPr>
              <w:t>n</w:t>
            </w:r>
          </w:p>
        </w:tc>
        <w:tc>
          <w:tcPr>
            <w:tcW w:w="522" w:type="dxa"/>
          </w:tcPr>
          <w:p w14:paraId="162E9464" w14:textId="2646EBCA" w:rsidR="00122C3E" w:rsidRPr="00122C3E" w:rsidRDefault="00122C3E" w:rsidP="007F29B7">
            <w:pPr>
              <w:jc w:val="both"/>
              <w:rPr>
                <w:b/>
              </w:rPr>
            </w:pPr>
            <w:r w:rsidRPr="00122C3E">
              <w:rPr>
                <w:b/>
              </w:rPr>
              <w:t>g</w:t>
            </w:r>
          </w:p>
        </w:tc>
        <w:tc>
          <w:tcPr>
            <w:tcW w:w="522" w:type="dxa"/>
          </w:tcPr>
          <w:p w14:paraId="13FF81AB" w14:textId="09D068A5" w:rsidR="00122C3E" w:rsidRPr="00122C3E" w:rsidRDefault="00122C3E" w:rsidP="007F29B7">
            <w:pPr>
              <w:jc w:val="both"/>
              <w:rPr>
                <w:b/>
              </w:rPr>
            </w:pPr>
            <w:r w:rsidRPr="00122C3E">
              <w:rPr>
                <w:b/>
              </w:rPr>
              <w:t>h</w:t>
            </w:r>
          </w:p>
        </w:tc>
        <w:tc>
          <w:tcPr>
            <w:tcW w:w="522" w:type="dxa"/>
          </w:tcPr>
          <w:p w14:paraId="4C1E3F95" w14:textId="1B4B47A1" w:rsidR="00122C3E" w:rsidRPr="00122C3E" w:rsidRDefault="00122C3E" w:rsidP="007F29B7">
            <w:pPr>
              <w:jc w:val="both"/>
              <w:rPr>
                <w:b/>
              </w:rPr>
            </w:pPr>
            <w:r w:rsidRPr="00122C3E">
              <w:rPr>
                <w:b/>
              </w:rPr>
              <w:t>i</w:t>
            </w:r>
          </w:p>
        </w:tc>
        <w:tc>
          <w:tcPr>
            <w:tcW w:w="522" w:type="dxa"/>
          </w:tcPr>
          <w:p w14:paraId="3F7A1564" w14:textId="32079C1E" w:rsidR="00122C3E" w:rsidRPr="00122C3E" w:rsidRDefault="00122C3E" w:rsidP="007F29B7">
            <w:pPr>
              <w:jc w:val="both"/>
              <w:rPr>
                <w:b/>
              </w:rPr>
            </w:pPr>
            <w:r w:rsidRPr="00122C3E">
              <w:rPr>
                <w:b/>
              </w:rPr>
              <w:t>n</w:t>
            </w:r>
          </w:p>
        </w:tc>
        <w:tc>
          <w:tcPr>
            <w:tcW w:w="522" w:type="dxa"/>
          </w:tcPr>
          <w:p w14:paraId="49936423" w14:textId="68FD0051" w:rsidR="00122C3E" w:rsidRPr="00122C3E" w:rsidRDefault="00122C3E" w:rsidP="007F29B7">
            <w:pPr>
              <w:jc w:val="both"/>
              <w:rPr>
                <w:b/>
              </w:rPr>
            </w:pPr>
            <w:r w:rsidRPr="00122C3E">
              <w:rPr>
                <w:b/>
              </w:rPr>
              <w:t>n</w:t>
            </w:r>
          </w:p>
        </w:tc>
        <w:tc>
          <w:tcPr>
            <w:tcW w:w="522" w:type="dxa"/>
          </w:tcPr>
          <w:p w14:paraId="36755F25" w14:textId="4D01FFF6" w:rsidR="00122C3E" w:rsidRPr="00122C3E" w:rsidRDefault="00122C3E" w:rsidP="007F29B7">
            <w:pPr>
              <w:jc w:val="both"/>
              <w:rPr>
                <w:b/>
              </w:rPr>
            </w:pPr>
            <w:r w:rsidRPr="00122C3E">
              <w:rPr>
                <w:b/>
              </w:rPr>
              <w:t>e</w:t>
            </w:r>
          </w:p>
        </w:tc>
        <w:tc>
          <w:tcPr>
            <w:tcW w:w="523" w:type="dxa"/>
          </w:tcPr>
          <w:p w14:paraId="4FCFCC68" w14:textId="38F98A4E" w:rsidR="00122C3E" w:rsidRPr="00122C3E" w:rsidRDefault="00122C3E" w:rsidP="007F29B7">
            <w:pPr>
              <w:jc w:val="both"/>
              <w:rPr>
                <w:b/>
              </w:rPr>
            </w:pPr>
            <w:r w:rsidRPr="00122C3E">
              <w:rPr>
                <w:b/>
              </w:rPr>
              <w:t>-</w:t>
            </w:r>
          </w:p>
        </w:tc>
        <w:tc>
          <w:tcPr>
            <w:tcW w:w="523" w:type="dxa"/>
          </w:tcPr>
          <w:p w14:paraId="71E193EF" w14:textId="583B9818" w:rsidR="00122C3E" w:rsidRPr="00122C3E" w:rsidRDefault="00122C3E" w:rsidP="007F29B7">
            <w:pPr>
              <w:jc w:val="both"/>
              <w:rPr>
                <w:b/>
              </w:rPr>
            </w:pPr>
            <w:r w:rsidRPr="00122C3E">
              <w:rPr>
                <w:b/>
              </w:rPr>
              <w:t>-</w:t>
            </w:r>
          </w:p>
        </w:tc>
        <w:tc>
          <w:tcPr>
            <w:tcW w:w="523" w:type="dxa"/>
          </w:tcPr>
          <w:p w14:paraId="75F53613" w14:textId="0146AEAF" w:rsidR="00122C3E" w:rsidRPr="00122C3E" w:rsidRDefault="00122C3E" w:rsidP="007F29B7">
            <w:pPr>
              <w:jc w:val="both"/>
              <w:rPr>
                <w:b/>
              </w:rPr>
            </w:pPr>
            <w:r w:rsidRPr="00122C3E">
              <w:rPr>
                <w:b/>
              </w:rPr>
              <w:t>-</w:t>
            </w:r>
          </w:p>
        </w:tc>
        <w:tc>
          <w:tcPr>
            <w:tcW w:w="523" w:type="dxa"/>
          </w:tcPr>
          <w:p w14:paraId="5B2879A7" w14:textId="0FA81A83" w:rsidR="00122C3E" w:rsidRPr="00122C3E" w:rsidRDefault="00122C3E" w:rsidP="007F29B7">
            <w:pPr>
              <w:jc w:val="both"/>
              <w:rPr>
                <w:b/>
              </w:rPr>
            </w:pPr>
            <w:r w:rsidRPr="00122C3E">
              <w:rPr>
                <w:b/>
              </w:rPr>
              <w:t>-</w:t>
            </w:r>
          </w:p>
        </w:tc>
      </w:tr>
      <w:tr w:rsidR="00122C3E" w14:paraId="14FAA58B" w14:textId="77777777" w:rsidTr="00122C3E">
        <w:tc>
          <w:tcPr>
            <w:tcW w:w="683" w:type="dxa"/>
          </w:tcPr>
          <w:p w14:paraId="520AF03A" w14:textId="60C566B8" w:rsidR="00122C3E" w:rsidRDefault="00122C3E" w:rsidP="007F29B7">
            <w:pPr>
              <w:jc w:val="both"/>
            </w:pPr>
            <w:r>
              <w:t>c</w:t>
            </w:r>
          </w:p>
        </w:tc>
        <w:tc>
          <w:tcPr>
            <w:tcW w:w="521" w:type="dxa"/>
          </w:tcPr>
          <w:p w14:paraId="08AEB7EA" w14:textId="2378382B" w:rsidR="00122C3E" w:rsidRDefault="00122C3E" w:rsidP="007F29B7">
            <w:pPr>
              <w:jc w:val="both"/>
            </w:pPr>
            <w:r>
              <w:t>1</w:t>
            </w:r>
          </w:p>
        </w:tc>
        <w:tc>
          <w:tcPr>
            <w:tcW w:w="522" w:type="dxa"/>
          </w:tcPr>
          <w:p w14:paraId="31D2537E" w14:textId="6F56E190" w:rsidR="00122C3E" w:rsidRDefault="00122C3E" w:rsidP="007F29B7">
            <w:pPr>
              <w:jc w:val="both"/>
            </w:pPr>
            <w:r>
              <w:t>0</w:t>
            </w:r>
          </w:p>
        </w:tc>
        <w:tc>
          <w:tcPr>
            <w:tcW w:w="522" w:type="dxa"/>
          </w:tcPr>
          <w:p w14:paraId="6CD9C730" w14:textId="731852B6" w:rsidR="00122C3E" w:rsidRDefault="00122C3E" w:rsidP="007F29B7">
            <w:pPr>
              <w:jc w:val="both"/>
            </w:pPr>
            <w:r>
              <w:t>0</w:t>
            </w:r>
          </w:p>
        </w:tc>
        <w:tc>
          <w:tcPr>
            <w:tcW w:w="522" w:type="dxa"/>
          </w:tcPr>
          <w:p w14:paraId="79BB6209" w14:textId="072A04A2" w:rsidR="00122C3E" w:rsidRDefault="00122C3E" w:rsidP="007F29B7">
            <w:pPr>
              <w:jc w:val="both"/>
            </w:pPr>
            <w:r>
              <w:t>0</w:t>
            </w:r>
          </w:p>
        </w:tc>
        <w:tc>
          <w:tcPr>
            <w:tcW w:w="522" w:type="dxa"/>
          </w:tcPr>
          <w:p w14:paraId="24ACFF2A" w14:textId="72007FB5" w:rsidR="00122C3E" w:rsidRDefault="00122C3E" w:rsidP="007F29B7">
            <w:pPr>
              <w:jc w:val="both"/>
            </w:pPr>
            <w:r>
              <w:t>0</w:t>
            </w:r>
          </w:p>
        </w:tc>
        <w:tc>
          <w:tcPr>
            <w:tcW w:w="522" w:type="dxa"/>
          </w:tcPr>
          <w:p w14:paraId="1BC5A688" w14:textId="18304030" w:rsidR="00122C3E" w:rsidRDefault="00122C3E" w:rsidP="007F29B7">
            <w:pPr>
              <w:jc w:val="both"/>
            </w:pPr>
            <w:r>
              <w:t>0</w:t>
            </w:r>
          </w:p>
        </w:tc>
        <w:tc>
          <w:tcPr>
            <w:tcW w:w="522" w:type="dxa"/>
          </w:tcPr>
          <w:p w14:paraId="089272B2" w14:textId="0E1B279D" w:rsidR="00122C3E" w:rsidRDefault="00122C3E" w:rsidP="007F29B7">
            <w:pPr>
              <w:jc w:val="both"/>
            </w:pPr>
            <w:r>
              <w:t>0</w:t>
            </w:r>
          </w:p>
        </w:tc>
        <w:tc>
          <w:tcPr>
            <w:tcW w:w="522" w:type="dxa"/>
          </w:tcPr>
          <w:p w14:paraId="7546CE7C" w14:textId="42CB7206" w:rsidR="00122C3E" w:rsidRDefault="00122C3E" w:rsidP="007F29B7">
            <w:pPr>
              <w:jc w:val="both"/>
            </w:pPr>
            <w:r>
              <w:t>0</w:t>
            </w:r>
          </w:p>
        </w:tc>
        <w:tc>
          <w:tcPr>
            <w:tcW w:w="522" w:type="dxa"/>
          </w:tcPr>
          <w:p w14:paraId="386C5140" w14:textId="11E22EAB" w:rsidR="00122C3E" w:rsidRDefault="00122C3E" w:rsidP="007F29B7">
            <w:pPr>
              <w:jc w:val="both"/>
            </w:pPr>
            <w:r>
              <w:t>0</w:t>
            </w:r>
          </w:p>
        </w:tc>
        <w:tc>
          <w:tcPr>
            <w:tcW w:w="522" w:type="dxa"/>
          </w:tcPr>
          <w:p w14:paraId="2E75D4CD" w14:textId="0135E106" w:rsidR="00122C3E" w:rsidRDefault="00122C3E" w:rsidP="007F29B7">
            <w:pPr>
              <w:jc w:val="both"/>
            </w:pPr>
            <w:r>
              <w:t>0</w:t>
            </w:r>
          </w:p>
        </w:tc>
        <w:tc>
          <w:tcPr>
            <w:tcW w:w="522" w:type="dxa"/>
          </w:tcPr>
          <w:p w14:paraId="79717A0F" w14:textId="2D250B79" w:rsidR="00122C3E" w:rsidRDefault="00122C3E" w:rsidP="007F29B7">
            <w:pPr>
              <w:jc w:val="both"/>
            </w:pPr>
            <w:r>
              <w:t>0</w:t>
            </w:r>
          </w:p>
        </w:tc>
        <w:tc>
          <w:tcPr>
            <w:tcW w:w="523" w:type="dxa"/>
          </w:tcPr>
          <w:p w14:paraId="11649D7E" w14:textId="0B066246" w:rsidR="00122C3E" w:rsidRDefault="00122C3E" w:rsidP="007F29B7">
            <w:pPr>
              <w:jc w:val="both"/>
            </w:pPr>
            <w:r>
              <w:t>0</w:t>
            </w:r>
          </w:p>
        </w:tc>
        <w:tc>
          <w:tcPr>
            <w:tcW w:w="523" w:type="dxa"/>
          </w:tcPr>
          <w:p w14:paraId="5BFAB0FB" w14:textId="0EF4C8A9" w:rsidR="00122C3E" w:rsidRDefault="00122C3E" w:rsidP="007F29B7">
            <w:pPr>
              <w:jc w:val="both"/>
            </w:pPr>
            <w:r>
              <w:t>0</w:t>
            </w:r>
          </w:p>
        </w:tc>
        <w:tc>
          <w:tcPr>
            <w:tcW w:w="523" w:type="dxa"/>
          </w:tcPr>
          <w:p w14:paraId="3B646E97" w14:textId="5FC2C755" w:rsidR="00122C3E" w:rsidRDefault="00122C3E" w:rsidP="007F29B7">
            <w:pPr>
              <w:jc w:val="both"/>
            </w:pPr>
            <w:r>
              <w:t>0</w:t>
            </w:r>
          </w:p>
        </w:tc>
        <w:tc>
          <w:tcPr>
            <w:tcW w:w="523" w:type="dxa"/>
          </w:tcPr>
          <w:p w14:paraId="16F375CB" w14:textId="4E65F875" w:rsidR="00122C3E" w:rsidRDefault="00122C3E" w:rsidP="007F29B7">
            <w:pPr>
              <w:jc w:val="both"/>
            </w:pPr>
            <w:r>
              <w:t>0</w:t>
            </w:r>
          </w:p>
        </w:tc>
      </w:tr>
      <w:tr w:rsidR="00122C3E" w14:paraId="24EA7851" w14:textId="77777777" w:rsidTr="00122C3E">
        <w:tc>
          <w:tcPr>
            <w:tcW w:w="683" w:type="dxa"/>
          </w:tcPr>
          <w:p w14:paraId="6EAD9332" w14:textId="7A4C1FFE" w:rsidR="00122C3E" w:rsidRDefault="00122C3E" w:rsidP="007F29B7">
            <w:pPr>
              <w:jc w:val="both"/>
            </w:pPr>
            <w:r>
              <w:t>e</w:t>
            </w:r>
          </w:p>
        </w:tc>
        <w:tc>
          <w:tcPr>
            <w:tcW w:w="521" w:type="dxa"/>
          </w:tcPr>
          <w:p w14:paraId="13F4CCDE" w14:textId="6328663A" w:rsidR="00122C3E" w:rsidRDefault="00122C3E" w:rsidP="007F29B7">
            <w:pPr>
              <w:jc w:val="both"/>
            </w:pPr>
            <w:r>
              <w:t>0</w:t>
            </w:r>
          </w:p>
        </w:tc>
        <w:tc>
          <w:tcPr>
            <w:tcW w:w="522" w:type="dxa"/>
          </w:tcPr>
          <w:p w14:paraId="3164231C" w14:textId="1FE6A9FF" w:rsidR="00122C3E" w:rsidRDefault="00122C3E" w:rsidP="007F29B7">
            <w:pPr>
              <w:jc w:val="both"/>
            </w:pPr>
            <w:r>
              <w:t>0</w:t>
            </w:r>
          </w:p>
        </w:tc>
        <w:tc>
          <w:tcPr>
            <w:tcW w:w="522" w:type="dxa"/>
          </w:tcPr>
          <w:p w14:paraId="69A3C76E" w14:textId="6F1456D4" w:rsidR="00122C3E" w:rsidRDefault="00122C3E" w:rsidP="007F29B7">
            <w:pPr>
              <w:jc w:val="both"/>
            </w:pPr>
            <w:r>
              <w:t>0</w:t>
            </w:r>
          </w:p>
        </w:tc>
        <w:tc>
          <w:tcPr>
            <w:tcW w:w="522" w:type="dxa"/>
          </w:tcPr>
          <w:p w14:paraId="4B26B422" w14:textId="7A53EFE2" w:rsidR="00122C3E" w:rsidRDefault="00122C3E" w:rsidP="007F29B7">
            <w:pPr>
              <w:jc w:val="both"/>
            </w:pPr>
            <w:r>
              <w:t>0</w:t>
            </w:r>
          </w:p>
        </w:tc>
        <w:tc>
          <w:tcPr>
            <w:tcW w:w="522" w:type="dxa"/>
          </w:tcPr>
          <w:p w14:paraId="26D948C8" w14:textId="0126AE76" w:rsidR="00122C3E" w:rsidRDefault="00122C3E" w:rsidP="007F29B7">
            <w:pPr>
              <w:jc w:val="both"/>
            </w:pPr>
            <w:r>
              <w:t>0</w:t>
            </w:r>
          </w:p>
        </w:tc>
        <w:tc>
          <w:tcPr>
            <w:tcW w:w="522" w:type="dxa"/>
          </w:tcPr>
          <w:p w14:paraId="78C9DE9E" w14:textId="43FF93FF" w:rsidR="00122C3E" w:rsidRDefault="00122C3E" w:rsidP="007F29B7">
            <w:pPr>
              <w:jc w:val="both"/>
            </w:pPr>
            <w:r>
              <w:t>0</w:t>
            </w:r>
          </w:p>
        </w:tc>
        <w:tc>
          <w:tcPr>
            <w:tcW w:w="522" w:type="dxa"/>
          </w:tcPr>
          <w:p w14:paraId="736E5BEA" w14:textId="3EDD8125" w:rsidR="00122C3E" w:rsidRDefault="00122C3E" w:rsidP="007F29B7">
            <w:pPr>
              <w:jc w:val="both"/>
            </w:pPr>
            <w:r>
              <w:t>0</w:t>
            </w:r>
          </w:p>
        </w:tc>
        <w:tc>
          <w:tcPr>
            <w:tcW w:w="522" w:type="dxa"/>
          </w:tcPr>
          <w:p w14:paraId="6BC91E69" w14:textId="52B02FC6" w:rsidR="00122C3E" w:rsidRDefault="00122C3E" w:rsidP="007F29B7">
            <w:pPr>
              <w:jc w:val="both"/>
            </w:pPr>
            <w:r>
              <w:t>0</w:t>
            </w:r>
          </w:p>
        </w:tc>
        <w:tc>
          <w:tcPr>
            <w:tcW w:w="522" w:type="dxa"/>
          </w:tcPr>
          <w:p w14:paraId="1DA08C78" w14:textId="4C2595C5" w:rsidR="00122C3E" w:rsidRDefault="00122C3E" w:rsidP="007F29B7">
            <w:pPr>
              <w:jc w:val="both"/>
            </w:pPr>
            <w:r>
              <w:t>0</w:t>
            </w:r>
          </w:p>
        </w:tc>
        <w:tc>
          <w:tcPr>
            <w:tcW w:w="522" w:type="dxa"/>
          </w:tcPr>
          <w:p w14:paraId="3339A7D8" w14:textId="58EF9469" w:rsidR="00122C3E" w:rsidRDefault="00122C3E" w:rsidP="007F29B7">
            <w:pPr>
              <w:jc w:val="both"/>
            </w:pPr>
            <w:r>
              <w:t>0</w:t>
            </w:r>
          </w:p>
        </w:tc>
        <w:tc>
          <w:tcPr>
            <w:tcW w:w="522" w:type="dxa"/>
          </w:tcPr>
          <w:p w14:paraId="45E8D18D" w14:textId="6F3839A2" w:rsidR="00122C3E" w:rsidRDefault="00952DE7" w:rsidP="007F29B7">
            <w:pPr>
              <w:jc w:val="both"/>
            </w:pPr>
            <w:r>
              <w:t>e</w:t>
            </w:r>
          </w:p>
        </w:tc>
        <w:tc>
          <w:tcPr>
            <w:tcW w:w="523" w:type="dxa"/>
          </w:tcPr>
          <w:p w14:paraId="0FBBDE06" w14:textId="54B59756" w:rsidR="00122C3E" w:rsidRDefault="00122C3E" w:rsidP="007F29B7">
            <w:pPr>
              <w:jc w:val="both"/>
            </w:pPr>
            <w:r>
              <w:t>0</w:t>
            </w:r>
          </w:p>
        </w:tc>
        <w:tc>
          <w:tcPr>
            <w:tcW w:w="523" w:type="dxa"/>
          </w:tcPr>
          <w:p w14:paraId="354150D1" w14:textId="557BA3C5" w:rsidR="00122C3E" w:rsidRDefault="00122C3E" w:rsidP="007F29B7">
            <w:pPr>
              <w:jc w:val="both"/>
            </w:pPr>
            <w:r>
              <w:t>0</w:t>
            </w:r>
          </w:p>
        </w:tc>
        <w:tc>
          <w:tcPr>
            <w:tcW w:w="523" w:type="dxa"/>
          </w:tcPr>
          <w:p w14:paraId="25C62417" w14:textId="03469B21" w:rsidR="00122C3E" w:rsidRDefault="00122C3E" w:rsidP="007F29B7">
            <w:pPr>
              <w:jc w:val="both"/>
            </w:pPr>
            <w:r>
              <w:t>0</w:t>
            </w:r>
          </w:p>
        </w:tc>
        <w:tc>
          <w:tcPr>
            <w:tcW w:w="523" w:type="dxa"/>
          </w:tcPr>
          <w:p w14:paraId="3D6348BE" w14:textId="46B9FD4E" w:rsidR="00122C3E" w:rsidRDefault="00122C3E" w:rsidP="007F29B7">
            <w:pPr>
              <w:jc w:val="both"/>
            </w:pPr>
            <w:r>
              <w:t>0</w:t>
            </w:r>
          </w:p>
        </w:tc>
      </w:tr>
      <w:tr w:rsidR="00122C3E" w14:paraId="7A5412A0" w14:textId="77777777" w:rsidTr="00122C3E">
        <w:tc>
          <w:tcPr>
            <w:tcW w:w="683" w:type="dxa"/>
          </w:tcPr>
          <w:p w14:paraId="5216865A" w14:textId="55743BF3" w:rsidR="00122C3E" w:rsidRDefault="00122C3E" w:rsidP="007F29B7">
            <w:pPr>
              <w:jc w:val="both"/>
            </w:pPr>
            <w:r>
              <w:t>g</w:t>
            </w:r>
          </w:p>
        </w:tc>
        <w:tc>
          <w:tcPr>
            <w:tcW w:w="521" w:type="dxa"/>
          </w:tcPr>
          <w:p w14:paraId="452D1D1C" w14:textId="1A93B062" w:rsidR="00122C3E" w:rsidRDefault="00122C3E" w:rsidP="007F29B7">
            <w:pPr>
              <w:jc w:val="both"/>
            </w:pPr>
            <w:r>
              <w:t>0</w:t>
            </w:r>
          </w:p>
        </w:tc>
        <w:tc>
          <w:tcPr>
            <w:tcW w:w="522" w:type="dxa"/>
          </w:tcPr>
          <w:p w14:paraId="6EC2A305" w14:textId="2EE27073" w:rsidR="00122C3E" w:rsidRDefault="00122C3E" w:rsidP="007F29B7">
            <w:pPr>
              <w:jc w:val="both"/>
            </w:pPr>
            <w:r>
              <w:t>0</w:t>
            </w:r>
          </w:p>
        </w:tc>
        <w:tc>
          <w:tcPr>
            <w:tcW w:w="522" w:type="dxa"/>
          </w:tcPr>
          <w:p w14:paraId="3BF4ED94" w14:textId="34A248A1" w:rsidR="00122C3E" w:rsidRDefault="00122C3E" w:rsidP="007F29B7">
            <w:pPr>
              <w:jc w:val="both"/>
            </w:pPr>
            <w:r>
              <w:t>1</w:t>
            </w:r>
          </w:p>
        </w:tc>
        <w:tc>
          <w:tcPr>
            <w:tcW w:w="522" w:type="dxa"/>
          </w:tcPr>
          <w:p w14:paraId="3E4B1CDC" w14:textId="789BB0B7" w:rsidR="00122C3E" w:rsidRDefault="00122C3E" w:rsidP="007F29B7">
            <w:pPr>
              <w:jc w:val="both"/>
            </w:pPr>
            <w:r>
              <w:t>0</w:t>
            </w:r>
          </w:p>
        </w:tc>
        <w:tc>
          <w:tcPr>
            <w:tcW w:w="522" w:type="dxa"/>
          </w:tcPr>
          <w:p w14:paraId="629EF272" w14:textId="07D74A7B" w:rsidR="00122C3E" w:rsidRDefault="00122C3E" w:rsidP="007F29B7">
            <w:pPr>
              <w:jc w:val="both"/>
            </w:pPr>
            <w:r>
              <w:t>0</w:t>
            </w:r>
          </w:p>
        </w:tc>
        <w:tc>
          <w:tcPr>
            <w:tcW w:w="522" w:type="dxa"/>
          </w:tcPr>
          <w:p w14:paraId="06C7E70B" w14:textId="06E54A0E" w:rsidR="00122C3E" w:rsidRDefault="00122C3E" w:rsidP="007F29B7">
            <w:pPr>
              <w:jc w:val="both"/>
            </w:pPr>
            <w:r>
              <w:t>1</w:t>
            </w:r>
          </w:p>
        </w:tc>
        <w:tc>
          <w:tcPr>
            <w:tcW w:w="522" w:type="dxa"/>
          </w:tcPr>
          <w:p w14:paraId="3DF74C7D" w14:textId="621401D8" w:rsidR="00122C3E" w:rsidRDefault="00122C3E" w:rsidP="007F29B7">
            <w:pPr>
              <w:jc w:val="both"/>
            </w:pPr>
            <w:r>
              <w:t>0</w:t>
            </w:r>
          </w:p>
        </w:tc>
        <w:tc>
          <w:tcPr>
            <w:tcW w:w="522" w:type="dxa"/>
          </w:tcPr>
          <w:p w14:paraId="533E39CA" w14:textId="3497A1BF" w:rsidR="00122C3E" w:rsidRDefault="00122C3E" w:rsidP="007F29B7">
            <w:pPr>
              <w:jc w:val="both"/>
            </w:pPr>
            <w:r>
              <w:t>0</w:t>
            </w:r>
          </w:p>
        </w:tc>
        <w:tc>
          <w:tcPr>
            <w:tcW w:w="522" w:type="dxa"/>
          </w:tcPr>
          <w:p w14:paraId="153BE72E" w14:textId="3824F3E7" w:rsidR="00122C3E" w:rsidRDefault="00122C3E" w:rsidP="007F29B7">
            <w:pPr>
              <w:jc w:val="both"/>
            </w:pPr>
            <w:r>
              <w:t>0</w:t>
            </w:r>
          </w:p>
        </w:tc>
        <w:tc>
          <w:tcPr>
            <w:tcW w:w="522" w:type="dxa"/>
          </w:tcPr>
          <w:p w14:paraId="36209FA9" w14:textId="7CADC4BF" w:rsidR="00122C3E" w:rsidRDefault="00122C3E" w:rsidP="007F29B7">
            <w:pPr>
              <w:jc w:val="both"/>
            </w:pPr>
            <w:r>
              <w:t>0</w:t>
            </w:r>
          </w:p>
        </w:tc>
        <w:tc>
          <w:tcPr>
            <w:tcW w:w="522" w:type="dxa"/>
          </w:tcPr>
          <w:p w14:paraId="1C99E8F8" w14:textId="3161DFCE" w:rsidR="00122C3E" w:rsidRDefault="00122C3E" w:rsidP="007F29B7">
            <w:pPr>
              <w:jc w:val="both"/>
            </w:pPr>
            <w:r>
              <w:t>0</w:t>
            </w:r>
          </w:p>
        </w:tc>
        <w:tc>
          <w:tcPr>
            <w:tcW w:w="523" w:type="dxa"/>
          </w:tcPr>
          <w:p w14:paraId="578B2C03" w14:textId="12D3A49A" w:rsidR="00122C3E" w:rsidRDefault="00122C3E" w:rsidP="007F29B7">
            <w:pPr>
              <w:jc w:val="both"/>
            </w:pPr>
            <w:r>
              <w:t>0</w:t>
            </w:r>
          </w:p>
        </w:tc>
        <w:tc>
          <w:tcPr>
            <w:tcW w:w="523" w:type="dxa"/>
          </w:tcPr>
          <w:p w14:paraId="11245898" w14:textId="5C5E555A" w:rsidR="00122C3E" w:rsidRDefault="00122C3E" w:rsidP="007F29B7">
            <w:pPr>
              <w:jc w:val="both"/>
            </w:pPr>
            <w:r>
              <w:t>0</w:t>
            </w:r>
          </w:p>
        </w:tc>
        <w:tc>
          <w:tcPr>
            <w:tcW w:w="523" w:type="dxa"/>
          </w:tcPr>
          <w:p w14:paraId="3A67691B" w14:textId="29FD3A62" w:rsidR="00122C3E" w:rsidRDefault="00122C3E" w:rsidP="007F29B7">
            <w:pPr>
              <w:jc w:val="both"/>
            </w:pPr>
            <w:r>
              <w:t>0</w:t>
            </w:r>
          </w:p>
        </w:tc>
        <w:tc>
          <w:tcPr>
            <w:tcW w:w="523" w:type="dxa"/>
          </w:tcPr>
          <w:p w14:paraId="2C37F8E4" w14:textId="72B58F86" w:rsidR="00122C3E" w:rsidRDefault="00122C3E" w:rsidP="007F29B7">
            <w:pPr>
              <w:jc w:val="both"/>
            </w:pPr>
            <w:r>
              <w:t>0</w:t>
            </w:r>
          </w:p>
        </w:tc>
      </w:tr>
      <w:tr w:rsidR="00122C3E" w14:paraId="04F2F1AE" w14:textId="77777777" w:rsidTr="00122C3E">
        <w:tc>
          <w:tcPr>
            <w:tcW w:w="683" w:type="dxa"/>
          </w:tcPr>
          <w:p w14:paraId="065B6F20" w14:textId="672CA9AC" w:rsidR="00122C3E" w:rsidRDefault="00122C3E" w:rsidP="007F29B7">
            <w:pPr>
              <w:jc w:val="both"/>
            </w:pPr>
            <w:r>
              <w:t>h</w:t>
            </w:r>
          </w:p>
        </w:tc>
        <w:tc>
          <w:tcPr>
            <w:tcW w:w="521" w:type="dxa"/>
          </w:tcPr>
          <w:p w14:paraId="7CC2E0C9" w14:textId="513A9AB2" w:rsidR="00122C3E" w:rsidRDefault="00122C3E" w:rsidP="007F29B7">
            <w:pPr>
              <w:jc w:val="both"/>
            </w:pPr>
            <w:r>
              <w:t>0</w:t>
            </w:r>
          </w:p>
        </w:tc>
        <w:tc>
          <w:tcPr>
            <w:tcW w:w="522" w:type="dxa"/>
          </w:tcPr>
          <w:p w14:paraId="5B3667C5" w14:textId="504D8517" w:rsidR="00122C3E" w:rsidRDefault="00122C3E" w:rsidP="007F29B7">
            <w:pPr>
              <w:jc w:val="both"/>
            </w:pPr>
            <w:r>
              <w:t>0</w:t>
            </w:r>
          </w:p>
        </w:tc>
        <w:tc>
          <w:tcPr>
            <w:tcW w:w="522" w:type="dxa"/>
          </w:tcPr>
          <w:p w14:paraId="5137C802" w14:textId="48F7A8CF" w:rsidR="00122C3E" w:rsidRDefault="00122C3E" w:rsidP="007F29B7">
            <w:pPr>
              <w:jc w:val="both"/>
            </w:pPr>
            <w:r>
              <w:t>0</w:t>
            </w:r>
          </w:p>
        </w:tc>
        <w:tc>
          <w:tcPr>
            <w:tcW w:w="522" w:type="dxa"/>
          </w:tcPr>
          <w:p w14:paraId="6400CD97" w14:textId="6013E4CA" w:rsidR="00122C3E" w:rsidRDefault="00122C3E" w:rsidP="007F29B7">
            <w:pPr>
              <w:jc w:val="both"/>
            </w:pPr>
            <w:r>
              <w:t>0</w:t>
            </w:r>
          </w:p>
        </w:tc>
        <w:tc>
          <w:tcPr>
            <w:tcW w:w="522" w:type="dxa"/>
          </w:tcPr>
          <w:p w14:paraId="0DDC0408" w14:textId="763D002E" w:rsidR="00122C3E" w:rsidRDefault="00122C3E" w:rsidP="007F29B7">
            <w:pPr>
              <w:jc w:val="both"/>
            </w:pPr>
            <w:r>
              <w:t>0</w:t>
            </w:r>
          </w:p>
        </w:tc>
        <w:tc>
          <w:tcPr>
            <w:tcW w:w="522" w:type="dxa"/>
          </w:tcPr>
          <w:p w14:paraId="4C936924" w14:textId="1D3CED02" w:rsidR="00122C3E" w:rsidRDefault="00122C3E" w:rsidP="007F29B7">
            <w:pPr>
              <w:jc w:val="both"/>
            </w:pPr>
            <w:r>
              <w:t>0</w:t>
            </w:r>
          </w:p>
        </w:tc>
        <w:tc>
          <w:tcPr>
            <w:tcW w:w="522" w:type="dxa"/>
          </w:tcPr>
          <w:p w14:paraId="4E3579CC" w14:textId="042711AF" w:rsidR="00122C3E" w:rsidRDefault="00122C3E" w:rsidP="007F29B7">
            <w:pPr>
              <w:jc w:val="both"/>
            </w:pPr>
            <w:r>
              <w:t>1</w:t>
            </w:r>
          </w:p>
        </w:tc>
        <w:tc>
          <w:tcPr>
            <w:tcW w:w="522" w:type="dxa"/>
          </w:tcPr>
          <w:p w14:paraId="748E5A47" w14:textId="21F296AA" w:rsidR="00122C3E" w:rsidRDefault="00122C3E" w:rsidP="007F29B7">
            <w:pPr>
              <w:jc w:val="both"/>
            </w:pPr>
            <w:r>
              <w:t>0</w:t>
            </w:r>
          </w:p>
        </w:tc>
        <w:tc>
          <w:tcPr>
            <w:tcW w:w="522" w:type="dxa"/>
          </w:tcPr>
          <w:p w14:paraId="142A4776" w14:textId="728AC3F5" w:rsidR="00122C3E" w:rsidRDefault="00122C3E" w:rsidP="007F29B7">
            <w:pPr>
              <w:jc w:val="both"/>
            </w:pPr>
            <w:r>
              <w:t>0</w:t>
            </w:r>
          </w:p>
        </w:tc>
        <w:tc>
          <w:tcPr>
            <w:tcW w:w="522" w:type="dxa"/>
          </w:tcPr>
          <w:p w14:paraId="35044279" w14:textId="508C83CA" w:rsidR="00122C3E" w:rsidRDefault="00122C3E" w:rsidP="007F29B7">
            <w:pPr>
              <w:jc w:val="both"/>
            </w:pPr>
            <w:r>
              <w:t>0</w:t>
            </w:r>
          </w:p>
        </w:tc>
        <w:tc>
          <w:tcPr>
            <w:tcW w:w="522" w:type="dxa"/>
          </w:tcPr>
          <w:p w14:paraId="7F76F62B" w14:textId="39A8CAE7" w:rsidR="00122C3E" w:rsidRDefault="00122C3E" w:rsidP="007F29B7">
            <w:pPr>
              <w:jc w:val="both"/>
            </w:pPr>
            <w:r>
              <w:t>0</w:t>
            </w:r>
          </w:p>
        </w:tc>
        <w:tc>
          <w:tcPr>
            <w:tcW w:w="523" w:type="dxa"/>
          </w:tcPr>
          <w:p w14:paraId="11CEC423" w14:textId="1B7CD6B0" w:rsidR="00122C3E" w:rsidRDefault="00122C3E" w:rsidP="007F29B7">
            <w:pPr>
              <w:jc w:val="both"/>
            </w:pPr>
            <w:r>
              <w:t>0</w:t>
            </w:r>
          </w:p>
        </w:tc>
        <w:tc>
          <w:tcPr>
            <w:tcW w:w="523" w:type="dxa"/>
          </w:tcPr>
          <w:p w14:paraId="44473793" w14:textId="1F44DE74" w:rsidR="00122C3E" w:rsidRDefault="00122C3E" w:rsidP="007F29B7">
            <w:pPr>
              <w:jc w:val="both"/>
            </w:pPr>
            <w:r>
              <w:t>0</w:t>
            </w:r>
          </w:p>
        </w:tc>
        <w:tc>
          <w:tcPr>
            <w:tcW w:w="523" w:type="dxa"/>
          </w:tcPr>
          <w:p w14:paraId="7B2BD977" w14:textId="3016CAAE" w:rsidR="00122C3E" w:rsidRDefault="00122C3E" w:rsidP="007F29B7">
            <w:pPr>
              <w:jc w:val="both"/>
            </w:pPr>
            <w:r>
              <w:t>0</w:t>
            </w:r>
          </w:p>
        </w:tc>
        <w:tc>
          <w:tcPr>
            <w:tcW w:w="523" w:type="dxa"/>
          </w:tcPr>
          <w:p w14:paraId="5C42ACFB" w14:textId="756A3413" w:rsidR="00122C3E" w:rsidRDefault="00122C3E" w:rsidP="007F29B7">
            <w:pPr>
              <w:jc w:val="both"/>
            </w:pPr>
            <w:r>
              <w:t>0</w:t>
            </w:r>
          </w:p>
        </w:tc>
      </w:tr>
      <w:tr w:rsidR="00122C3E" w14:paraId="05EA1CCA" w14:textId="77777777" w:rsidTr="00122C3E">
        <w:tc>
          <w:tcPr>
            <w:tcW w:w="683" w:type="dxa"/>
          </w:tcPr>
          <w:p w14:paraId="772E412D" w14:textId="377627DE" w:rsidR="00122C3E" w:rsidRDefault="00122C3E" w:rsidP="007F29B7">
            <w:pPr>
              <w:jc w:val="both"/>
            </w:pPr>
            <w:r>
              <w:t>i</w:t>
            </w:r>
          </w:p>
        </w:tc>
        <w:tc>
          <w:tcPr>
            <w:tcW w:w="521" w:type="dxa"/>
          </w:tcPr>
          <w:p w14:paraId="4487588E" w14:textId="61753A20" w:rsidR="00122C3E" w:rsidRDefault="00122C3E" w:rsidP="007F29B7">
            <w:pPr>
              <w:jc w:val="both"/>
            </w:pPr>
            <w:r>
              <w:t>0</w:t>
            </w:r>
          </w:p>
        </w:tc>
        <w:tc>
          <w:tcPr>
            <w:tcW w:w="522" w:type="dxa"/>
          </w:tcPr>
          <w:p w14:paraId="175D0725" w14:textId="6943C7A5" w:rsidR="00122C3E" w:rsidRDefault="00122C3E" w:rsidP="007F29B7">
            <w:pPr>
              <w:jc w:val="both"/>
            </w:pPr>
            <w:r>
              <w:t>0</w:t>
            </w:r>
          </w:p>
        </w:tc>
        <w:tc>
          <w:tcPr>
            <w:tcW w:w="522" w:type="dxa"/>
          </w:tcPr>
          <w:p w14:paraId="66E7DBD3" w14:textId="684F05F7" w:rsidR="00122C3E" w:rsidRDefault="00122C3E" w:rsidP="007F29B7">
            <w:pPr>
              <w:jc w:val="both"/>
            </w:pPr>
            <w:r>
              <w:t>0</w:t>
            </w:r>
          </w:p>
        </w:tc>
        <w:tc>
          <w:tcPr>
            <w:tcW w:w="522" w:type="dxa"/>
          </w:tcPr>
          <w:p w14:paraId="67E90F22" w14:textId="4E22CE9A" w:rsidR="00122C3E" w:rsidRDefault="00122C3E" w:rsidP="007F29B7">
            <w:pPr>
              <w:jc w:val="both"/>
            </w:pPr>
            <w:r>
              <w:t>1</w:t>
            </w:r>
          </w:p>
        </w:tc>
        <w:tc>
          <w:tcPr>
            <w:tcW w:w="522" w:type="dxa"/>
          </w:tcPr>
          <w:p w14:paraId="72F67140" w14:textId="5F4D74B8" w:rsidR="00122C3E" w:rsidRDefault="00122C3E" w:rsidP="007F29B7">
            <w:pPr>
              <w:jc w:val="both"/>
            </w:pPr>
            <w:r>
              <w:t>0</w:t>
            </w:r>
          </w:p>
        </w:tc>
        <w:tc>
          <w:tcPr>
            <w:tcW w:w="522" w:type="dxa"/>
          </w:tcPr>
          <w:p w14:paraId="7363A5A6" w14:textId="3983AF8E" w:rsidR="00122C3E" w:rsidRDefault="00122C3E" w:rsidP="007F29B7">
            <w:pPr>
              <w:jc w:val="both"/>
            </w:pPr>
            <w:r>
              <w:t>0</w:t>
            </w:r>
          </w:p>
        </w:tc>
        <w:tc>
          <w:tcPr>
            <w:tcW w:w="522" w:type="dxa"/>
          </w:tcPr>
          <w:p w14:paraId="50D6C5D1" w14:textId="0BF2A5F8" w:rsidR="00122C3E" w:rsidRDefault="00122C3E" w:rsidP="007F29B7">
            <w:pPr>
              <w:jc w:val="both"/>
            </w:pPr>
            <w:r>
              <w:t>0</w:t>
            </w:r>
          </w:p>
        </w:tc>
        <w:tc>
          <w:tcPr>
            <w:tcW w:w="522" w:type="dxa"/>
          </w:tcPr>
          <w:p w14:paraId="5A6FCE26" w14:textId="0B454709" w:rsidR="00122C3E" w:rsidRDefault="00122C3E" w:rsidP="007F29B7">
            <w:pPr>
              <w:jc w:val="both"/>
            </w:pPr>
            <w:r>
              <w:t>1</w:t>
            </w:r>
          </w:p>
        </w:tc>
        <w:tc>
          <w:tcPr>
            <w:tcW w:w="522" w:type="dxa"/>
          </w:tcPr>
          <w:p w14:paraId="0E445EE0" w14:textId="01D5DA90" w:rsidR="00122C3E" w:rsidRDefault="00122C3E" w:rsidP="007F29B7">
            <w:pPr>
              <w:jc w:val="both"/>
            </w:pPr>
            <w:r>
              <w:t>0</w:t>
            </w:r>
          </w:p>
        </w:tc>
        <w:tc>
          <w:tcPr>
            <w:tcW w:w="522" w:type="dxa"/>
          </w:tcPr>
          <w:p w14:paraId="6FF86D65" w14:textId="042E7299" w:rsidR="00122C3E" w:rsidRDefault="00122C3E" w:rsidP="007F29B7">
            <w:pPr>
              <w:jc w:val="both"/>
            </w:pPr>
            <w:r>
              <w:t>0</w:t>
            </w:r>
          </w:p>
        </w:tc>
        <w:tc>
          <w:tcPr>
            <w:tcW w:w="522" w:type="dxa"/>
          </w:tcPr>
          <w:p w14:paraId="2889BA79" w14:textId="04EF187A" w:rsidR="00122C3E" w:rsidRDefault="00122C3E" w:rsidP="007F29B7">
            <w:pPr>
              <w:jc w:val="both"/>
            </w:pPr>
            <w:r>
              <w:t>0</w:t>
            </w:r>
          </w:p>
        </w:tc>
        <w:tc>
          <w:tcPr>
            <w:tcW w:w="523" w:type="dxa"/>
          </w:tcPr>
          <w:p w14:paraId="46C37452" w14:textId="638AAFF7" w:rsidR="00122C3E" w:rsidRDefault="00122C3E" w:rsidP="007F29B7">
            <w:pPr>
              <w:jc w:val="both"/>
            </w:pPr>
            <w:r>
              <w:t>0</w:t>
            </w:r>
          </w:p>
        </w:tc>
        <w:tc>
          <w:tcPr>
            <w:tcW w:w="523" w:type="dxa"/>
          </w:tcPr>
          <w:p w14:paraId="535248C0" w14:textId="5A8D7564" w:rsidR="00122C3E" w:rsidRDefault="00122C3E" w:rsidP="007F29B7">
            <w:pPr>
              <w:jc w:val="both"/>
            </w:pPr>
            <w:r>
              <w:t>0</w:t>
            </w:r>
          </w:p>
        </w:tc>
        <w:tc>
          <w:tcPr>
            <w:tcW w:w="523" w:type="dxa"/>
          </w:tcPr>
          <w:p w14:paraId="16BDDB39" w14:textId="7FDD6E64" w:rsidR="00122C3E" w:rsidRDefault="00122C3E" w:rsidP="007F29B7">
            <w:pPr>
              <w:jc w:val="both"/>
            </w:pPr>
            <w:r>
              <w:t>0</w:t>
            </w:r>
          </w:p>
        </w:tc>
        <w:tc>
          <w:tcPr>
            <w:tcW w:w="523" w:type="dxa"/>
          </w:tcPr>
          <w:p w14:paraId="0C8FDBA6" w14:textId="6CE0F633" w:rsidR="00122C3E" w:rsidRDefault="00122C3E" w:rsidP="007F29B7">
            <w:pPr>
              <w:jc w:val="both"/>
            </w:pPr>
            <w:r>
              <w:t>0</w:t>
            </w:r>
          </w:p>
        </w:tc>
      </w:tr>
      <w:tr w:rsidR="00122C3E" w14:paraId="27B970BE" w14:textId="77777777" w:rsidTr="00122C3E">
        <w:tc>
          <w:tcPr>
            <w:tcW w:w="683" w:type="dxa"/>
          </w:tcPr>
          <w:p w14:paraId="015F2EAE" w14:textId="4AE43734" w:rsidR="00122C3E" w:rsidRDefault="00122C3E" w:rsidP="007F29B7">
            <w:pPr>
              <w:jc w:val="both"/>
            </w:pPr>
            <w:r>
              <w:t>n</w:t>
            </w:r>
          </w:p>
        </w:tc>
        <w:tc>
          <w:tcPr>
            <w:tcW w:w="521" w:type="dxa"/>
          </w:tcPr>
          <w:p w14:paraId="3B8E6CA7" w14:textId="1B077B88" w:rsidR="00122C3E" w:rsidRDefault="00122C3E" w:rsidP="007F29B7">
            <w:pPr>
              <w:jc w:val="both"/>
            </w:pPr>
            <w:r>
              <w:t>0</w:t>
            </w:r>
          </w:p>
        </w:tc>
        <w:tc>
          <w:tcPr>
            <w:tcW w:w="522" w:type="dxa"/>
          </w:tcPr>
          <w:p w14:paraId="61EB1949" w14:textId="091AD678" w:rsidR="00122C3E" w:rsidRDefault="00122C3E" w:rsidP="007F29B7">
            <w:pPr>
              <w:jc w:val="both"/>
            </w:pPr>
            <w:r>
              <w:t>0</w:t>
            </w:r>
          </w:p>
        </w:tc>
        <w:tc>
          <w:tcPr>
            <w:tcW w:w="522" w:type="dxa"/>
          </w:tcPr>
          <w:p w14:paraId="1335E9ED" w14:textId="65A266B3" w:rsidR="00122C3E" w:rsidRDefault="00122C3E" w:rsidP="007F29B7">
            <w:pPr>
              <w:jc w:val="both"/>
            </w:pPr>
            <w:r>
              <w:t>0</w:t>
            </w:r>
          </w:p>
        </w:tc>
        <w:tc>
          <w:tcPr>
            <w:tcW w:w="522" w:type="dxa"/>
          </w:tcPr>
          <w:p w14:paraId="165BEBDD" w14:textId="224AC835" w:rsidR="00122C3E" w:rsidRDefault="00122C3E" w:rsidP="007F29B7">
            <w:pPr>
              <w:jc w:val="both"/>
            </w:pPr>
            <w:r>
              <w:t>0</w:t>
            </w:r>
          </w:p>
        </w:tc>
        <w:tc>
          <w:tcPr>
            <w:tcW w:w="522" w:type="dxa"/>
          </w:tcPr>
          <w:p w14:paraId="5F742AB1" w14:textId="0B8A73C7" w:rsidR="00122C3E" w:rsidRDefault="00122C3E" w:rsidP="007F29B7">
            <w:pPr>
              <w:jc w:val="both"/>
            </w:pPr>
            <w:r>
              <w:t>1</w:t>
            </w:r>
          </w:p>
        </w:tc>
        <w:tc>
          <w:tcPr>
            <w:tcW w:w="522" w:type="dxa"/>
          </w:tcPr>
          <w:p w14:paraId="0696A4FE" w14:textId="5D0ECBB7" w:rsidR="00122C3E" w:rsidRDefault="00122C3E" w:rsidP="007F29B7">
            <w:pPr>
              <w:jc w:val="both"/>
            </w:pPr>
            <w:r>
              <w:t>0</w:t>
            </w:r>
          </w:p>
        </w:tc>
        <w:tc>
          <w:tcPr>
            <w:tcW w:w="522" w:type="dxa"/>
          </w:tcPr>
          <w:p w14:paraId="5C444BD6" w14:textId="1BAA1608" w:rsidR="00122C3E" w:rsidRDefault="00122C3E" w:rsidP="007F29B7">
            <w:pPr>
              <w:jc w:val="both"/>
            </w:pPr>
            <w:r>
              <w:t>0</w:t>
            </w:r>
          </w:p>
        </w:tc>
        <w:tc>
          <w:tcPr>
            <w:tcW w:w="522" w:type="dxa"/>
          </w:tcPr>
          <w:p w14:paraId="431E26FC" w14:textId="671BEF9F" w:rsidR="00122C3E" w:rsidRDefault="00122C3E" w:rsidP="007F29B7">
            <w:pPr>
              <w:jc w:val="both"/>
            </w:pPr>
            <w:r>
              <w:t>0</w:t>
            </w:r>
          </w:p>
        </w:tc>
        <w:tc>
          <w:tcPr>
            <w:tcW w:w="522" w:type="dxa"/>
          </w:tcPr>
          <w:p w14:paraId="76CA6E01" w14:textId="0039E544" w:rsidR="00122C3E" w:rsidRDefault="00122C3E" w:rsidP="007F29B7">
            <w:pPr>
              <w:jc w:val="both"/>
            </w:pPr>
            <w:r>
              <w:t>1</w:t>
            </w:r>
          </w:p>
        </w:tc>
        <w:tc>
          <w:tcPr>
            <w:tcW w:w="522" w:type="dxa"/>
          </w:tcPr>
          <w:p w14:paraId="4EEB221C" w14:textId="1D6966E8" w:rsidR="00122C3E" w:rsidRDefault="00122C3E" w:rsidP="007F29B7">
            <w:pPr>
              <w:jc w:val="both"/>
            </w:pPr>
            <w:r>
              <w:t>1</w:t>
            </w:r>
          </w:p>
        </w:tc>
        <w:tc>
          <w:tcPr>
            <w:tcW w:w="522" w:type="dxa"/>
          </w:tcPr>
          <w:p w14:paraId="2D886EDB" w14:textId="67A23FED" w:rsidR="00122C3E" w:rsidRDefault="00122C3E" w:rsidP="007F29B7">
            <w:pPr>
              <w:jc w:val="both"/>
            </w:pPr>
            <w:r>
              <w:t>0</w:t>
            </w:r>
          </w:p>
        </w:tc>
        <w:tc>
          <w:tcPr>
            <w:tcW w:w="523" w:type="dxa"/>
          </w:tcPr>
          <w:p w14:paraId="66118380" w14:textId="567B620E" w:rsidR="00122C3E" w:rsidRDefault="00122C3E" w:rsidP="007F29B7">
            <w:pPr>
              <w:jc w:val="both"/>
            </w:pPr>
            <w:r>
              <w:t>0</w:t>
            </w:r>
          </w:p>
        </w:tc>
        <w:tc>
          <w:tcPr>
            <w:tcW w:w="523" w:type="dxa"/>
          </w:tcPr>
          <w:p w14:paraId="48EEAB54" w14:textId="566D8FB2" w:rsidR="00122C3E" w:rsidRDefault="00122C3E" w:rsidP="007F29B7">
            <w:pPr>
              <w:jc w:val="both"/>
            </w:pPr>
            <w:r>
              <w:t>0</w:t>
            </w:r>
          </w:p>
        </w:tc>
        <w:tc>
          <w:tcPr>
            <w:tcW w:w="523" w:type="dxa"/>
          </w:tcPr>
          <w:p w14:paraId="072F8997" w14:textId="442E8CFC" w:rsidR="00122C3E" w:rsidRDefault="00122C3E" w:rsidP="007F29B7">
            <w:pPr>
              <w:jc w:val="both"/>
            </w:pPr>
            <w:r>
              <w:t>0</w:t>
            </w:r>
          </w:p>
        </w:tc>
        <w:tc>
          <w:tcPr>
            <w:tcW w:w="523" w:type="dxa"/>
          </w:tcPr>
          <w:p w14:paraId="45BE11B0" w14:textId="48E379E9" w:rsidR="00122C3E" w:rsidRDefault="00122C3E" w:rsidP="007F29B7">
            <w:pPr>
              <w:jc w:val="both"/>
            </w:pPr>
            <w:r>
              <w:t>0</w:t>
            </w:r>
          </w:p>
        </w:tc>
      </w:tr>
      <w:tr w:rsidR="00122C3E" w14:paraId="1F16FD00" w14:textId="77777777" w:rsidTr="00122C3E">
        <w:tc>
          <w:tcPr>
            <w:tcW w:w="683" w:type="dxa"/>
          </w:tcPr>
          <w:p w14:paraId="102700C5" w14:textId="3026B1A4" w:rsidR="00122C3E" w:rsidRDefault="00122C3E" w:rsidP="007F29B7">
            <w:pPr>
              <w:jc w:val="both"/>
            </w:pPr>
            <w:r>
              <w:t>o</w:t>
            </w:r>
          </w:p>
        </w:tc>
        <w:tc>
          <w:tcPr>
            <w:tcW w:w="521" w:type="dxa"/>
          </w:tcPr>
          <w:p w14:paraId="43552D94" w14:textId="042DDE02" w:rsidR="00122C3E" w:rsidRDefault="00122C3E" w:rsidP="007F29B7">
            <w:pPr>
              <w:jc w:val="both"/>
            </w:pPr>
            <w:r>
              <w:t>0</w:t>
            </w:r>
          </w:p>
        </w:tc>
        <w:tc>
          <w:tcPr>
            <w:tcW w:w="522" w:type="dxa"/>
          </w:tcPr>
          <w:p w14:paraId="35C26075" w14:textId="2FDF4479" w:rsidR="00122C3E" w:rsidRDefault="00122C3E" w:rsidP="007F29B7">
            <w:pPr>
              <w:jc w:val="both"/>
            </w:pPr>
            <w:r>
              <w:t>1</w:t>
            </w:r>
          </w:p>
        </w:tc>
        <w:tc>
          <w:tcPr>
            <w:tcW w:w="522" w:type="dxa"/>
          </w:tcPr>
          <w:p w14:paraId="7CFB2C3C" w14:textId="20FF49DD" w:rsidR="00122C3E" w:rsidRDefault="00122C3E" w:rsidP="007F29B7">
            <w:pPr>
              <w:jc w:val="both"/>
            </w:pPr>
            <w:r>
              <w:t>0</w:t>
            </w:r>
          </w:p>
        </w:tc>
        <w:tc>
          <w:tcPr>
            <w:tcW w:w="522" w:type="dxa"/>
          </w:tcPr>
          <w:p w14:paraId="4ADD01CB" w14:textId="7CC15628" w:rsidR="00122C3E" w:rsidRDefault="00122C3E" w:rsidP="007F29B7">
            <w:pPr>
              <w:jc w:val="both"/>
            </w:pPr>
            <w:r>
              <w:t>0</w:t>
            </w:r>
          </w:p>
        </w:tc>
        <w:tc>
          <w:tcPr>
            <w:tcW w:w="522" w:type="dxa"/>
          </w:tcPr>
          <w:p w14:paraId="1B9A964D" w14:textId="2013498C" w:rsidR="00122C3E" w:rsidRDefault="00122C3E" w:rsidP="007F29B7">
            <w:pPr>
              <w:jc w:val="both"/>
            </w:pPr>
            <w:r>
              <w:t>0</w:t>
            </w:r>
          </w:p>
        </w:tc>
        <w:tc>
          <w:tcPr>
            <w:tcW w:w="522" w:type="dxa"/>
          </w:tcPr>
          <w:p w14:paraId="1484BB60" w14:textId="1EF95402" w:rsidR="00122C3E" w:rsidRDefault="00122C3E" w:rsidP="007F29B7">
            <w:pPr>
              <w:jc w:val="both"/>
            </w:pPr>
            <w:r>
              <w:t>0</w:t>
            </w:r>
          </w:p>
        </w:tc>
        <w:tc>
          <w:tcPr>
            <w:tcW w:w="522" w:type="dxa"/>
          </w:tcPr>
          <w:p w14:paraId="43151C94" w14:textId="5E188387" w:rsidR="00122C3E" w:rsidRDefault="00122C3E" w:rsidP="007F29B7">
            <w:pPr>
              <w:jc w:val="both"/>
            </w:pPr>
            <w:r>
              <w:t>0</w:t>
            </w:r>
          </w:p>
        </w:tc>
        <w:tc>
          <w:tcPr>
            <w:tcW w:w="522" w:type="dxa"/>
          </w:tcPr>
          <w:p w14:paraId="1BF63747" w14:textId="6D7AB1B9" w:rsidR="00122C3E" w:rsidRDefault="00122C3E" w:rsidP="007F29B7">
            <w:pPr>
              <w:jc w:val="both"/>
            </w:pPr>
            <w:r>
              <w:t>0</w:t>
            </w:r>
          </w:p>
        </w:tc>
        <w:tc>
          <w:tcPr>
            <w:tcW w:w="522" w:type="dxa"/>
          </w:tcPr>
          <w:p w14:paraId="4FB36CA5" w14:textId="170104B0" w:rsidR="00122C3E" w:rsidRDefault="00122C3E" w:rsidP="007F29B7">
            <w:pPr>
              <w:jc w:val="both"/>
            </w:pPr>
            <w:r>
              <w:t>0</w:t>
            </w:r>
          </w:p>
        </w:tc>
        <w:tc>
          <w:tcPr>
            <w:tcW w:w="522" w:type="dxa"/>
          </w:tcPr>
          <w:p w14:paraId="315BC537" w14:textId="1D1D9ECB" w:rsidR="00122C3E" w:rsidRDefault="00122C3E" w:rsidP="007F29B7">
            <w:pPr>
              <w:jc w:val="both"/>
            </w:pPr>
            <w:r>
              <w:t>0</w:t>
            </w:r>
          </w:p>
        </w:tc>
        <w:tc>
          <w:tcPr>
            <w:tcW w:w="522" w:type="dxa"/>
          </w:tcPr>
          <w:p w14:paraId="28A9AF91" w14:textId="146196D5" w:rsidR="00122C3E" w:rsidRDefault="00122C3E" w:rsidP="007F29B7">
            <w:pPr>
              <w:jc w:val="both"/>
            </w:pPr>
            <w:r>
              <w:t>0</w:t>
            </w:r>
          </w:p>
        </w:tc>
        <w:tc>
          <w:tcPr>
            <w:tcW w:w="523" w:type="dxa"/>
          </w:tcPr>
          <w:p w14:paraId="10C10653" w14:textId="7EE42EFC" w:rsidR="00122C3E" w:rsidRDefault="00122C3E" w:rsidP="007F29B7">
            <w:pPr>
              <w:jc w:val="both"/>
            </w:pPr>
            <w:r>
              <w:t>0</w:t>
            </w:r>
          </w:p>
        </w:tc>
        <w:tc>
          <w:tcPr>
            <w:tcW w:w="523" w:type="dxa"/>
          </w:tcPr>
          <w:p w14:paraId="581C5DEA" w14:textId="12EB6FF0" w:rsidR="00122C3E" w:rsidRDefault="00122C3E" w:rsidP="007F29B7">
            <w:pPr>
              <w:jc w:val="both"/>
            </w:pPr>
            <w:r>
              <w:t>0</w:t>
            </w:r>
          </w:p>
        </w:tc>
        <w:tc>
          <w:tcPr>
            <w:tcW w:w="523" w:type="dxa"/>
          </w:tcPr>
          <w:p w14:paraId="534BC9F3" w14:textId="6D31FD5C" w:rsidR="00122C3E" w:rsidRDefault="00122C3E" w:rsidP="007F29B7">
            <w:pPr>
              <w:jc w:val="both"/>
            </w:pPr>
            <w:r>
              <w:t>0</w:t>
            </w:r>
          </w:p>
        </w:tc>
        <w:tc>
          <w:tcPr>
            <w:tcW w:w="523" w:type="dxa"/>
          </w:tcPr>
          <w:p w14:paraId="1D8F575B" w14:textId="31D1B4F3" w:rsidR="00122C3E" w:rsidRDefault="00122C3E" w:rsidP="007F29B7">
            <w:pPr>
              <w:jc w:val="both"/>
            </w:pPr>
            <w:r>
              <w:t>0</w:t>
            </w:r>
          </w:p>
        </w:tc>
      </w:tr>
    </w:tbl>
    <w:p w14:paraId="25629C50" w14:textId="77777777" w:rsidR="00523D87" w:rsidRDefault="00523D87" w:rsidP="007F29B7">
      <w:pPr>
        <w:jc w:val="both"/>
      </w:pPr>
    </w:p>
    <w:p w14:paraId="215992A9" w14:textId="7B22A287" w:rsidR="00DB0076" w:rsidRDefault="00125253" w:rsidP="00DB0076">
      <w:pPr>
        <w:jc w:val="both"/>
      </w:pPr>
      <w:r>
        <w:t xml:space="preserve">Our model now slides convolutional filters over this two dimensional representation, with a size of 3 and a stride (or ‘step size’) of 1. In practice, this will mean that the convolutional layer will iteratively inspect, partially overlapping, consecutive character trigrams in the input string. </w:t>
      </w:r>
      <w:r w:rsidR="00DB0076" w:rsidRPr="00DB0076">
        <w:t xml:space="preserve">This representation inspired by the generic approach to sequence modeling in NLP followed by LeCun (character-level convolutions), Dieleman (one-dimensional convolutions for </w:t>
      </w:r>
      <w:r w:rsidR="003A01F6">
        <w:t>music) and Greffenstetter (word-</w:t>
      </w:r>
      <w:r w:rsidR="00DB0076" w:rsidRPr="00DB0076">
        <w:t>level convolutions</w:t>
      </w:r>
      <w:r w:rsidR="003A01F6">
        <w:t xml:space="preserve"> on the basis of pretrained embeddings</w:t>
      </w:r>
      <w:r w:rsidR="00DB0076" w:rsidRPr="00DB0076">
        <w:t xml:space="preserve">). At the input stage, each target token is represented by a </w:t>
      </w:r>
      <w:r w:rsidR="00DB0076" w:rsidRPr="003A01F6">
        <w:rPr>
          <w:i/>
        </w:rPr>
        <w:t>n</w:t>
      </w:r>
      <w:r w:rsidR="003A01F6">
        <w:t xml:space="preserve"> x </w:t>
      </w:r>
      <w:r w:rsidR="003A01F6" w:rsidRPr="003A01F6">
        <w:rPr>
          <w:i/>
        </w:rPr>
        <w:t>t</w:t>
      </w:r>
      <w:r w:rsidR="00DB0076" w:rsidRPr="00DB0076">
        <w:t xml:space="preserve"> matrix, where </w:t>
      </w:r>
      <w:r w:rsidR="00DB0076" w:rsidRPr="003A01F6">
        <w:rPr>
          <w:i/>
        </w:rPr>
        <w:t>n</w:t>
      </w:r>
      <w:r w:rsidR="00DB0076" w:rsidRPr="00DB0076">
        <w:t xml:space="preserve"> represents the number of distin</w:t>
      </w:r>
      <w:r w:rsidR="003A01F6">
        <w:t xml:space="preserve">ct characters in a dataset and </w:t>
      </w:r>
      <w:r w:rsidR="003A01F6" w:rsidRPr="003A01F6">
        <w:rPr>
          <w:i/>
        </w:rPr>
        <w:t>t</w:t>
      </w:r>
      <w:r w:rsidR="00DB0076" w:rsidRPr="00DB0076">
        <w:t xml:space="preserve"> is the uniform length to which each target token is normalized through padding with trailing zeros or cutting.</w:t>
      </w:r>
    </w:p>
    <w:p w14:paraId="5DDFEB93" w14:textId="77777777" w:rsidR="00DB0076" w:rsidRDefault="00DB0076" w:rsidP="00DB0076">
      <w:pPr>
        <w:jc w:val="both"/>
      </w:pPr>
    </w:p>
    <w:p w14:paraId="5A12C011" w14:textId="0037006F" w:rsidR="00DB0076" w:rsidRPr="00DB0076" w:rsidRDefault="00DB0076" w:rsidP="00DB0076">
      <w:pPr>
        <w:jc w:val="both"/>
      </w:pPr>
      <w:r>
        <w:t>We originally motivated t</w:t>
      </w:r>
      <w:r w:rsidRPr="00DB0076">
        <w:t xml:space="preserve">he choice for a convolution model to model orthography </w:t>
      </w:r>
      <w:r>
        <w:t>on the basis of the following</w:t>
      </w:r>
      <w:r w:rsidRPr="00DB0076">
        <w:t xml:space="preserve"> considerations. When using a filter size of e.g. 3, the receptive field size of the learned filters roughly corresponds to that of syllables</w:t>
      </w:r>
      <w:r>
        <w:t>-like groups in many languages</w:t>
      </w:r>
      <w:r w:rsidR="0007721C">
        <w:t xml:space="preserve"> (e.g. consonant-vowel-consonant groups)</w:t>
      </w:r>
      <w:r w:rsidRPr="00DB0076">
        <w:t xml:space="preserve">. One would therefore expect the </w:t>
      </w:r>
      <w:r>
        <w:t>filters</w:t>
      </w:r>
      <w:r w:rsidRPr="00DB0076">
        <w:t xml:space="preserve"> to </w:t>
      </w:r>
      <w:r>
        <w:t xml:space="preserve">become sensitive </w:t>
      </w:r>
      <w:r w:rsidRPr="00DB0076">
        <w:t>morpheme-like characteristics</w:t>
      </w:r>
      <w:r>
        <w:t xml:space="preserve"> in</w:t>
      </w:r>
      <w:r w:rsidRPr="00DB0076">
        <w:t xml:space="preserve">. The </w:t>
      </w:r>
      <w:r>
        <w:t xml:space="preserve">most </w:t>
      </w:r>
      <w:r w:rsidRPr="00DB0076">
        <w:t>inter</w:t>
      </w:r>
      <w:r>
        <w:t>esting aspect of convolutions seems</w:t>
      </w:r>
      <w:r w:rsidRPr="00DB0076">
        <w:t xml:space="preserve"> that the learned filters are being detected across all positions in the input string, which is likely to render the detection of morphemes less sensitive to their exact position. This is a valuable property for our corpora, since the non-standard orthography often allows the introduct</w:t>
      </w:r>
      <w:r>
        <w:t>ion of silent characters (e.g. ‘gh’ for ‘h’</w:t>
      </w:r>
      <w:r w:rsidRPr="00DB0076">
        <w:t>), causing local character shift</w:t>
      </w:r>
      <w:r>
        <w:t>s in the input, or the kind of ‘translations’ in computer vision,</w:t>
      </w:r>
      <w:r w:rsidRPr="00DB0076">
        <w:t xml:space="preserve"> to which we know c</w:t>
      </w:r>
      <w:r>
        <w:t>onvolutions are fairly robust (‘gelik’ vs ‘</w:t>
      </w:r>
      <w:r w:rsidRPr="00DB0076">
        <w:t>gheli</w:t>
      </w:r>
      <w:r>
        <w:t>k’</w:t>
      </w:r>
      <w:r w:rsidRPr="00DB0076">
        <w:t>).</w:t>
      </w:r>
      <w:r w:rsidR="007E7FCF">
        <w:rPr>
          <w:rStyle w:val="FootnoteReference"/>
        </w:rPr>
        <w:footnoteReference w:id="1"/>
      </w:r>
      <w:r w:rsidRPr="00DB0076">
        <w:t xml:space="preserve"> Finally, it should be stressed that the learned filters can be expected to offer a flexible string representation: a filter which learned to detect the patt</w:t>
      </w:r>
      <w:r w:rsidR="00431FED">
        <w:t>ern ‘dae’</w:t>
      </w:r>
      <w:r w:rsidRPr="00DB0076">
        <w:t xml:space="preserve"> might stil</w:t>
      </w:r>
      <w:r w:rsidR="00431FED">
        <w:t>l be responsive to the pattern ‘dai’, which is useful since ‘i’ and ‘e’</w:t>
      </w:r>
      <w:r w:rsidRPr="00DB0076">
        <w:t xml:space="preserve"> were often used interchangeably as </w:t>
      </w:r>
      <w:r w:rsidR="00431FED">
        <w:t xml:space="preserve">vowel </w:t>
      </w:r>
      <w:r w:rsidRPr="00DB0076">
        <w:t>lengthening graphemes in medieval languages.</w:t>
      </w:r>
      <w:r w:rsidR="0007721C">
        <w:t xml:space="preserve"> We will come back to these intuitions </w:t>
      </w:r>
      <w:r w:rsidR="00133925">
        <w:t xml:space="preserve">in the discussion </w:t>
      </w:r>
      <w:r w:rsidR="0007721C">
        <w:t>below</w:t>
      </w:r>
      <w:r w:rsidR="00242908">
        <w:t>, since they can be partially demonstrated to be wrong</w:t>
      </w:r>
      <w:r w:rsidR="0007721C">
        <w:t>.</w:t>
      </w:r>
    </w:p>
    <w:p w14:paraId="006B13DF" w14:textId="77777777" w:rsidR="00DB0076" w:rsidRDefault="00DB0076" w:rsidP="007F29B7">
      <w:pPr>
        <w:jc w:val="both"/>
      </w:pPr>
    </w:p>
    <w:p w14:paraId="745DB0A3" w14:textId="494E5E2B" w:rsidR="00DC5D77" w:rsidRPr="00DC5D77" w:rsidRDefault="00DC5D77" w:rsidP="007F29B7">
      <w:pPr>
        <w:jc w:val="both"/>
        <w:rPr>
          <w:i/>
        </w:rPr>
      </w:pPr>
      <w:r w:rsidRPr="00DC5D77">
        <w:rPr>
          <w:i/>
        </w:rPr>
        <w:t>Embeddings</w:t>
      </w:r>
    </w:p>
    <w:p w14:paraId="793A023B" w14:textId="50D53FC5" w:rsidR="004C5727" w:rsidRDefault="001F7FE4" w:rsidP="001F7FE4">
      <w:pPr>
        <w:jc w:val="both"/>
      </w:pPr>
      <w:r>
        <w:t>Many sequence taggers crucially depend on contextual information</w:t>
      </w:r>
      <w:r w:rsidR="00233158">
        <w:t xml:space="preserve"> for disambiguating tokens. In the</w:t>
      </w:r>
      <w:r>
        <w:t xml:space="preserve"> classic example ‘The old man the boat.’, contextual information is needed to determine to </w:t>
      </w:r>
      <w:r w:rsidR="00242908">
        <w:t xml:space="preserve">that ‘man’ in this sentence should be tagged as </w:t>
      </w:r>
      <w:r w:rsidR="00242908" w:rsidRPr="002C5862">
        <w:rPr>
          <w:i/>
        </w:rPr>
        <w:t>verb</w:t>
      </w:r>
      <w:r w:rsidR="00242908">
        <w:t xml:space="preserve">, instead of the more common </w:t>
      </w:r>
      <w:r w:rsidR="00242908" w:rsidRPr="002C5862">
        <w:rPr>
          <w:i/>
        </w:rPr>
        <w:t>noun</w:t>
      </w:r>
      <w:r w:rsidR="00242908">
        <w:t xml:space="preserve"> tag for this token.</w:t>
      </w:r>
      <w:r w:rsidR="004A374B">
        <w:t xml:space="preserve"> Most modern taggers therefore integrate a lexical representation of </w:t>
      </w:r>
      <w:r w:rsidR="004A79A3">
        <w:t>the immediate context on an input token, e.g. the two tokens preceding the input token to the left and a single token to left</w:t>
      </w:r>
      <w:r w:rsidR="004A374B">
        <w:t xml:space="preserve">. </w:t>
      </w:r>
      <w:r w:rsidR="00517283">
        <w:t xml:space="preserve">Simplifyingly put again, traditional architectures model will typically represent this context using a one-hot encoder at the token-level: for each token in the positional skeleton surrounding the input token, a high-dimensional vector will the record the presence using the index of known training tokens. </w:t>
      </w:r>
      <w:r w:rsidR="00C73FC6">
        <w:t>To battle sparsity in the contextual representation too, it is again not uncommon to apply a frequency-based cutoff here, or even only record the presence of a small set of functors surrounding the input token or even hand-crafted features (such as the last two characters of the word preceding the input string).</w:t>
      </w:r>
    </w:p>
    <w:p w14:paraId="1FFC4CD3" w14:textId="77777777" w:rsidR="00C73FC6" w:rsidRDefault="00C73FC6" w:rsidP="001F7FE4">
      <w:pPr>
        <w:jc w:val="both"/>
      </w:pPr>
    </w:p>
    <w:p w14:paraId="209DCBB4" w14:textId="5BBD60A0" w:rsidR="00221653" w:rsidRDefault="00C73FC6" w:rsidP="001F7FE4">
      <w:pPr>
        <w:jc w:val="both"/>
      </w:pPr>
      <w:r>
        <w:t>Because of the sparsity associated with one-hot encodings, research in NLP has stressed the need for smoother, distributional representations of lexical context</w:t>
      </w:r>
      <w:r w:rsidR="00221653">
        <w:t>s</w:t>
      </w:r>
      <w:r>
        <w:t xml:space="preserve"> in this respect. </w:t>
      </w:r>
      <w:r w:rsidR="00221653">
        <w:t>As the size of the context windows considered increases, it becomes increasingly difficult to obtain good, dense representations of contexts</w:t>
      </w:r>
      <w:r w:rsidR="00AE11C2">
        <w:t>, if one restricts the model to strict n-gram matching.</w:t>
      </w:r>
      <w:r w:rsidR="00221653">
        <w:t xml:space="preserve"> </w:t>
      </w:r>
      <w:r w:rsidR="00022746">
        <w:t xml:space="preserve">A simple example: </w:t>
      </w:r>
      <w:r w:rsidR="00221653">
        <w:t xml:space="preserve">in a word sequence like ‘the black </w:t>
      </w:r>
      <w:r w:rsidR="00AE11C2">
        <w:t>fat</w:t>
      </w:r>
      <w:r w:rsidR="00221653">
        <w:t xml:space="preserve"> cat’ or ‘the cute white cat’, the </w:t>
      </w:r>
      <w:r w:rsidR="000D7041">
        <w:t xml:space="preserve">part-of-speech category </w:t>
      </w:r>
      <w:r w:rsidR="00221653">
        <w:t xml:space="preserve">of ‘cat’ can be reasonably inferred from the fact that two adjectives </w:t>
      </w:r>
      <w:r w:rsidR="000D7041">
        <w:t>precede the target token</w:t>
      </w:r>
      <w:r w:rsidR="00221653">
        <w:t xml:space="preserve">. </w:t>
      </w:r>
      <w:r w:rsidR="000D7041">
        <w:t>When presented with the</w:t>
      </w:r>
      <w:r w:rsidR="00AE11C2">
        <w:t xml:space="preserve"> new examples ‘the fat white cat’ or ‘the cute fat cat’, the left contexts ‘fat white’ and ‘cute fat’</w:t>
      </w:r>
      <w:r w:rsidR="001F09B8">
        <w:t xml:space="preserve"> will fail </w:t>
      </w:r>
      <w:r w:rsidR="00022746">
        <w:t>to find a hard match to one of the training contexts</w:t>
      </w:r>
      <w:r w:rsidR="00DB39E4">
        <w:t xml:space="preserve"> in the cast of a strict matching process</w:t>
      </w:r>
      <w:r w:rsidR="001F09B8">
        <w:t xml:space="preserve">. Naturally, we would like a model to be robust in the face of such </w:t>
      </w:r>
      <w:r w:rsidR="00337DC0">
        <w:t>naive</w:t>
      </w:r>
      <w:r w:rsidR="00AE11C2">
        <w:t xml:space="preserve"> transposition</w:t>
      </w:r>
      <w:r w:rsidR="001F09B8">
        <w:t>s</w:t>
      </w:r>
      <w:r w:rsidR="00AE11C2">
        <w:t>.</w:t>
      </w:r>
    </w:p>
    <w:p w14:paraId="2C911B04" w14:textId="77777777" w:rsidR="00221653" w:rsidRDefault="00221653" w:rsidP="001F7FE4">
      <w:pPr>
        <w:jc w:val="both"/>
      </w:pPr>
    </w:p>
    <w:p w14:paraId="0EB32AB2" w14:textId="21E6CB40" w:rsidR="00F57957" w:rsidRDefault="00ED607D" w:rsidP="00F57957">
      <w:pPr>
        <w:jc w:val="both"/>
      </w:pPr>
      <w:r>
        <w:t xml:space="preserve">An important line of research in nowadays NLP therefore concerns the development of models which can represent words not in terms of a simple one-hot encoder, but using </w:t>
      </w:r>
      <w:r w:rsidR="00337DC0">
        <w:t xml:space="preserve">smooth, lower-dimensional </w:t>
      </w:r>
      <w:r w:rsidR="00F57957">
        <w:t xml:space="preserve">word </w:t>
      </w:r>
      <w:r w:rsidR="004656C3">
        <w:t>representation</w:t>
      </w:r>
      <w:r w:rsidR="00F57957">
        <w:t>s</w:t>
      </w:r>
      <w:r>
        <w:t>.</w:t>
      </w:r>
      <w:r w:rsidR="00337DC0">
        <w:t xml:space="preserve"> </w:t>
      </w:r>
      <w:r w:rsidR="00F57957">
        <w:t>Much of this research can be situated in the field of distributional semantics, being guided by the so-called “Distributional Hypothesis” that words in themselves do not have real meaning in isolation, but that words primarily derive meaning from the words they tend to co-occur with, i.e. their lexical context (Firth etc.). While *blarf is a non-existing word, its use in the following sentences suggests that it refers to some sort of domestic animal, perhaps a dog: “I’m letting the *blarf out”, “I’m feeding the *blarf”, “The *blarf ate my homework”. Thus, by modelling patterns of word co-occurrences in large cor</w:t>
      </w:r>
      <w:r w:rsidR="00741B93">
        <w:t>pora, research has demonstrated</w:t>
      </w:r>
      <w:r w:rsidR="00F57957">
        <w:t xml:space="preserve"> that various unsupervised techniques can yield numeric word representations which offer useful approximations of the meaning of words. The vector which make up such word representations are also called “word embeddings”, because they reflect how words are contextually </w:t>
      </w:r>
      <w:r w:rsidR="00741B93">
        <w:t>“</w:t>
      </w:r>
      <w:r w:rsidR="00F57957">
        <w:t>embedded</w:t>
      </w:r>
      <w:r w:rsidR="00741B93">
        <w:t>”</w:t>
      </w:r>
      <w:r w:rsidR="00F57957">
        <w:t xml:space="preserve"> in corpora.</w:t>
      </w:r>
    </w:p>
    <w:p w14:paraId="0A79A12B" w14:textId="77777777" w:rsidR="00F57957" w:rsidRDefault="00F57957" w:rsidP="00F57957">
      <w:pPr>
        <w:jc w:val="both"/>
      </w:pPr>
    </w:p>
    <w:p w14:paraId="5CC48AB4" w14:textId="3B4A77B8" w:rsidR="00FA6C2C" w:rsidRDefault="00F57957" w:rsidP="00F57957">
      <w:pPr>
        <w:jc w:val="both"/>
      </w:pPr>
      <w:r>
        <w:t xml:space="preserve">The past years have witnessed a clear increase in the interest for distributional semantics, </w:t>
      </w:r>
      <w:r w:rsidR="00741B93">
        <w:t>in particular in the field of</w:t>
      </w:r>
      <w:r>
        <w:t xml:space="preserve"> </w:t>
      </w:r>
      <w:r w:rsidR="00741B93">
        <w:t>deep learning for NLP</w:t>
      </w:r>
      <w:r>
        <w:t xml:space="preserve">. In a series of influential papers, Mikolov et al. at Google have introduced an influential </w:t>
      </w:r>
      <w:r w:rsidR="00741B93">
        <w:t xml:space="preserve">skipgram </w:t>
      </w:r>
      <w:r>
        <w:t xml:space="preserve">method to obtain word vectors </w:t>
      </w:r>
      <w:r w:rsidR="00741B93">
        <w:t xml:space="preserve">known as </w:t>
      </w:r>
      <w:r>
        <w:t xml:space="preserve">“word2vec”. Because the underlying method attempts to optimize a fairly simple training criterion, it can be easily applied to vast quantities of text, yielding vectors which have shown excellent performance in a variety of tasks. In one </w:t>
      </w:r>
      <w:r w:rsidR="00741B93">
        <w:t>popular</w:t>
      </w:r>
      <w:r>
        <w:t xml:space="preserve"> example, Mikolov et al. even showed that is possible to solve relatively advanced analogical problems </w:t>
      </w:r>
      <w:r w:rsidR="00741B93">
        <w:t xml:space="preserve">applying </w:t>
      </w:r>
      <w:r>
        <w:t>plain vector arithmetic</w:t>
      </w:r>
      <w:r w:rsidR="00741B93">
        <w:t xml:space="preserve"> to the word embeddings obtained from large corpora</w:t>
      </w:r>
      <w:r>
        <w:t xml:space="preserve">. The result of the </w:t>
      </w:r>
      <w:r w:rsidR="00741B93">
        <w:t xml:space="preserve">arithmetic </w:t>
      </w:r>
      <w:r>
        <w:t xml:space="preserve">expression “vector(king)-vector(man)+vector(woman)”, for instance, yielded a vector which was closest to that of the word “queen”. Other </w:t>
      </w:r>
      <w:r w:rsidR="00741B93">
        <w:t>illustrative</w:t>
      </w:r>
      <w:r>
        <w:t xml:space="preserve"> examples include: “vector(russia)+vector(river) ~ vector(wolga)” and “vector(paris)-vector(france)+vecto</w:t>
      </w:r>
      <w:r w:rsidR="00FA6C2C">
        <w:t>r(belgium) ~ vector(brussels)”.</w:t>
      </w:r>
    </w:p>
    <w:p w14:paraId="4BF71D3B" w14:textId="77777777" w:rsidR="00FA6C2C" w:rsidRDefault="00FA6C2C" w:rsidP="00F57957">
      <w:pPr>
        <w:jc w:val="both"/>
      </w:pPr>
    </w:p>
    <w:p w14:paraId="0F2F2F2C" w14:textId="5CF58C63" w:rsidR="005B0831" w:rsidRDefault="00F57957" w:rsidP="001F7FE4">
      <w:pPr>
        <w:jc w:val="both"/>
      </w:pPr>
      <w:r>
        <w:t xml:space="preserve">Follow-up studies have stressed that other techniques can yield similar results and that the theoretical foundations of the word2vec algorithm still need a lot of clarification. Nevertheless, the fact that Mikolov </w:t>
      </w:r>
      <w:r w:rsidR="00004434">
        <w:t xml:space="preserve">et al. </w:t>
      </w:r>
      <w:r>
        <w:t xml:space="preserve">published a highly, efficient open-source implementation of </w:t>
      </w:r>
      <w:r w:rsidR="00004434">
        <w:t xml:space="preserve">the (in the meanwhile patented) </w:t>
      </w:r>
      <w:r>
        <w:t xml:space="preserve">“word2vec” </w:t>
      </w:r>
      <w:r w:rsidR="00004434">
        <w:t xml:space="preserve">algorithm </w:t>
      </w:r>
      <w:r>
        <w:t>has greatly contributed to the state of the art in the field of word representation learning.</w:t>
      </w:r>
      <w:r w:rsidR="00FA6C2C">
        <w:t xml:space="preserve"> </w:t>
      </w:r>
      <w:r w:rsidR="00004434">
        <w:t>A</w:t>
      </w:r>
      <w:r w:rsidR="005B0831">
        <w:t xml:space="preserve">n increasing number of applications </w:t>
      </w:r>
      <w:r w:rsidR="007305C6">
        <w:t xml:space="preserve">in NLP </w:t>
      </w:r>
      <w:r w:rsidR="005B0831">
        <w:t>include some form of word embedding strategy in their pipeline</w:t>
      </w:r>
      <w:r w:rsidR="00625703">
        <w:t xml:space="preserve"> as a “secret sauce”</w:t>
      </w:r>
      <w:r w:rsidR="005B0831">
        <w:t xml:space="preserve">. An essential quality </w:t>
      </w:r>
      <w:r w:rsidR="00625703">
        <w:t xml:space="preserve">of modern word embeddings is that </w:t>
      </w:r>
      <w:r w:rsidR="00004434">
        <w:t>it has been shown that they</w:t>
      </w:r>
      <w:r w:rsidR="00625703">
        <w:t xml:space="preserve"> </w:t>
      </w:r>
      <w:r w:rsidR="00004434">
        <w:t>are not restricted to semantic aspects of words but that they also model morpho-syntactic qualities of words</w:t>
      </w:r>
      <w:r w:rsidR="00855395">
        <w:t>, illustrated by the fact that purely syntactic analogies often can also be solved “vector(</w:t>
      </w:r>
      <w:r w:rsidR="00476FF8">
        <w:t>her</w:t>
      </w:r>
      <w:r w:rsidR="00855395">
        <w:t>)-vector(</w:t>
      </w:r>
      <w:r w:rsidR="00476FF8">
        <w:t>she</w:t>
      </w:r>
      <w:r w:rsidR="00855395">
        <w:t>)+vector(</w:t>
      </w:r>
      <w:r w:rsidR="00476FF8">
        <w:t>he</w:t>
      </w:r>
      <w:r w:rsidR="00855395">
        <w:t>) ~ vector(</w:t>
      </w:r>
      <w:r w:rsidR="00476FF8">
        <w:t>his</w:t>
      </w:r>
      <w:r w:rsidR="00855395">
        <w:t>)”</w:t>
      </w:r>
      <w:r w:rsidR="00D97087">
        <w:t>.</w:t>
      </w:r>
    </w:p>
    <w:p w14:paraId="0047C8F8" w14:textId="77777777" w:rsidR="00D97087" w:rsidRDefault="00D97087" w:rsidP="001F7FE4">
      <w:pPr>
        <w:jc w:val="both"/>
      </w:pPr>
    </w:p>
    <w:p w14:paraId="531797F1" w14:textId="66E73471" w:rsidR="00D97087" w:rsidRDefault="00D97087" w:rsidP="001F7FE4">
      <w:pPr>
        <w:jc w:val="both"/>
      </w:pPr>
      <w:r>
        <w:t>The application of word embeddings in NLP research is simply vast. Relevant examples for the present research includes</w:t>
      </w:r>
      <w:r w:rsidR="007B6F29">
        <w:t>,</w:t>
      </w:r>
      <w:r>
        <w:t xml:space="preserve"> for instance, </w:t>
      </w:r>
      <w:r w:rsidR="0079357A">
        <w:t xml:space="preserve">the type of </w:t>
      </w:r>
      <w:r>
        <w:t>word embeddings</w:t>
      </w:r>
      <w:r w:rsidR="0079357A">
        <w:t xml:space="preserve"> used in the Twitter tagger described by Godeleer et al, but </w:t>
      </w:r>
      <w:r w:rsidR="007B6F29">
        <w:t xml:space="preserve">the literature abounds in </w:t>
      </w:r>
      <w:r w:rsidR="0079357A">
        <w:t>other examples</w:t>
      </w:r>
      <w:r>
        <w:t xml:space="preserve">. </w:t>
      </w:r>
      <w:r w:rsidR="007B6F29">
        <w:t>In our system</w:t>
      </w:r>
      <w:r w:rsidR="0079357A">
        <w:t xml:space="preserve">, we train a </w:t>
      </w:r>
      <w:r w:rsidR="00066EEE">
        <w:t>vanilla word2vec model, using a</w:t>
      </w:r>
      <w:r w:rsidR="0079357A">
        <w:t xml:space="preserve"> popular implementation of the </w:t>
      </w:r>
      <w:r w:rsidR="00066EEE">
        <w:t xml:space="preserve">original </w:t>
      </w:r>
      <w:r w:rsidR="0079357A">
        <w:t>skipgram-model. This model learns to project the tokens in our training data</w:t>
      </w:r>
      <w:r w:rsidR="00A303A2">
        <w:t xml:space="preserve"> in a vector space consisting of 300 dimensions</w:t>
      </w:r>
      <w:r w:rsidR="007B6F29">
        <w:t>, which is common dimensionality in the literature</w:t>
      </w:r>
      <w:r w:rsidR="00036CBC">
        <w:t xml:space="preserve">. </w:t>
      </w:r>
      <w:r w:rsidR="00E26375">
        <w:t xml:space="preserve">The general intuition </w:t>
      </w:r>
      <w:r w:rsidR="00BE5E4F">
        <w:t xml:space="preserve">underlying the embeddings subnet in our architecture, </w:t>
      </w:r>
      <w:r w:rsidR="00E26375">
        <w:t xml:space="preserve">is that </w:t>
      </w:r>
      <w:r w:rsidR="00BE5E4F">
        <w:t>the underlying skipgram model</w:t>
      </w:r>
      <w:r w:rsidR="00E26375">
        <w:t xml:space="preserve"> will </w:t>
      </w:r>
      <w:r w:rsidR="00BE5E4F">
        <w:t xml:space="preserve">have </w:t>
      </w:r>
      <w:r w:rsidR="00E26375">
        <w:t>learn</w:t>
      </w:r>
      <w:r w:rsidR="00BE5E4F">
        <w:t>ed</w:t>
      </w:r>
      <w:r w:rsidR="00E26375">
        <w:t xml:space="preserve"> similar embeddings for words that certain qualities, both at the semantic</w:t>
      </w:r>
      <w:r w:rsidR="007B6F29">
        <w:t xml:space="preserve"> and</w:t>
      </w:r>
      <w:r w:rsidR="00E26375">
        <w:t xml:space="preserve"> morpho-syntactic level</w:t>
      </w:r>
      <w:r w:rsidR="007B6F29">
        <w:t xml:space="preserve"> – in the ‘cat’ example above, we might expect that a model would learn similar embeddings for the ‘white’ or ‘black’, because they both are both adjectives referring to colors</w:t>
      </w:r>
      <w:r w:rsidR="00E26375">
        <w:t>. A</w:t>
      </w:r>
      <w:r w:rsidR="007B6F29">
        <w:t>dditionally, a</w:t>
      </w:r>
      <w:r w:rsidR="00E26375">
        <w:t xml:space="preserve">n interesting </w:t>
      </w:r>
      <w:r w:rsidR="007B6F29">
        <w:t>aspect</w:t>
      </w:r>
      <w:r w:rsidR="00E26375">
        <w:t xml:space="preserve"> for our medieval data, </w:t>
      </w:r>
      <w:r w:rsidR="007B6F29">
        <w:t xml:space="preserve">is that </w:t>
      </w:r>
      <w:r w:rsidR="00E26375">
        <w:t xml:space="preserve">the word embeddings </w:t>
      </w:r>
      <w:r w:rsidR="007B6F29">
        <w:t xml:space="preserve">learned </w:t>
      </w:r>
      <w:r w:rsidR="00E26375">
        <w:t xml:space="preserve">might also be sensitive to orthographic </w:t>
      </w:r>
      <w:r w:rsidR="007B6F29">
        <w:t>or</w:t>
      </w:r>
      <w:r w:rsidR="00E26375">
        <w:t xml:space="preserve"> dialectical variation, providing similar </w:t>
      </w:r>
      <w:r w:rsidR="007B6F29">
        <w:t>embeddings from word that are spelling variant of each other, or words that are typical of specific dialects</w:t>
      </w:r>
      <w:r w:rsidR="00E26375">
        <w:t>. We will come back to this issue in the discussion.</w:t>
      </w:r>
    </w:p>
    <w:p w14:paraId="6C4B326E" w14:textId="77777777" w:rsidR="00036CBC" w:rsidRDefault="00036CBC" w:rsidP="001F7FE4">
      <w:pPr>
        <w:jc w:val="both"/>
      </w:pPr>
    </w:p>
    <w:p w14:paraId="73F3D54F" w14:textId="308EE4F3" w:rsidR="00036CBC" w:rsidRDefault="00036CBC" w:rsidP="00036CBC">
      <w:pPr>
        <w:jc w:val="both"/>
      </w:pPr>
      <w:r>
        <w:t>For the subnet</w:t>
      </w:r>
      <w:r w:rsidR="009A3FD2">
        <w:t>s</w:t>
      </w:r>
      <w:r>
        <w:t xml:space="preserve"> representing the lexical context on either side, we first construct a simple one-hot encoding </w:t>
      </w:r>
      <w:r w:rsidR="00BD1FC5">
        <w:t xml:space="preserve">of the context tokens </w:t>
      </w:r>
      <w:r>
        <w:t xml:space="preserve">. We then project these tokens </w:t>
      </w:r>
      <w:r w:rsidR="00BD1FC5">
        <w:t>onto a standard dense layer which has the same dimensionality as our skipgram model (taking the form of a simple matrix multiplication)</w:t>
      </w:r>
      <w:r>
        <w:t>.</w:t>
      </w:r>
      <w:r w:rsidR="00BD1FC5">
        <w:t xml:space="preserve"> </w:t>
      </w:r>
      <w:r w:rsidR="00A14581">
        <w:t xml:space="preserve">Importantly, this </w:t>
      </w:r>
      <w:r w:rsidR="00BD1FC5">
        <w:t xml:space="preserve">implies that we can initialize the </w:t>
      </w:r>
      <w:r w:rsidR="009A3FD2">
        <w:t>weights of this layer using</w:t>
      </w:r>
      <w:r w:rsidR="00BD1FC5">
        <w:t xml:space="preserve"> the pretrained embeddings from the </w:t>
      </w:r>
      <w:r w:rsidR="009A3FD2">
        <w:t>skipgram</w:t>
      </w:r>
      <w:r w:rsidR="00BD1FC5">
        <w:t xml:space="preserve"> model, but </w:t>
      </w:r>
      <w:r w:rsidR="009A3FD2">
        <w:t>that</w:t>
      </w:r>
      <w:r w:rsidR="00BD1FC5">
        <w:t xml:space="preserve"> these weights can be further refined during the training phase (see below).</w:t>
      </w:r>
      <w:r w:rsidR="009A3FD2">
        <w:t xml:space="preserve"> This initialization strategy can be expected to speed up the convergence of the model. We </w:t>
      </w:r>
      <w:r>
        <w:t xml:space="preserve">simple concatenate the </w:t>
      </w:r>
      <w:r w:rsidR="009A3FD2">
        <w:t xml:space="preserve">dense </w:t>
      </w:r>
      <w:r>
        <w:t>vectors obtained for each context word</w:t>
      </w:r>
      <w:r w:rsidR="009A3FD2">
        <w:t xml:space="preserve"> on either side of the target token into a left-context subnet and a right context subnet</w:t>
      </w:r>
      <w:r>
        <w:t xml:space="preserve">. The number of context words is </w:t>
      </w:r>
      <w:r w:rsidR="009A3FD2">
        <w:t xml:space="preserve">of course </w:t>
      </w:r>
      <w:r>
        <w:t>a hyper-parameter which can be further tuned.</w:t>
      </w:r>
    </w:p>
    <w:p w14:paraId="2E650169" w14:textId="77777777" w:rsidR="00036CBC" w:rsidRDefault="00036CBC" w:rsidP="001F7FE4">
      <w:pPr>
        <w:jc w:val="both"/>
      </w:pPr>
    </w:p>
    <w:p w14:paraId="417486EC" w14:textId="77777777" w:rsidR="004C5727" w:rsidRDefault="004C5727"/>
    <w:p w14:paraId="2E68DE62" w14:textId="16A3D734" w:rsidR="004C5727" w:rsidRPr="007B6F29" w:rsidRDefault="007B6F29">
      <w:pPr>
        <w:rPr>
          <w:i/>
        </w:rPr>
      </w:pPr>
      <w:r w:rsidRPr="007B6F29">
        <w:rPr>
          <w:i/>
        </w:rPr>
        <w:t>Combining the subnets</w:t>
      </w:r>
    </w:p>
    <w:p w14:paraId="2683AB34" w14:textId="31D3C21E" w:rsidR="007B6F29" w:rsidRDefault="007B6F29" w:rsidP="00AB56AA">
      <w:pPr>
        <w:jc w:val="both"/>
      </w:pPr>
      <w:r>
        <w:t xml:space="preserve">In our system, we again use </w:t>
      </w:r>
      <w:r w:rsidR="009A3FD2">
        <w:t xml:space="preserve">a </w:t>
      </w:r>
      <w:r>
        <w:t xml:space="preserve">network </w:t>
      </w:r>
      <w:r w:rsidR="00CF60DF">
        <w:t xml:space="preserve">strategy </w:t>
      </w:r>
      <w:r>
        <w:t>to comb</w:t>
      </w:r>
      <w:r w:rsidR="00CA39C4">
        <w:t>ine in the convolutional subnet</w:t>
      </w:r>
      <w:r>
        <w:t xml:space="preserve">, </w:t>
      </w:r>
      <w:r w:rsidR="00CA39C4">
        <w:t xml:space="preserve">used to represent </w:t>
      </w:r>
      <w:r w:rsidR="00CF60DF">
        <w:t>the focus token, and the subnets representing the left and right context of the input token.</w:t>
      </w:r>
      <w:r w:rsidR="00AF1115">
        <w:t xml:space="preserve"> </w:t>
      </w:r>
      <w:r w:rsidR="004768C1">
        <w:t xml:space="preserve">The activations of the convolutional layer are flattened and concatenated; next, they are fed forward in the network using a plain dense layer that </w:t>
      </w:r>
      <w:r w:rsidR="00701556">
        <w:t>has</w:t>
      </w:r>
      <w:r w:rsidR="004768C1">
        <w:t xml:space="preserve"> a dimensionality of size </w:t>
      </w:r>
      <w:r w:rsidR="004768C1" w:rsidRPr="004768C1">
        <w:rPr>
          <w:i/>
        </w:rPr>
        <w:t>k</w:t>
      </w:r>
      <w:r w:rsidR="004768C1">
        <w:rPr>
          <w:i/>
        </w:rPr>
        <w:t xml:space="preserve"> </w:t>
      </w:r>
      <w:r w:rsidR="004768C1" w:rsidRPr="004768C1">
        <w:t>(</w:t>
      </w:r>
      <w:r w:rsidR="004768C1">
        <w:t>e.g. 1028</w:t>
      </w:r>
      <w:r w:rsidR="004768C1" w:rsidRPr="004768C1">
        <w:t>).</w:t>
      </w:r>
      <w:r w:rsidR="004768C1">
        <w:t xml:space="preserve"> The concatenated embeddings of the left and right context subnets are then also propagated through a dense layers of size </w:t>
      </w:r>
      <w:r w:rsidR="004768C1" w:rsidRPr="004768C1">
        <w:rPr>
          <w:i/>
        </w:rPr>
        <w:t>k</w:t>
      </w:r>
      <w:r w:rsidR="004768C1" w:rsidRPr="004768C1">
        <w:t>.</w:t>
      </w:r>
      <w:r w:rsidR="004768C1">
        <w:t xml:space="preserve"> </w:t>
      </w:r>
      <w:r w:rsidR="00310E57">
        <w:t xml:space="preserve">Finally, we also include a one-hot encoding of the target tokens, which is propagated through a dense layer of size </w:t>
      </w:r>
      <w:r w:rsidR="00310E57" w:rsidRPr="00310E57">
        <w:rPr>
          <w:i/>
        </w:rPr>
        <w:t>k</w:t>
      </w:r>
      <w:r w:rsidR="00310E57">
        <w:t xml:space="preserve">. This final layer is important to have the network </w:t>
      </w:r>
      <w:r w:rsidR="00896FA3">
        <w:t>obtain a good fit</w:t>
      </w:r>
      <w:r w:rsidR="00310E57">
        <w:t xml:space="preserve"> </w:t>
      </w:r>
      <w:r w:rsidR="00896FA3">
        <w:t xml:space="preserve">of </w:t>
      </w:r>
      <w:r w:rsidR="00310E57">
        <w:t xml:space="preserve">known </w:t>
      </w:r>
      <w:r w:rsidR="00F84E99">
        <w:t>tokens</w:t>
      </w:r>
      <w:r w:rsidR="00310E57">
        <w:t xml:space="preserve">: early experiments showed that the </w:t>
      </w:r>
      <w:r w:rsidR="00F84E99">
        <w:t xml:space="preserve">convolutional layer alone has insufficient capacity to </w:t>
      </w:r>
      <w:r w:rsidR="001F222E">
        <w:t xml:space="preserve">reliably </w:t>
      </w:r>
      <w:r w:rsidR="00F84E99">
        <w:t xml:space="preserve">represent the entire </w:t>
      </w:r>
      <w:r w:rsidR="00737F6B">
        <w:t>vocabulary of training tokens (which is clearly is an issue to be addressed in future research)</w:t>
      </w:r>
      <w:r w:rsidR="00F84E99">
        <w:t>.</w:t>
      </w:r>
    </w:p>
    <w:p w14:paraId="10DB960E" w14:textId="77777777" w:rsidR="00AF1115" w:rsidRDefault="00AF1115" w:rsidP="00A62C34">
      <w:pPr>
        <w:jc w:val="both"/>
      </w:pPr>
    </w:p>
    <w:p w14:paraId="5EC1CF6C" w14:textId="0C8EE8D3" w:rsidR="00CC4369" w:rsidRDefault="00896FA3" w:rsidP="00A62C34">
      <w:pPr>
        <w:jc w:val="both"/>
      </w:pPr>
      <w:r>
        <w:t>At this point</w:t>
      </w:r>
      <w:r w:rsidR="00C621AC">
        <w:t>,</w:t>
      </w:r>
      <w:r>
        <w:t xml:space="preserve"> we have four subnets in the network</w:t>
      </w:r>
      <w:r w:rsidR="00C621AC">
        <w:t>, each</w:t>
      </w:r>
      <w:r>
        <w:t xml:space="preserve"> of dimensionality </w:t>
      </w:r>
      <w:r w:rsidRPr="00896FA3">
        <w:rPr>
          <w:i/>
        </w:rPr>
        <w:t>k</w:t>
      </w:r>
      <w:r>
        <w:t xml:space="preserve">: one resulting from the one-hot encoding of the input token, </w:t>
      </w:r>
      <w:r w:rsidR="00BD2C2E">
        <w:t xml:space="preserve">one resulting from the convolutional encoding of the input token, and two resulting from the embeddings subnets for the left and right context. </w:t>
      </w:r>
      <w:r w:rsidR="00AF1115">
        <w:t xml:space="preserve">Finally, we </w:t>
      </w:r>
      <w:r w:rsidR="00A62C34">
        <w:t>concatenate the</w:t>
      </w:r>
      <w:r w:rsidR="00C621AC">
        <w:t xml:space="preserve"> output of these subnets</w:t>
      </w:r>
      <w:r w:rsidR="00A62C34">
        <w:t xml:space="preserve"> into a </w:t>
      </w:r>
      <w:r w:rsidR="00C621AC">
        <w:t xml:space="preserve">flat </w:t>
      </w:r>
      <w:r w:rsidR="00A62C34">
        <w:t xml:space="preserve">vector of size 4 x </w:t>
      </w:r>
      <w:r w:rsidR="00A62C34">
        <w:rPr>
          <w:i/>
        </w:rPr>
        <w:t xml:space="preserve">k </w:t>
      </w:r>
      <w:r w:rsidR="00737F6B">
        <w:t xml:space="preserve">and </w:t>
      </w:r>
      <w:r w:rsidR="00AF1115">
        <w:t xml:space="preserve">project </w:t>
      </w:r>
      <w:r w:rsidR="00A62C34">
        <w:t>it</w:t>
      </w:r>
      <w:r w:rsidR="004768C1">
        <w:t xml:space="preserve"> onto an output layer which for each class in the sequence modeling</w:t>
      </w:r>
      <w:r w:rsidR="009C5669">
        <w:t xml:space="preserve"> task has a</w:t>
      </w:r>
      <w:r w:rsidR="004768C1">
        <w:t xml:space="preserve"> </w:t>
      </w:r>
      <w:r w:rsidR="00C621AC">
        <w:t xml:space="preserve">unique </w:t>
      </w:r>
      <w:r w:rsidR="004768C1">
        <w:t>ou</w:t>
      </w:r>
      <w:r w:rsidR="00310E57">
        <w:t>t</w:t>
      </w:r>
      <w:r w:rsidR="004768C1">
        <w:t xml:space="preserve">put </w:t>
      </w:r>
      <w:r w:rsidR="00C621AC">
        <w:t>neuron</w:t>
      </w:r>
      <w:r w:rsidR="004768C1">
        <w:t xml:space="preserve">. A standard </w:t>
      </w:r>
      <w:r w:rsidR="00B673E0">
        <w:t>“</w:t>
      </w:r>
      <w:r w:rsidR="004768C1">
        <w:t>softmax</w:t>
      </w:r>
      <w:r w:rsidR="00B673E0">
        <w:t>”</w:t>
      </w:r>
      <w:r w:rsidR="004768C1">
        <w:t xml:space="preserve"> normalization is applied to normalize the activations of these output neurons</w:t>
      </w:r>
      <w:r w:rsidR="00B673E0">
        <w:t>,</w:t>
      </w:r>
      <w:r w:rsidR="00310E57">
        <w:t xml:space="preserve"> as if they were probabilities</w:t>
      </w:r>
      <w:r w:rsidR="00C621AC">
        <w:t xml:space="preserve"> (summing to 1)</w:t>
      </w:r>
      <w:r w:rsidR="004768C1">
        <w:t>.</w:t>
      </w:r>
      <w:r w:rsidR="00EE6D77">
        <w:t xml:space="preserve"> All the parameter weights in this architecture are </w:t>
      </w:r>
      <w:r w:rsidR="000F2715">
        <w:t xml:space="preserve">first </w:t>
      </w:r>
      <w:r w:rsidR="00811082">
        <w:t>initiali</w:t>
      </w:r>
      <w:r w:rsidR="00C621AC">
        <w:t xml:space="preserve">zed using a random distribution, </w:t>
      </w:r>
      <w:r w:rsidR="00EE6D77">
        <w:t>except for the contextual subnets, which are initialized using the word2vec encoding.</w:t>
      </w:r>
      <w:r w:rsidR="00EF311B">
        <w:t xml:space="preserve"> We train the neural network using gradient descent. Briefly put, </w:t>
      </w:r>
      <w:r w:rsidR="00C621AC">
        <w:t>this learning algorithm will start predicting a batch of the training examples using the randomly initialized weights. It will then calculate the prediction loss in which this results</w:t>
      </w:r>
      <w:r w:rsidR="00BB5962">
        <w:t xml:space="preserve"> with respect to the correct labels</w:t>
      </w:r>
      <w:r w:rsidR="00C621AC">
        <w:t>, which will initially be extremely high</w:t>
      </w:r>
      <w:r w:rsidR="00BB5962">
        <w:t xml:space="preserve"> of course</w:t>
      </w:r>
      <w:r w:rsidR="00C621AC">
        <w:t>. Then, it will determine how each weight individually contributed to this loss</w:t>
      </w:r>
      <w:r w:rsidR="00D24790">
        <w:t xml:space="preserve"> and </w:t>
      </w:r>
      <w:r w:rsidR="003B5B38">
        <w:t xml:space="preserve">thus </w:t>
      </w:r>
      <w:r w:rsidR="00BB5962">
        <w:t>apple</w:t>
      </w:r>
      <w:r w:rsidR="00D24790">
        <w:t xml:space="preserve"> a small update </w:t>
      </w:r>
      <w:r w:rsidR="003B5B38">
        <w:t>to this weight</w:t>
      </w:r>
      <w:r w:rsidR="00944192">
        <w:t>, which would have decreased the prediction error</w:t>
      </w:r>
      <w:r w:rsidR="001062B0">
        <w:t xml:space="preserve"> which it caused</w:t>
      </w:r>
      <w:r w:rsidR="00CC4369">
        <w:t>.</w:t>
      </w:r>
    </w:p>
    <w:p w14:paraId="315DB1A9" w14:textId="77777777" w:rsidR="00CC4369" w:rsidRDefault="00CC4369" w:rsidP="00A62C34">
      <w:pPr>
        <w:jc w:val="both"/>
      </w:pPr>
    </w:p>
    <w:p w14:paraId="1E26C04E" w14:textId="0E01CE60" w:rsidR="00944192" w:rsidRDefault="00944192" w:rsidP="00944192">
      <w:pPr>
        <w:jc w:val="both"/>
      </w:pPr>
      <w:r>
        <w:t xml:space="preserve">During a </w:t>
      </w:r>
      <w:r w:rsidR="001062B0">
        <w:t xml:space="preserve">fixed </w:t>
      </w:r>
      <w:r>
        <w:t>number of epochs</w:t>
      </w:r>
      <w:r w:rsidR="001062B0">
        <w:t xml:space="preserve"> (e.g. 100), we feed the training data through this network</w:t>
      </w:r>
      <w:r w:rsidR="00CC4369">
        <w:t>, divided</w:t>
      </w:r>
      <w:r w:rsidR="001062B0">
        <w:t xml:space="preserve"> in </w:t>
      </w:r>
      <w:r w:rsidR="00CC4369">
        <w:t xml:space="preserve">a number of </w:t>
      </w:r>
      <w:r w:rsidR="001062B0">
        <w:t xml:space="preserve">random jumbled mini-batches, </w:t>
      </w:r>
      <w:r w:rsidR="00FA6ED2">
        <w:t xml:space="preserve">thus each </w:t>
      </w:r>
      <w:r w:rsidR="00F569D1">
        <w:t xml:space="preserve">time </w:t>
      </w:r>
      <w:r w:rsidR="00CC4369">
        <w:t>tightening the fit of the network with respect to the correct class labels. The actual loss of the network is not measured in terms of accuracy, but in terms of cross-entropy, a common loss measure in the field.</w:t>
      </w:r>
      <w:r w:rsidR="008A2092">
        <w:t xml:space="preserve"> </w:t>
      </w:r>
      <w:r w:rsidR="00761EFC">
        <w:t xml:space="preserve">We </w:t>
      </w:r>
      <w:r w:rsidR="008A2092">
        <w:t>adopt</w:t>
      </w:r>
      <w:r w:rsidR="00761EFC">
        <w:t xml:space="preserve"> a mini-batch size of 50: this is a fairly small batch size in the literature, but this restricted </w:t>
      </w:r>
      <w:r w:rsidR="008A2092">
        <w:t xml:space="preserve">batch </w:t>
      </w:r>
      <w:r w:rsidR="00761EFC">
        <w:t>size proved necessary to avoid the higher-frequency items from dominating the gradient updates in a mini-batch.</w:t>
      </w:r>
      <w:r w:rsidR="008A2092">
        <w:t xml:space="preserve"> </w:t>
      </w:r>
      <w:r>
        <w:t xml:space="preserve">We use the </w:t>
      </w:r>
      <w:r w:rsidR="008A2092">
        <w:t xml:space="preserve">adaptive, </w:t>
      </w:r>
      <w:r>
        <w:t>so-called “adagr</w:t>
      </w:r>
      <w:r w:rsidR="008A2092">
        <w:t xml:space="preserve">ad” optimization </w:t>
      </w:r>
      <w:r w:rsidR="00467C08">
        <w:t>mechanism</w:t>
      </w:r>
      <w:r w:rsidR="008A2092">
        <w:t>, which will</w:t>
      </w:r>
      <w:r>
        <w:t xml:space="preserve"> for each </w:t>
      </w:r>
      <w:r w:rsidR="008A2092">
        <w:t>weight individually</w:t>
      </w:r>
      <w:r w:rsidR="00467C08">
        <w:t>. Importantly, this avoids the need to empirically set a learning rate at the beginning of training, since the algorithm will independently re-adapt this rate</w:t>
      </w:r>
      <w:r w:rsidR="00621B4E">
        <w:t xml:space="preserve">, </w:t>
      </w:r>
      <w:r w:rsidR="00621B4E">
        <w:t xml:space="preserve">keeping track of the </w:t>
      </w:r>
      <w:r w:rsidR="00621B4E">
        <w:t>track of the loss history</w:t>
      </w:r>
      <w:r w:rsidR="00467C08">
        <w:t xml:space="preserve"> on a per-weight basis.</w:t>
      </w:r>
    </w:p>
    <w:p w14:paraId="77554AE2" w14:textId="77777777" w:rsidR="00944192" w:rsidRDefault="00944192" w:rsidP="00A62C34">
      <w:pPr>
        <w:jc w:val="both"/>
      </w:pPr>
    </w:p>
    <w:p w14:paraId="6F701538" w14:textId="45E93223" w:rsidR="00761EFC" w:rsidRPr="008A2092" w:rsidRDefault="008A2092" w:rsidP="00F77BFF">
      <w:pPr>
        <w:jc w:val="both"/>
        <w:rPr>
          <w:i/>
        </w:rPr>
      </w:pPr>
      <w:r w:rsidRPr="008A2092">
        <w:rPr>
          <w:i/>
        </w:rPr>
        <w:t>General comments</w:t>
      </w:r>
    </w:p>
    <w:p w14:paraId="61793234" w14:textId="2EEB3228" w:rsidR="00AF1115" w:rsidRDefault="001F00D1" w:rsidP="00F77BFF">
      <w:pPr>
        <w:jc w:val="both"/>
      </w:pPr>
      <w:r>
        <w:t xml:space="preserve">All dense connections in this network make use </w:t>
      </w:r>
      <w:r w:rsidR="00C60E91">
        <w:t>of a “relu” activation (</w:t>
      </w:r>
      <w:r w:rsidR="00C60E91" w:rsidRPr="00EC4F6A">
        <w:rPr>
          <w:i/>
        </w:rPr>
        <w:t>rectified linear unit</w:t>
      </w:r>
      <w:r w:rsidR="00C60E91">
        <w:t xml:space="preserve">), will ignore negative weights, encouraging connections to only </w:t>
      </w:r>
      <w:r w:rsidR="00EC4F6A">
        <w:t>collect</w:t>
      </w:r>
      <w:r w:rsidR="00C60E91">
        <w:t xml:space="preserve"> positive </w:t>
      </w:r>
      <w:r w:rsidR="00EC4F6A">
        <w:t>features</w:t>
      </w:r>
      <w:r w:rsidR="00C60E91">
        <w:t xml:space="preserve">. Additionally, all dense layers </w:t>
      </w:r>
      <w:r>
        <w:t xml:space="preserve">of </w:t>
      </w:r>
      <w:r w:rsidR="00483982">
        <w:t xml:space="preserve">the </w:t>
      </w:r>
      <w:r>
        <w:t xml:space="preserve">so-called “dropout” </w:t>
      </w:r>
      <w:r w:rsidR="00483982">
        <w:t xml:space="preserve">procedure </w:t>
      </w:r>
      <w:r>
        <w:t>during training</w:t>
      </w:r>
      <w:r w:rsidR="00D93BD7">
        <w:t xml:space="preserve"> (with </w:t>
      </w:r>
      <w:r w:rsidR="00D93BD7" w:rsidRPr="00D93BD7">
        <w:rPr>
          <w:i/>
        </w:rPr>
        <w:t>p</w:t>
      </w:r>
      <w:r w:rsidR="00D93BD7">
        <w:t>=0.50)</w:t>
      </w:r>
      <w:r>
        <w:t>, meaning that in each mini</w:t>
      </w:r>
      <w:r w:rsidR="00033F9C">
        <w:t>-</w:t>
      </w:r>
      <w:r>
        <w:t>batch</w:t>
      </w:r>
      <w:r w:rsidR="00D93BD7">
        <w:t>,</w:t>
      </w:r>
      <w:r>
        <w:t xml:space="preserve"> </w:t>
      </w:r>
      <w:r w:rsidR="00D93BD7">
        <w:t>half of the connections in</w:t>
      </w:r>
      <w:r w:rsidR="00033F9C">
        <w:t xml:space="preserve"> the dense layer</w:t>
      </w:r>
      <w:r w:rsidR="00D93BD7">
        <w:t>s</w:t>
      </w:r>
      <w:r w:rsidR="00033F9C">
        <w:t xml:space="preserve"> are randomly dropped. </w:t>
      </w:r>
      <w:r w:rsidR="00D93BD7">
        <w:t xml:space="preserve">This technique has various beneficial effects on training, the most important being that it forces the network to be less dependent on the specific presence of certain features in the input, thus avoiding over-fitting on specific instances in the training data. Apart from its </w:t>
      </w:r>
      <w:r w:rsidR="0019099D">
        <w:t>general usefulness during training</w:t>
      </w:r>
      <w:r w:rsidR="00D93BD7">
        <w:t>, the dropout procedure has one important advantage</w:t>
      </w:r>
      <w:r w:rsidR="0019099D">
        <w:t xml:space="preserve"> in our system</w:t>
      </w:r>
      <w:r w:rsidR="00D93BD7">
        <w:t xml:space="preserve">: </w:t>
      </w:r>
      <w:r w:rsidR="0019099D">
        <w:t xml:space="preserve">during training this procedure will also affect the dense layer mapping the one-hot encoding of the input tokens to the target labels, </w:t>
      </w:r>
      <w:r w:rsidR="00D93BD7">
        <w:t xml:space="preserve">which may or may </w:t>
      </w:r>
      <w:r w:rsidR="0019099D">
        <w:t xml:space="preserve">not </w:t>
      </w:r>
      <w:r w:rsidR="00D93BD7">
        <w:t>affect</w:t>
      </w:r>
      <w:r w:rsidR="0019099D">
        <w:t xml:space="preserve"> the single activation of the actual target token</w:t>
      </w:r>
      <w:r w:rsidR="00D93BD7">
        <w:t xml:space="preserve">. </w:t>
      </w:r>
      <w:r w:rsidR="002343AC">
        <w:t>When this activation is indeed affected, this will simulate the presence of an unknown token during training</w:t>
      </w:r>
      <w:r w:rsidR="009E1F4A">
        <w:t xml:space="preserve">, since it will seem no one-hot encoding is present for a particular token. This will cause the network to </w:t>
      </w:r>
      <w:r w:rsidR="00AB56AA">
        <w:t>shift the attention during</w:t>
      </w:r>
      <w:r w:rsidR="009E1F4A">
        <w:t xml:space="preserve"> </w:t>
      </w:r>
      <w:r w:rsidR="00F73640">
        <w:t xml:space="preserve">the backpropagation procedure to the convolutional layer, and </w:t>
      </w:r>
      <w:r w:rsidR="00AB56AA">
        <w:t xml:space="preserve">thus </w:t>
      </w:r>
      <w:r w:rsidR="00F73640">
        <w:t xml:space="preserve">also learn useful </w:t>
      </w:r>
      <w:r w:rsidR="00AB56AA">
        <w:t>filters for known words</w:t>
      </w:r>
      <w:r w:rsidR="00C60E91">
        <w:t>.</w:t>
      </w:r>
    </w:p>
    <w:p w14:paraId="0FEFE90C" w14:textId="77777777" w:rsidR="00EC4F6A" w:rsidRDefault="00EC4F6A" w:rsidP="00F77BFF">
      <w:pPr>
        <w:jc w:val="both"/>
      </w:pPr>
    </w:p>
    <w:p w14:paraId="22093573" w14:textId="28CE981A" w:rsidR="00F57957" w:rsidRDefault="003E0346" w:rsidP="00FB5F2E">
      <w:pPr>
        <w:jc w:val="both"/>
      </w:pPr>
      <w:r>
        <w:t>An</w:t>
      </w:r>
      <w:r w:rsidR="00EC4F6A">
        <w:t xml:space="preserve"> </w:t>
      </w:r>
      <w:r>
        <w:t xml:space="preserve">implementation </w:t>
      </w:r>
      <w:r w:rsidR="007A61D2">
        <w:t xml:space="preserve">of </w:t>
      </w:r>
      <w:r w:rsidR="00634238">
        <w:t>the proposed architecture</w:t>
      </w:r>
      <w:r w:rsidR="007A61D2">
        <w:t xml:space="preserve"> </w:t>
      </w:r>
      <w:r w:rsidR="00871E58">
        <w:t xml:space="preserve">is </w:t>
      </w:r>
      <w:r w:rsidR="00106727">
        <w:t xml:space="preserve">freely </w:t>
      </w:r>
      <w:r w:rsidR="00871E58">
        <w:t xml:space="preserve">available </w:t>
      </w:r>
      <w:r>
        <w:t xml:space="preserve">is from the public software repository associated with this paper – where possible, this repository also holds the data </w:t>
      </w:r>
      <w:r w:rsidR="00634238">
        <w:t xml:space="preserve">sets used below, </w:t>
      </w:r>
      <w:r w:rsidR="00106727">
        <w:t>as well as</w:t>
      </w:r>
      <w:r w:rsidR="00634238">
        <w:t xml:space="preserve"> trained models which can be applied to new data out of the box. Our system is implemented </w:t>
      </w:r>
      <w:r w:rsidR="00AD3F07">
        <w:t xml:space="preserve">in Python, using the </w:t>
      </w:r>
      <w:r w:rsidR="00AD3F07" w:rsidRPr="00AD3F07">
        <w:rPr>
          <w:i/>
        </w:rPr>
        <w:t>keras</w:t>
      </w:r>
      <w:r w:rsidR="00206ECB">
        <w:t xml:space="preserve"> library built on top of </w:t>
      </w:r>
      <w:r w:rsidR="00206ECB" w:rsidRPr="007F5E11">
        <w:rPr>
          <w:i/>
        </w:rPr>
        <w:t>t</w:t>
      </w:r>
      <w:r w:rsidR="00AD3F07" w:rsidRPr="007F5E11">
        <w:rPr>
          <w:i/>
        </w:rPr>
        <w:t>heano</w:t>
      </w:r>
      <w:r w:rsidR="00206ECB">
        <w:t xml:space="preserve">; the latter </w:t>
      </w:r>
      <w:r w:rsidR="007F5E11">
        <w:t xml:space="preserve">library </w:t>
      </w:r>
      <w:r w:rsidR="00206ECB">
        <w:t>provide</w:t>
      </w:r>
      <w:r w:rsidR="009B138A">
        <w:t>s automatic different</w:t>
      </w:r>
      <w:r w:rsidR="00206ECB">
        <w:t>i</w:t>
      </w:r>
      <w:r w:rsidR="009B138A">
        <w:t>a</w:t>
      </w:r>
      <w:r w:rsidR="00206ECB">
        <w:t>t</w:t>
      </w:r>
      <w:r w:rsidR="009B138A">
        <w:t>i</w:t>
      </w:r>
      <w:r w:rsidR="00206ECB">
        <w:t>on for arbitrary graphs</w:t>
      </w:r>
      <w:r w:rsidR="007F5E11">
        <w:t xml:space="preserve"> and allow to execute code on the GPU</w:t>
      </w:r>
      <w:r w:rsidR="00634238">
        <w:t xml:space="preserve">. </w:t>
      </w:r>
      <w:r w:rsidR="00206ECB">
        <w:t xml:space="preserve">Other major dependencies of our code include </w:t>
      </w:r>
      <w:r w:rsidR="00206ECB" w:rsidRPr="00206ECB">
        <w:rPr>
          <w:i/>
        </w:rPr>
        <w:t>skikit-learn</w:t>
      </w:r>
      <w:r w:rsidR="00206ECB">
        <w:t xml:space="preserve"> and </w:t>
      </w:r>
      <w:r w:rsidR="00206ECB" w:rsidRPr="00206ECB">
        <w:rPr>
          <w:i/>
        </w:rPr>
        <w:t>gensim</w:t>
      </w:r>
      <w:r w:rsidR="00206ECB">
        <w:t xml:space="preserve">. </w:t>
      </w:r>
      <w:r w:rsidR="00634238">
        <w:t xml:space="preserve">The system is language-independent and could </w:t>
      </w:r>
      <w:r w:rsidR="00634238">
        <w:t xml:space="preserve">in principle </w:t>
      </w:r>
      <w:r w:rsidR="00634238">
        <w:t>easily be retrained on new</w:t>
      </w:r>
      <w:r w:rsidR="007F5E11">
        <w:t>, similar</w:t>
      </w:r>
      <w:r w:rsidR="00634238">
        <w:t xml:space="preserve"> datasets.</w:t>
      </w:r>
    </w:p>
    <w:p w14:paraId="565433D9" w14:textId="77777777" w:rsidR="00F57957" w:rsidRDefault="00F57957"/>
    <w:p w14:paraId="475558B9" w14:textId="77777777" w:rsidR="003A15EE" w:rsidRDefault="003A15EE"/>
    <w:p w14:paraId="5DFAF176" w14:textId="5B6C0687" w:rsidR="00B93846" w:rsidRPr="00FB5F2E" w:rsidRDefault="00B93846">
      <w:pPr>
        <w:rPr>
          <w:b/>
        </w:rPr>
      </w:pPr>
      <w:r w:rsidRPr="00FB5F2E">
        <w:rPr>
          <w:b/>
        </w:rPr>
        <w:t>Datasets</w:t>
      </w:r>
    </w:p>
    <w:p w14:paraId="013C7481" w14:textId="2BAAE8C8" w:rsidR="008A504C" w:rsidRPr="00A14E3E" w:rsidRDefault="008A504C" w:rsidP="008A504C">
      <w:pPr>
        <w:jc w:val="both"/>
        <w:rPr>
          <w:rFonts w:cs="Times New Roman"/>
        </w:rPr>
      </w:pPr>
      <w:r w:rsidRPr="00A14E3E">
        <w:rPr>
          <w:rFonts w:cs="Times New Roman"/>
        </w:rPr>
        <w:t xml:space="preserve">In this paper we </w:t>
      </w:r>
      <w:r>
        <w:rPr>
          <w:rFonts w:cs="Times New Roman"/>
        </w:rPr>
        <w:t>report results on</w:t>
      </w:r>
      <w:r w:rsidRPr="00A14E3E">
        <w:rPr>
          <w:rFonts w:cs="Times New Roman"/>
        </w:rPr>
        <w:t xml:space="preserve"> four different Middle Dutch data sets</w:t>
      </w:r>
      <w:r w:rsidR="00F6670C">
        <w:rPr>
          <w:rFonts w:cs="Times New Roman"/>
        </w:rPr>
        <w:t>, which offer a representative example of European historic languages</w:t>
      </w:r>
      <w:r w:rsidRPr="00A14E3E">
        <w:rPr>
          <w:rFonts w:cs="Times New Roman"/>
        </w:rPr>
        <w:t xml:space="preserve">. First of all, we use two administrative data sets, both charter collections. The </w:t>
      </w:r>
      <w:r w:rsidRPr="00A14E3E">
        <w:rPr>
          <w:rFonts w:cs="Times New Roman"/>
          <w:smallCaps/>
        </w:rPr>
        <w:t>cg-admin</w:t>
      </w:r>
      <w:r w:rsidRPr="00A14E3E">
        <w:rPr>
          <w:rFonts w:cs="Times New Roman"/>
        </w:rPr>
        <w:t xml:space="preserve"> contains the charter collection edited by Gysseling (Gysseling, 1977) which has recently been digitized and annotated (Institute for Dutch Lexicography, 1998). These charters all survive in originals predating ca. 1300 AD.</w:t>
      </w:r>
      <w:r w:rsidRPr="00A14E3E">
        <w:rPr>
          <w:rStyle w:val="FootnoteReference"/>
          <w:rFonts w:cs="Times New Roman"/>
        </w:rPr>
        <w:footnoteReference w:id="2"/>
      </w:r>
      <w:r w:rsidRPr="00A14E3E">
        <w:rPr>
          <w:rFonts w:cs="Times New Roman"/>
        </w:rPr>
        <w:t xml:space="preserve"> Secondly, we use the </w:t>
      </w:r>
      <w:r w:rsidRPr="00A14E3E">
        <w:rPr>
          <w:rFonts w:cs="Times New Roman"/>
          <w:smallCaps/>
        </w:rPr>
        <w:t>crm-adelheid</w:t>
      </w:r>
      <w:r w:rsidRPr="00A14E3E">
        <w:rPr>
          <w:rFonts w:cs="Times New Roman"/>
        </w:rPr>
        <w:t xml:space="preserve"> collection, a comparable collection of fourteenth century Middle Dutch charters, which has been the subject of a study comparable to ours (Van Halteren </w:t>
      </w:r>
      <w:r w:rsidRPr="00A14E3E">
        <w:rPr>
          <w:rFonts w:cs="Times New Roman"/>
          <w:i/>
        </w:rPr>
        <w:t>et al.</w:t>
      </w:r>
      <w:r w:rsidRPr="00A14E3E">
        <w:rPr>
          <w:rFonts w:cs="Times New Roman"/>
        </w:rPr>
        <w:t xml:space="preserve">, 2013). As literary materials, we first of all use the literary counterpart of </w:t>
      </w:r>
      <w:r w:rsidRPr="00A14E3E">
        <w:rPr>
          <w:rFonts w:cs="Times New Roman"/>
          <w:smallCaps/>
        </w:rPr>
        <w:t>cg-admin</w:t>
      </w:r>
      <w:r w:rsidRPr="00A14E3E">
        <w:rPr>
          <w:rFonts w:cs="Times New Roman"/>
        </w:rPr>
        <w:t xml:space="preserve"> in the Corpus-Gysseling, a collection of Middle Dutch literary texts that all survive in manuscript copies predating ca. 1300 AD (Gysseling, 1980-1987; Institute Dutch for Lexicography, 1998; Kestemont, De Pauw &amp; Daelemans, ). Thirdly, we also use a newly created smaller corpus of Middle Dutch religious texts (e.g. sermons, bible translation, visions, …), most of which are at least semi-literary in nature. This last data set (</w:t>
      </w:r>
      <w:r w:rsidRPr="00A14E3E">
        <w:rPr>
          <w:rFonts w:cs="Times New Roman"/>
          <w:smallCaps/>
        </w:rPr>
        <w:t>relig</w:t>
      </w:r>
      <w:r w:rsidRPr="00A14E3E">
        <w:rPr>
          <w:rFonts w:cs="Times New Roman"/>
        </w:rPr>
        <w:t>) is released together with this article and is documented in appendix A.</w:t>
      </w:r>
    </w:p>
    <w:p w14:paraId="074E28BF" w14:textId="77777777" w:rsidR="008A504C" w:rsidRPr="00A14E3E" w:rsidRDefault="008A504C" w:rsidP="008A504C">
      <w:pPr>
        <w:jc w:val="both"/>
        <w:rPr>
          <w:rFonts w:cs="Times New Roman"/>
        </w:rPr>
      </w:pPr>
    </w:p>
    <w:p w14:paraId="5C7DDD7C" w14:textId="6A588E01" w:rsidR="008A504C" w:rsidRPr="00A14E3E" w:rsidRDefault="008A504C" w:rsidP="008A504C">
      <w:pPr>
        <w:jc w:val="both"/>
        <w:rPr>
          <w:rFonts w:cs="Times New Roman"/>
        </w:rPr>
      </w:pPr>
      <w:r w:rsidRPr="00A14E3E">
        <w:rPr>
          <w:rFonts w:cs="Times New Roman"/>
        </w:rPr>
        <w:t xml:space="preserve">Table 1: Overview of the </w:t>
      </w:r>
      <w:r w:rsidR="00F6670C">
        <w:rPr>
          <w:rFonts w:cs="Times New Roman"/>
        </w:rPr>
        <w:t xml:space="preserve">Middle Dutch </w:t>
      </w:r>
      <w:r w:rsidRPr="00A14E3E">
        <w:rPr>
          <w:rFonts w:cs="Times New Roman"/>
        </w:rPr>
        <w:t>corpora and splits</w:t>
      </w:r>
    </w:p>
    <w:tbl>
      <w:tblPr>
        <w:tblStyle w:val="TableGrid"/>
        <w:tblW w:w="0" w:type="auto"/>
        <w:tblLook w:val="04A0" w:firstRow="1" w:lastRow="0" w:firstColumn="1" w:lastColumn="0" w:noHBand="0" w:noVBand="1"/>
      </w:tblPr>
      <w:tblGrid>
        <w:gridCol w:w="2279"/>
        <w:gridCol w:w="1549"/>
        <w:gridCol w:w="1656"/>
        <w:gridCol w:w="1603"/>
        <w:gridCol w:w="1429"/>
      </w:tblGrid>
      <w:tr w:rsidR="008A504C" w:rsidRPr="00A14E3E" w14:paraId="0739C70F" w14:textId="77777777" w:rsidTr="00101942">
        <w:tc>
          <w:tcPr>
            <w:tcW w:w="2279" w:type="dxa"/>
          </w:tcPr>
          <w:p w14:paraId="63A6C8EE" w14:textId="77777777" w:rsidR="008A504C" w:rsidRPr="00A14E3E" w:rsidRDefault="008A504C" w:rsidP="00101942">
            <w:pPr>
              <w:jc w:val="both"/>
              <w:rPr>
                <w:rFonts w:cs="Times New Roman"/>
                <w:b/>
                <w:sz w:val="20"/>
                <w:szCs w:val="20"/>
              </w:rPr>
            </w:pPr>
            <w:r w:rsidRPr="00A14E3E">
              <w:rPr>
                <w:rFonts w:cs="Times New Roman"/>
                <w:b/>
                <w:sz w:val="20"/>
                <w:szCs w:val="20"/>
              </w:rPr>
              <w:t>Name</w:t>
            </w:r>
          </w:p>
        </w:tc>
        <w:tc>
          <w:tcPr>
            <w:tcW w:w="1549" w:type="dxa"/>
          </w:tcPr>
          <w:p w14:paraId="107743C1" w14:textId="77777777" w:rsidR="008A504C" w:rsidRPr="00A14E3E" w:rsidRDefault="008A504C" w:rsidP="00101942">
            <w:pPr>
              <w:jc w:val="both"/>
              <w:rPr>
                <w:rFonts w:cs="Times New Roman"/>
                <w:sz w:val="20"/>
                <w:szCs w:val="20"/>
              </w:rPr>
            </w:pPr>
            <w:r w:rsidRPr="00A14E3E">
              <w:rPr>
                <w:rFonts w:cs="Times New Roman"/>
                <w:sz w:val="20"/>
                <w:szCs w:val="20"/>
              </w:rPr>
              <w:t>Corpus-Gysseling: Literary texts</w:t>
            </w:r>
          </w:p>
        </w:tc>
        <w:tc>
          <w:tcPr>
            <w:tcW w:w="1656" w:type="dxa"/>
          </w:tcPr>
          <w:p w14:paraId="4A6F0F2A" w14:textId="77777777" w:rsidR="008A504C" w:rsidRPr="00A14E3E" w:rsidRDefault="008A504C" w:rsidP="00101942">
            <w:pPr>
              <w:jc w:val="both"/>
              <w:rPr>
                <w:rFonts w:cs="Times New Roman"/>
                <w:sz w:val="20"/>
                <w:szCs w:val="20"/>
              </w:rPr>
            </w:pPr>
            <w:r w:rsidRPr="00A14E3E">
              <w:rPr>
                <w:rFonts w:cs="Times New Roman"/>
                <w:sz w:val="20"/>
                <w:szCs w:val="20"/>
              </w:rPr>
              <w:t>Corpus-Gysseling: Administrative texts</w:t>
            </w:r>
          </w:p>
        </w:tc>
        <w:tc>
          <w:tcPr>
            <w:tcW w:w="1603" w:type="dxa"/>
          </w:tcPr>
          <w:p w14:paraId="21A5A61C" w14:textId="77777777" w:rsidR="008A504C" w:rsidRPr="00A14E3E" w:rsidRDefault="008A504C" w:rsidP="00101942">
            <w:pPr>
              <w:jc w:val="both"/>
              <w:rPr>
                <w:rFonts w:cs="Times New Roman"/>
                <w:sz w:val="20"/>
                <w:szCs w:val="20"/>
              </w:rPr>
            </w:pPr>
            <w:r w:rsidRPr="00A14E3E">
              <w:rPr>
                <w:rFonts w:cs="Times New Roman"/>
                <w:sz w:val="20"/>
                <w:szCs w:val="20"/>
              </w:rPr>
              <w:t>Miscellaneous religious texts</w:t>
            </w:r>
          </w:p>
        </w:tc>
        <w:tc>
          <w:tcPr>
            <w:tcW w:w="1429" w:type="dxa"/>
          </w:tcPr>
          <w:p w14:paraId="6AE25091" w14:textId="77777777" w:rsidR="008A504C" w:rsidRPr="00A14E3E" w:rsidRDefault="008A504C" w:rsidP="00101942">
            <w:pPr>
              <w:jc w:val="both"/>
              <w:rPr>
                <w:rFonts w:cs="Times New Roman"/>
                <w:sz w:val="20"/>
                <w:szCs w:val="20"/>
              </w:rPr>
            </w:pPr>
            <w:r w:rsidRPr="00A14E3E">
              <w:rPr>
                <w:rFonts w:cs="Times New Roman"/>
                <w:sz w:val="20"/>
                <w:szCs w:val="20"/>
              </w:rPr>
              <w:t>Van Reenen-Mulder-Adelheid-corpus</w:t>
            </w:r>
          </w:p>
        </w:tc>
      </w:tr>
      <w:tr w:rsidR="008A504C" w:rsidRPr="00A14E3E" w14:paraId="7157CA3B" w14:textId="77777777" w:rsidTr="00101942">
        <w:tc>
          <w:tcPr>
            <w:tcW w:w="2279" w:type="dxa"/>
          </w:tcPr>
          <w:p w14:paraId="4E965201" w14:textId="77777777" w:rsidR="008A504C" w:rsidRPr="00A14E3E" w:rsidRDefault="008A504C" w:rsidP="00101942">
            <w:pPr>
              <w:jc w:val="both"/>
              <w:rPr>
                <w:rFonts w:cs="Times New Roman"/>
                <w:b/>
                <w:sz w:val="20"/>
                <w:szCs w:val="20"/>
              </w:rPr>
            </w:pPr>
            <w:r w:rsidRPr="00A14E3E">
              <w:rPr>
                <w:rFonts w:cs="Times New Roman"/>
                <w:b/>
                <w:sz w:val="20"/>
                <w:szCs w:val="20"/>
              </w:rPr>
              <w:t>Abbreviation</w:t>
            </w:r>
          </w:p>
        </w:tc>
        <w:tc>
          <w:tcPr>
            <w:tcW w:w="1549" w:type="dxa"/>
          </w:tcPr>
          <w:p w14:paraId="77D4DC1B" w14:textId="77777777" w:rsidR="008A504C" w:rsidRPr="00A14E3E" w:rsidRDefault="008A504C" w:rsidP="00101942">
            <w:pPr>
              <w:jc w:val="both"/>
              <w:rPr>
                <w:rFonts w:cs="Times New Roman"/>
                <w:smallCaps/>
                <w:sz w:val="20"/>
                <w:szCs w:val="20"/>
              </w:rPr>
            </w:pPr>
            <w:r w:rsidRPr="00A14E3E">
              <w:rPr>
                <w:rFonts w:cs="Times New Roman"/>
                <w:smallCaps/>
                <w:sz w:val="20"/>
                <w:szCs w:val="20"/>
              </w:rPr>
              <w:t>cg-lit</w:t>
            </w:r>
          </w:p>
        </w:tc>
        <w:tc>
          <w:tcPr>
            <w:tcW w:w="1656" w:type="dxa"/>
          </w:tcPr>
          <w:p w14:paraId="3C0CFFA7" w14:textId="77777777" w:rsidR="008A504C" w:rsidRPr="00A14E3E" w:rsidRDefault="008A504C" w:rsidP="00101942">
            <w:pPr>
              <w:jc w:val="both"/>
              <w:rPr>
                <w:rFonts w:cs="Times New Roman"/>
                <w:smallCaps/>
                <w:sz w:val="20"/>
                <w:szCs w:val="20"/>
              </w:rPr>
            </w:pPr>
            <w:r w:rsidRPr="00A14E3E">
              <w:rPr>
                <w:rFonts w:cs="Times New Roman"/>
                <w:smallCaps/>
                <w:sz w:val="20"/>
                <w:szCs w:val="20"/>
              </w:rPr>
              <w:t>cg-admin</w:t>
            </w:r>
          </w:p>
        </w:tc>
        <w:tc>
          <w:tcPr>
            <w:tcW w:w="1603" w:type="dxa"/>
          </w:tcPr>
          <w:p w14:paraId="59B88FA5" w14:textId="77777777" w:rsidR="008A504C" w:rsidRPr="00A14E3E" w:rsidRDefault="008A504C" w:rsidP="00101942">
            <w:pPr>
              <w:jc w:val="both"/>
              <w:rPr>
                <w:rFonts w:cs="Times New Roman"/>
                <w:smallCaps/>
                <w:sz w:val="20"/>
                <w:szCs w:val="20"/>
              </w:rPr>
            </w:pPr>
            <w:r w:rsidRPr="00A14E3E">
              <w:rPr>
                <w:rFonts w:cs="Times New Roman"/>
                <w:smallCaps/>
                <w:sz w:val="20"/>
                <w:szCs w:val="20"/>
              </w:rPr>
              <w:t>relig</w:t>
            </w:r>
          </w:p>
        </w:tc>
        <w:tc>
          <w:tcPr>
            <w:tcW w:w="1429" w:type="dxa"/>
          </w:tcPr>
          <w:p w14:paraId="186B8EF3" w14:textId="77777777" w:rsidR="008A504C" w:rsidRPr="00A14E3E" w:rsidRDefault="008A504C" w:rsidP="00101942">
            <w:pPr>
              <w:jc w:val="both"/>
              <w:rPr>
                <w:rFonts w:cs="Times New Roman"/>
                <w:smallCaps/>
                <w:sz w:val="20"/>
                <w:szCs w:val="20"/>
              </w:rPr>
            </w:pPr>
            <w:r w:rsidRPr="00A14E3E">
              <w:rPr>
                <w:rFonts w:cs="Times New Roman"/>
                <w:smallCaps/>
                <w:sz w:val="20"/>
                <w:szCs w:val="20"/>
              </w:rPr>
              <w:t>adelheid</w:t>
            </w:r>
          </w:p>
        </w:tc>
      </w:tr>
      <w:tr w:rsidR="008A504C" w:rsidRPr="00A14E3E" w14:paraId="7848432A" w14:textId="77777777" w:rsidTr="00101942">
        <w:tc>
          <w:tcPr>
            <w:tcW w:w="2279" w:type="dxa"/>
          </w:tcPr>
          <w:p w14:paraId="4FF61DFD" w14:textId="77777777" w:rsidR="008A504C" w:rsidRPr="00A14E3E" w:rsidRDefault="008A504C" w:rsidP="00101942">
            <w:pPr>
              <w:jc w:val="both"/>
              <w:rPr>
                <w:rFonts w:cs="Times New Roman"/>
                <w:b/>
                <w:sz w:val="20"/>
                <w:szCs w:val="20"/>
              </w:rPr>
            </w:pPr>
            <w:r w:rsidRPr="00A14E3E">
              <w:rPr>
                <w:rFonts w:cs="Times New Roman"/>
                <w:b/>
                <w:sz w:val="20"/>
                <w:szCs w:val="20"/>
              </w:rPr>
              <w:t>Origin</w:t>
            </w:r>
          </w:p>
        </w:tc>
        <w:tc>
          <w:tcPr>
            <w:tcW w:w="1549" w:type="dxa"/>
          </w:tcPr>
          <w:p w14:paraId="2FE943C2" w14:textId="77777777" w:rsidR="008A504C" w:rsidRPr="00A14E3E" w:rsidRDefault="008A504C" w:rsidP="00101942">
            <w:pPr>
              <w:jc w:val="both"/>
              <w:rPr>
                <w:rFonts w:cs="Times New Roman"/>
                <w:sz w:val="20"/>
                <w:szCs w:val="20"/>
              </w:rPr>
            </w:pPr>
            <w:r w:rsidRPr="00A14E3E">
              <w:rPr>
                <w:rFonts w:cs="Times New Roman"/>
                <w:sz w:val="20"/>
                <w:szCs w:val="20"/>
              </w:rPr>
              <w:t>Institute for Dutch Lexicography (INL)</w:t>
            </w:r>
          </w:p>
        </w:tc>
        <w:tc>
          <w:tcPr>
            <w:tcW w:w="1656" w:type="dxa"/>
          </w:tcPr>
          <w:p w14:paraId="22D942F1" w14:textId="77777777" w:rsidR="008A504C" w:rsidRPr="00A14E3E" w:rsidRDefault="008A504C" w:rsidP="00101942">
            <w:pPr>
              <w:jc w:val="both"/>
              <w:rPr>
                <w:rFonts w:cs="Times New Roman"/>
                <w:sz w:val="20"/>
                <w:szCs w:val="20"/>
              </w:rPr>
            </w:pPr>
            <w:r w:rsidRPr="00A14E3E">
              <w:rPr>
                <w:rFonts w:cs="Times New Roman"/>
                <w:sz w:val="20"/>
                <w:szCs w:val="20"/>
              </w:rPr>
              <w:t>Institute for Dutch Lexicography (INL)</w:t>
            </w:r>
          </w:p>
        </w:tc>
        <w:tc>
          <w:tcPr>
            <w:tcW w:w="1603" w:type="dxa"/>
          </w:tcPr>
          <w:p w14:paraId="03E9ECC0" w14:textId="77777777" w:rsidR="008A504C" w:rsidRPr="00A14E3E" w:rsidRDefault="008A504C" w:rsidP="00101942">
            <w:pPr>
              <w:jc w:val="both"/>
              <w:rPr>
                <w:rFonts w:cs="Times New Roman"/>
                <w:sz w:val="20"/>
                <w:szCs w:val="20"/>
              </w:rPr>
            </w:pPr>
            <w:r w:rsidRPr="00A14E3E">
              <w:rPr>
                <w:rFonts w:cs="Times New Roman"/>
                <w:sz w:val="20"/>
                <w:szCs w:val="20"/>
              </w:rPr>
              <w:t>CLiPS Computational Linguistics Group and Ruusbroec Institute, University of Antwerp</w:t>
            </w:r>
          </w:p>
        </w:tc>
        <w:tc>
          <w:tcPr>
            <w:tcW w:w="1429" w:type="dxa"/>
          </w:tcPr>
          <w:p w14:paraId="402C2305" w14:textId="77777777" w:rsidR="008A504C" w:rsidRPr="00A14E3E" w:rsidRDefault="008A504C" w:rsidP="00101942">
            <w:pPr>
              <w:jc w:val="both"/>
              <w:rPr>
                <w:rFonts w:cs="Times New Roman"/>
                <w:sz w:val="20"/>
                <w:szCs w:val="20"/>
              </w:rPr>
            </w:pPr>
            <w:r w:rsidRPr="00A14E3E">
              <w:rPr>
                <w:rFonts w:cs="Times New Roman"/>
                <w:sz w:val="20"/>
                <w:szCs w:val="20"/>
              </w:rPr>
              <w:t>Radboud University Nijmegen etc.</w:t>
            </w:r>
          </w:p>
        </w:tc>
      </w:tr>
      <w:tr w:rsidR="008A504C" w:rsidRPr="00A14E3E" w14:paraId="765DFB96" w14:textId="77777777" w:rsidTr="00101942">
        <w:tc>
          <w:tcPr>
            <w:tcW w:w="2279" w:type="dxa"/>
          </w:tcPr>
          <w:p w14:paraId="0745A5FC" w14:textId="77777777" w:rsidR="008A504C" w:rsidRPr="00A14E3E" w:rsidRDefault="008A504C" w:rsidP="00101942">
            <w:pPr>
              <w:jc w:val="both"/>
              <w:rPr>
                <w:rFonts w:cs="Times New Roman"/>
                <w:b/>
                <w:sz w:val="20"/>
                <w:szCs w:val="20"/>
              </w:rPr>
            </w:pPr>
            <w:r w:rsidRPr="00A14E3E">
              <w:rPr>
                <w:rFonts w:cs="Times New Roman"/>
                <w:b/>
                <w:sz w:val="20"/>
                <w:szCs w:val="20"/>
              </w:rPr>
              <w:t>Number of tokens (incl. punctuation, excl. line breaks)</w:t>
            </w:r>
          </w:p>
        </w:tc>
        <w:tc>
          <w:tcPr>
            <w:tcW w:w="1549" w:type="dxa"/>
          </w:tcPr>
          <w:p w14:paraId="15FD749D" w14:textId="77777777" w:rsidR="008A504C" w:rsidRPr="00A14E3E" w:rsidRDefault="008A504C" w:rsidP="00101942">
            <w:pPr>
              <w:jc w:val="both"/>
              <w:rPr>
                <w:rFonts w:cs="Times New Roman"/>
                <w:sz w:val="20"/>
                <w:szCs w:val="20"/>
              </w:rPr>
            </w:pPr>
            <w:r w:rsidRPr="00A14E3E">
              <w:rPr>
                <w:rFonts w:cs="Times New Roman"/>
                <w:sz w:val="20"/>
                <w:szCs w:val="20"/>
              </w:rPr>
              <w:t>583,135</w:t>
            </w:r>
          </w:p>
        </w:tc>
        <w:tc>
          <w:tcPr>
            <w:tcW w:w="1656" w:type="dxa"/>
          </w:tcPr>
          <w:p w14:paraId="376F6A20" w14:textId="77777777" w:rsidR="008A504C" w:rsidRPr="00A14E3E" w:rsidRDefault="008A504C" w:rsidP="00101942">
            <w:pPr>
              <w:jc w:val="both"/>
              <w:rPr>
                <w:rFonts w:cs="Times New Roman"/>
                <w:sz w:val="20"/>
                <w:szCs w:val="20"/>
              </w:rPr>
            </w:pPr>
            <w:r w:rsidRPr="00A14E3E">
              <w:rPr>
                <w:rFonts w:cs="Times New Roman"/>
                <w:sz w:val="20"/>
                <w:szCs w:val="20"/>
              </w:rPr>
              <w:t>638,243</w:t>
            </w:r>
          </w:p>
        </w:tc>
        <w:tc>
          <w:tcPr>
            <w:tcW w:w="1603" w:type="dxa"/>
          </w:tcPr>
          <w:p w14:paraId="48472537" w14:textId="77777777" w:rsidR="008A504C" w:rsidRPr="00A14E3E" w:rsidRDefault="008A504C" w:rsidP="00101942">
            <w:pPr>
              <w:jc w:val="both"/>
              <w:rPr>
                <w:rFonts w:cs="Times New Roman"/>
                <w:sz w:val="20"/>
                <w:szCs w:val="20"/>
              </w:rPr>
            </w:pPr>
            <w:r w:rsidRPr="00A14E3E">
              <w:rPr>
                <w:rFonts w:cs="Times New Roman"/>
                <w:sz w:val="20"/>
                <w:szCs w:val="20"/>
              </w:rPr>
              <w:t>161,568</w:t>
            </w:r>
          </w:p>
        </w:tc>
        <w:tc>
          <w:tcPr>
            <w:tcW w:w="1429" w:type="dxa"/>
          </w:tcPr>
          <w:p w14:paraId="6C6B95C8" w14:textId="77777777" w:rsidR="008A504C" w:rsidRPr="00A14E3E" w:rsidRDefault="008A504C" w:rsidP="00101942">
            <w:pPr>
              <w:jc w:val="both"/>
              <w:rPr>
                <w:rFonts w:cs="Times New Roman"/>
                <w:sz w:val="20"/>
                <w:szCs w:val="20"/>
              </w:rPr>
            </w:pPr>
            <w:r w:rsidRPr="00A14E3E">
              <w:rPr>
                <w:rFonts w:cs="Times New Roman"/>
                <w:sz w:val="20"/>
                <w:szCs w:val="20"/>
              </w:rPr>
              <w:t>821,619</w:t>
            </w:r>
          </w:p>
        </w:tc>
      </w:tr>
      <w:tr w:rsidR="008A504C" w:rsidRPr="00A14E3E" w14:paraId="019A2A9C" w14:textId="77777777" w:rsidTr="00101942">
        <w:tc>
          <w:tcPr>
            <w:tcW w:w="2279" w:type="dxa"/>
          </w:tcPr>
          <w:p w14:paraId="0E8992EB" w14:textId="77777777" w:rsidR="008A504C" w:rsidRPr="00A14E3E" w:rsidRDefault="008A504C" w:rsidP="00101942">
            <w:pPr>
              <w:jc w:val="both"/>
              <w:rPr>
                <w:rFonts w:cs="Times New Roman"/>
                <w:b/>
                <w:sz w:val="20"/>
                <w:szCs w:val="20"/>
              </w:rPr>
            </w:pPr>
            <w:r w:rsidRPr="00A14E3E">
              <w:rPr>
                <w:rFonts w:cs="Times New Roman"/>
                <w:b/>
                <w:sz w:val="20"/>
                <w:szCs w:val="20"/>
              </w:rPr>
              <w:t>Vocabulary size</w:t>
            </w:r>
          </w:p>
        </w:tc>
        <w:tc>
          <w:tcPr>
            <w:tcW w:w="1549" w:type="dxa"/>
          </w:tcPr>
          <w:p w14:paraId="4ED60ABA" w14:textId="77777777" w:rsidR="008A504C" w:rsidRPr="00A14E3E" w:rsidRDefault="008A504C" w:rsidP="00101942">
            <w:pPr>
              <w:jc w:val="both"/>
              <w:rPr>
                <w:rFonts w:cs="Times New Roman"/>
                <w:sz w:val="20"/>
                <w:szCs w:val="20"/>
              </w:rPr>
            </w:pPr>
            <w:r w:rsidRPr="00A14E3E">
              <w:rPr>
                <w:rFonts w:cs="Times New Roman"/>
                <w:sz w:val="20"/>
                <w:szCs w:val="20"/>
              </w:rPr>
              <w:t>59,524</w:t>
            </w:r>
          </w:p>
        </w:tc>
        <w:tc>
          <w:tcPr>
            <w:tcW w:w="1656" w:type="dxa"/>
          </w:tcPr>
          <w:p w14:paraId="046654BF" w14:textId="77777777" w:rsidR="008A504C" w:rsidRPr="00A14E3E" w:rsidRDefault="008A504C" w:rsidP="00101942">
            <w:pPr>
              <w:jc w:val="both"/>
              <w:rPr>
                <w:rFonts w:cs="Times New Roman"/>
                <w:sz w:val="20"/>
                <w:szCs w:val="20"/>
              </w:rPr>
            </w:pPr>
            <w:r w:rsidRPr="00A14E3E">
              <w:rPr>
                <w:rFonts w:cs="Times New Roman"/>
                <w:sz w:val="20"/>
                <w:szCs w:val="20"/>
              </w:rPr>
              <w:t>50,433</w:t>
            </w:r>
          </w:p>
        </w:tc>
        <w:tc>
          <w:tcPr>
            <w:tcW w:w="1603" w:type="dxa"/>
          </w:tcPr>
          <w:p w14:paraId="64CDC853" w14:textId="77777777" w:rsidR="008A504C" w:rsidRPr="00A14E3E" w:rsidRDefault="008A504C" w:rsidP="00101942">
            <w:pPr>
              <w:jc w:val="both"/>
              <w:rPr>
                <w:rFonts w:cs="Times New Roman"/>
                <w:sz w:val="20"/>
                <w:szCs w:val="20"/>
              </w:rPr>
            </w:pPr>
            <w:r w:rsidRPr="00A14E3E">
              <w:rPr>
                <w:rFonts w:cs="Times New Roman"/>
                <w:sz w:val="20"/>
                <w:szCs w:val="20"/>
              </w:rPr>
              <w:t>17,547</w:t>
            </w:r>
          </w:p>
        </w:tc>
        <w:tc>
          <w:tcPr>
            <w:tcW w:w="1429" w:type="dxa"/>
          </w:tcPr>
          <w:p w14:paraId="458B070C" w14:textId="77777777" w:rsidR="008A504C" w:rsidRPr="00A14E3E" w:rsidRDefault="008A504C" w:rsidP="00101942">
            <w:pPr>
              <w:jc w:val="both"/>
              <w:rPr>
                <w:rFonts w:cs="Times New Roman"/>
                <w:sz w:val="20"/>
                <w:szCs w:val="20"/>
              </w:rPr>
            </w:pPr>
            <w:r w:rsidRPr="00A14E3E">
              <w:rPr>
                <w:rFonts w:cs="Times New Roman"/>
                <w:sz w:val="20"/>
                <w:szCs w:val="20"/>
              </w:rPr>
              <w:t>44,183</w:t>
            </w:r>
          </w:p>
        </w:tc>
      </w:tr>
      <w:tr w:rsidR="008A504C" w:rsidRPr="00A14E3E" w14:paraId="03571AD1" w14:textId="77777777" w:rsidTr="00101942">
        <w:tc>
          <w:tcPr>
            <w:tcW w:w="2279" w:type="dxa"/>
          </w:tcPr>
          <w:p w14:paraId="12614E95" w14:textId="77777777" w:rsidR="008A504C" w:rsidRPr="00A14E3E" w:rsidRDefault="008A504C" w:rsidP="00101942">
            <w:pPr>
              <w:jc w:val="both"/>
              <w:rPr>
                <w:rFonts w:cs="Times New Roman"/>
                <w:b/>
                <w:sz w:val="20"/>
                <w:szCs w:val="20"/>
              </w:rPr>
            </w:pPr>
            <w:r w:rsidRPr="00A14E3E">
              <w:rPr>
                <w:rFonts w:cs="Times New Roman"/>
                <w:b/>
                <w:sz w:val="20"/>
                <w:szCs w:val="20"/>
              </w:rPr>
              <w:t># individual texts</w:t>
            </w:r>
          </w:p>
        </w:tc>
        <w:tc>
          <w:tcPr>
            <w:tcW w:w="1549" w:type="dxa"/>
          </w:tcPr>
          <w:p w14:paraId="3A106E8A" w14:textId="77777777" w:rsidR="008A504C" w:rsidRPr="00A14E3E" w:rsidRDefault="008A504C" w:rsidP="00101942">
            <w:pPr>
              <w:jc w:val="both"/>
              <w:rPr>
                <w:rFonts w:cs="Times New Roman"/>
                <w:sz w:val="20"/>
                <w:szCs w:val="20"/>
              </w:rPr>
            </w:pPr>
            <w:r w:rsidRPr="00A14E3E">
              <w:rPr>
                <w:rFonts w:cs="Times New Roman"/>
                <w:sz w:val="20"/>
                <w:szCs w:val="20"/>
              </w:rPr>
              <w:t>30</w:t>
            </w:r>
          </w:p>
        </w:tc>
        <w:tc>
          <w:tcPr>
            <w:tcW w:w="1656" w:type="dxa"/>
          </w:tcPr>
          <w:p w14:paraId="236D8342" w14:textId="77777777" w:rsidR="008A504C" w:rsidRPr="00A14E3E" w:rsidRDefault="008A504C" w:rsidP="00101942">
            <w:pPr>
              <w:jc w:val="both"/>
              <w:rPr>
                <w:rFonts w:cs="Times New Roman"/>
                <w:sz w:val="20"/>
                <w:szCs w:val="20"/>
              </w:rPr>
            </w:pPr>
            <w:r w:rsidRPr="00A14E3E">
              <w:rPr>
                <w:rFonts w:cs="Times New Roman"/>
                <w:sz w:val="20"/>
                <w:szCs w:val="20"/>
              </w:rPr>
              <w:t>1,574</w:t>
            </w:r>
          </w:p>
        </w:tc>
        <w:tc>
          <w:tcPr>
            <w:tcW w:w="1603" w:type="dxa"/>
          </w:tcPr>
          <w:p w14:paraId="3B5131F9" w14:textId="77777777" w:rsidR="008A504C" w:rsidRPr="00A14E3E" w:rsidRDefault="008A504C" w:rsidP="00101942">
            <w:pPr>
              <w:jc w:val="both"/>
              <w:rPr>
                <w:rFonts w:cs="Times New Roman"/>
                <w:sz w:val="20"/>
                <w:szCs w:val="20"/>
              </w:rPr>
            </w:pPr>
            <w:r w:rsidRPr="00A14E3E">
              <w:rPr>
                <w:rFonts w:cs="Times New Roman"/>
                <w:sz w:val="20"/>
                <w:szCs w:val="20"/>
              </w:rPr>
              <w:t>33</w:t>
            </w:r>
          </w:p>
        </w:tc>
        <w:tc>
          <w:tcPr>
            <w:tcW w:w="1429" w:type="dxa"/>
          </w:tcPr>
          <w:p w14:paraId="34F703BC" w14:textId="77777777" w:rsidR="008A504C" w:rsidRPr="00A14E3E" w:rsidRDefault="008A504C" w:rsidP="00101942">
            <w:pPr>
              <w:jc w:val="both"/>
              <w:rPr>
                <w:rFonts w:cs="Times New Roman"/>
                <w:sz w:val="20"/>
                <w:szCs w:val="20"/>
              </w:rPr>
            </w:pPr>
            <w:r w:rsidRPr="00A14E3E">
              <w:rPr>
                <w:rFonts w:cs="Times New Roman"/>
                <w:sz w:val="20"/>
                <w:szCs w:val="20"/>
              </w:rPr>
              <w:t>6,792</w:t>
            </w:r>
          </w:p>
        </w:tc>
      </w:tr>
      <w:tr w:rsidR="008A504C" w:rsidRPr="00A14E3E" w14:paraId="66AD0BE0" w14:textId="77777777" w:rsidTr="00101942">
        <w:tc>
          <w:tcPr>
            <w:tcW w:w="2279" w:type="dxa"/>
          </w:tcPr>
          <w:p w14:paraId="3FAC7D65" w14:textId="77777777" w:rsidR="008A504C" w:rsidRPr="00A14E3E" w:rsidRDefault="008A504C" w:rsidP="00101942">
            <w:pPr>
              <w:jc w:val="both"/>
              <w:rPr>
                <w:rFonts w:cs="Times New Roman"/>
                <w:b/>
                <w:sz w:val="20"/>
                <w:szCs w:val="20"/>
              </w:rPr>
            </w:pPr>
            <w:r w:rsidRPr="00A14E3E">
              <w:rPr>
                <w:rFonts w:cs="Times New Roman"/>
                <w:b/>
                <w:sz w:val="20"/>
                <w:szCs w:val="20"/>
              </w:rPr>
              <w:t>Text variety</w:t>
            </w:r>
          </w:p>
        </w:tc>
        <w:tc>
          <w:tcPr>
            <w:tcW w:w="1549" w:type="dxa"/>
          </w:tcPr>
          <w:p w14:paraId="575371BE" w14:textId="77777777" w:rsidR="008A504C" w:rsidRPr="00A14E3E" w:rsidRDefault="008A504C" w:rsidP="00101942">
            <w:pPr>
              <w:jc w:val="both"/>
              <w:rPr>
                <w:rFonts w:cs="Times New Roman"/>
                <w:sz w:val="20"/>
                <w:szCs w:val="20"/>
              </w:rPr>
            </w:pPr>
            <w:r w:rsidRPr="00A14E3E">
              <w:rPr>
                <w:rFonts w:cs="Times New Roman"/>
                <w:sz w:val="20"/>
                <w:szCs w:val="20"/>
              </w:rPr>
              <w:t>Miscellaneous literary texts (mostly rhymed) which survive from original manuscripts dated before 1300 AD</w:t>
            </w:r>
          </w:p>
        </w:tc>
        <w:tc>
          <w:tcPr>
            <w:tcW w:w="1656" w:type="dxa"/>
          </w:tcPr>
          <w:p w14:paraId="373F6F00" w14:textId="77777777" w:rsidR="008A504C" w:rsidRPr="00A14E3E" w:rsidRDefault="008A504C" w:rsidP="00101942">
            <w:pPr>
              <w:jc w:val="both"/>
              <w:rPr>
                <w:rFonts w:cs="Times New Roman"/>
                <w:sz w:val="20"/>
                <w:szCs w:val="20"/>
              </w:rPr>
            </w:pPr>
            <w:r w:rsidRPr="00A14E3E">
              <w:rPr>
                <w:rFonts w:cs="Times New Roman"/>
                <w:sz w:val="20"/>
                <w:szCs w:val="20"/>
              </w:rPr>
              <w:t>13</w:t>
            </w:r>
            <w:r w:rsidRPr="00A14E3E">
              <w:rPr>
                <w:rFonts w:cs="Times New Roman"/>
                <w:sz w:val="20"/>
                <w:szCs w:val="20"/>
                <w:vertAlign w:val="superscript"/>
              </w:rPr>
              <w:t>th</w:t>
            </w:r>
            <w:r w:rsidRPr="00A14E3E">
              <w:rPr>
                <w:rFonts w:cs="Times New Roman"/>
                <w:sz w:val="20"/>
                <w:szCs w:val="20"/>
              </w:rPr>
              <w:t xml:space="preserve"> century charters</w:t>
            </w:r>
          </w:p>
        </w:tc>
        <w:tc>
          <w:tcPr>
            <w:tcW w:w="1603" w:type="dxa"/>
          </w:tcPr>
          <w:p w14:paraId="179218D6" w14:textId="77777777" w:rsidR="008A504C" w:rsidRPr="00A14E3E" w:rsidRDefault="008A504C" w:rsidP="00101942">
            <w:pPr>
              <w:jc w:val="both"/>
              <w:rPr>
                <w:rFonts w:cs="Times New Roman"/>
                <w:sz w:val="20"/>
                <w:szCs w:val="20"/>
              </w:rPr>
            </w:pPr>
            <w:r w:rsidRPr="00A14E3E">
              <w:rPr>
                <w:rFonts w:cs="Times New Roman"/>
                <w:sz w:val="20"/>
                <w:szCs w:val="20"/>
              </w:rPr>
              <w:t>Miscellaneous religious texts (e.g. Bible translations, mystical visions, sermons) spanning multiple centuries and regions</w:t>
            </w:r>
          </w:p>
        </w:tc>
        <w:tc>
          <w:tcPr>
            <w:tcW w:w="1429" w:type="dxa"/>
          </w:tcPr>
          <w:p w14:paraId="5ACF884E" w14:textId="77777777" w:rsidR="008A504C" w:rsidRPr="00A14E3E" w:rsidRDefault="008A504C" w:rsidP="00101942">
            <w:pPr>
              <w:jc w:val="both"/>
              <w:rPr>
                <w:rFonts w:cs="Times New Roman"/>
                <w:sz w:val="20"/>
                <w:szCs w:val="20"/>
              </w:rPr>
            </w:pPr>
            <w:r w:rsidRPr="00A14E3E">
              <w:rPr>
                <w:rFonts w:cs="Times New Roman"/>
                <w:sz w:val="20"/>
                <w:szCs w:val="20"/>
              </w:rPr>
              <w:t>14</w:t>
            </w:r>
            <w:r w:rsidRPr="00A14E3E">
              <w:rPr>
                <w:rFonts w:cs="Times New Roman"/>
                <w:sz w:val="20"/>
                <w:szCs w:val="20"/>
                <w:vertAlign w:val="superscript"/>
              </w:rPr>
              <w:t>th</w:t>
            </w:r>
            <w:r w:rsidRPr="00A14E3E">
              <w:rPr>
                <w:rFonts w:cs="Times New Roman"/>
                <w:sz w:val="20"/>
                <w:szCs w:val="20"/>
              </w:rPr>
              <w:t xml:space="preserve"> century charters</w:t>
            </w:r>
          </w:p>
        </w:tc>
      </w:tr>
    </w:tbl>
    <w:p w14:paraId="7354CBB3" w14:textId="77777777" w:rsidR="008A504C" w:rsidRPr="00A14E3E" w:rsidRDefault="008A504C" w:rsidP="008A504C">
      <w:pPr>
        <w:jc w:val="both"/>
        <w:rPr>
          <w:rFonts w:cs="Times New Roman"/>
        </w:rPr>
      </w:pPr>
    </w:p>
    <w:p w14:paraId="17179408" w14:textId="5E0E0097" w:rsidR="008A504C" w:rsidRPr="00A14E3E" w:rsidRDefault="008A504C" w:rsidP="008A504C">
      <w:pPr>
        <w:jc w:val="both"/>
        <w:rPr>
          <w:rFonts w:cs="Times New Roman"/>
        </w:rPr>
      </w:pPr>
      <w:r w:rsidRPr="00A14E3E">
        <w:rPr>
          <w:rFonts w:cs="Times New Roman"/>
        </w:rPr>
        <w:t xml:space="preserve">These data sets have all been annotated using common annotation guidelines, although they each show a number of important idiosyncracies. Generally speaking, we adopt the annotation practice which has been developed by Piet van Reenen et al. and which has been carefully documented in the context of the release of the Adelheid tagger-lemmatiser for Middle Dutch charters (Van Halteren </w:t>
      </w:r>
      <w:r w:rsidRPr="00A14E3E">
        <w:rPr>
          <w:rFonts w:cs="Times New Roman"/>
          <w:i/>
        </w:rPr>
        <w:t>et al.</w:t>
      </w:r>
      <w:r w:rsidRPr="00A14E3E">
        <w:rPr>
          <w:rFonts w:cs="Times New Roman"/>
        </w:rPr>
        <w:t>, 2013).</w:t>
      </w:r>
      <w:r w:rsidRPr="00A14E3E">
        <w:rPr>
          <w:rStyle w:val="FootnoteReference"/>
          <w:rFonts w:cs="Times New Roman"/>
        </w:rPr>
        <w:t xml:space="preserve"> </w:t>
      </w:r>
      <w:r w:rsidRPr="00A14E3E">
        <w:rPr>
          <w:rStyle w:val="FootnoteReference"/>
          <w:rFonts w:cs="Times New Roman"/>
        </w:rPr>
        <w:footnoteReference w:id="3"/>
      </w:r>
      <w:r w:rsidRPr="00A14E3E">
        <w:rPr>
          <w:rFonts w:cs="Times New Roman"/>
        </w:rPr>
        <w:t xml:space="preserve"> This system adopts a fairly rich part-of-speech tag set, using a head tag, indicating a word’s main part-of-speech category (e.g. verb, noun, adposition, …), followed by a number of subtags or attributes which are often related to inflection (tense, mood, etc.). Most importantly, we deviate from this standard for this research in that we ignore the ‘form’-subtag in this system for a number of reasons. (The “form-t” attribute, for instance, </w:t>
      </w:r>
      <w:r w:rsidR="00F6670C">
        <w:rPr>
          <w:rFonts w:cs="Times New Roman"/>
        </w:rPr>
        <w:t>indicates that a word ends in a</w:t>
      </w:r>
      <w:r w:rsidRPr="00A14E3E">
        <w:rPr>
          <w:rFonts w:cs="Times New Roman"/>
        </w:rPr>
        <w:t>t.) First of all, we try to reduce the sparsity of the tag set by ignoring this information. Secondly, this attribute rarely does more than reproducing the last character of surface forms; unfortunately, the few cases in which the form-attribute does add information (e.g. comparative forms of adjectives) are highly inconsistently annotated th</w:t>
      </w:r>
      <w:r w:rsidR="00F6670C">
        <w:rPr>
          <w:rFonts w:cs="Times New Roman"/>
        </w:rPr>
        <w:t>r</w:t>
      </w:r>
      <w:r w:rsidRPr="00A14E3E">
        <w:rPr>
          <w:rFonts w:cs="Times New Roman"/>
        </w:rPr>
        <w:t>oughout the corpora. For most cases, the form-attribute is so highly influenced by the surface form that is becomes questionable whether its included indeed has a beneficial normalization effect, for example, when it comes to subsequent use of the system’s output in applications such as stylometry.</w:t>
      </w:r>
    </w:p>
    <w:p w14:paraId="7E96B013" w14:textId="77777777" w:rsidR="008A504C" w:rsidRPr="00A14E3E" w:rsidRDefault="008A504C" w:rsidP="008A504C">
      <w:pPr>
        <w:jc w:val="both"/>
        <w:rPr>
          <w:rFonts w:cs="Times New Roman"/>
        </w:rPr>
      </w:pPr>
    </w:p>
    <w:p w14:paraId="75EDB971" w14:textId="77777777" w:rsidR="008A504C" w:rsidRPr="00A14E3E" w:rsidRDefault="008A504C" w:rsidP="008A504C">
      <w:pPr>
        <w:jc w:val="both"/>
        <w:rPr>
          <w:rFonts w:cs="Times New Roman"/>
        </w:rPr>
      </w:pPr>
      <w:r w:rsidRPr="00A14E3E">
        <w:rPr>
          <w:rFonts w:cs="Times New Roman"/>
        </w:rPr>
        <w:t>Apart from part-of-speech tags, each token in these corpora has been annotated with a normalized dictionary headform or lemma in a present-day spelling. Broadly speaking, lemmatisation thus allows us to abstract over individual instances of tokens which only differ in inflection or orthography (Knowles et al. 2004). For historical corpora, this has interesting applications in the context of database searching, (diachronic) topic modeling or stylometry. The lemmas used in our corpora all correspond to entries in the Integrated Language Database (GTB) for the Dutch language, which can be consulted online and which is maintained by the Institute for Dutch Lexicography.</w:t>
      </w:r>
      <w:r w:rsidRPr="00A14E3E">
        <w:rPr>
          <w:rStyle w:val="FootnoteReference"/>
          <w:rFonts w:cs="Times New Roman"/>
        </w:rPr>
        <w:footnoteReference w:id="4"/>
      </w:r>
      <w:r w:rsidRPr="00A14E3E">
        <w:rPr>
          <w:rFonts w:cs="Times New Roman"/>
        </w:rPr>
        <w:t xml:space="preserve"> The major advantage of using a present-day lemma in this context, is that this allows scholars to normalize texts from multiple historic stages of Dutch to the same variant. This in turn allows interesting diachronic analyses of Dutch corpora, such as the ones currently prepared in the large-scale Nederlab project.</w:t>
      </w:r>
      <w:r w:rsidRPr="00A14E3E">
        <w:rPr>
          <w:rStyle w:val="FootnoteReference"/>
          <w:rFonts w:cs="Times New Roman"/>
        </w:rPr>
        <w:footnoteReference w:id="5"/>
      </w:r>
    </w:p>
    <w:p w14:paraId="3741B6C2" w14:textId="77777777" w:rsidR="00FB5F2E" w:rsidRDefault="00FB5F2E"/>
    <w:p w14:paraId="5A434714" w14:textId="4D0A1432" w:rsidR="00B93846" w:rsidRPr="004864AB" w:rsidRDefault="00B93846">
      <w:pPr>
        <w:rPr>
          <w:b/>
        </w:rPr>
      </w:pPr>
      <w:r w:rsidRPr="004864AB">
        <w:rPr>
          <w:b/>
        </w:rPr>
        <w:t>Evaluation</w:t>
      </w:r>
    </w:p>
    <w:p w14:paraId="015550AE" w14:textId="77777777" w:rsidR="00136239" w:rsidRDefault="002D48D9">
      <w:r>
        <w:t>To evaluate our system, we make of a conventional split of the available data in a train set, development set and a test set.</w:t>
      </w:r>
      <w:r w:rsidR="00136239">
        <w:t xml:space="preserve"> </w:t>
      </w:r>
    </w:p>
    <w:p w14:paraId="6FA4A704" w14:textId="77777777" w:rsidR="00136239" w:rsidRDefault="00136239"/>
    <w:p w14:paraId="1AA83A51" w14:textId="77777777" w:rsidR="00136239" w:rsidRPr="00A14E3E" w:rsidRDefault="00136239" w:rsidP="00136239">
      <w:pPr>
        <w:jc w:val="both"/>
        <w:rPr>
          <w:rFonts w:cs="Times New Roman"/>
        </w:rPr>
      </w:pPr>
      <w:r w:rsidRPr="00A14E3E">
        <w:rPr>
          <w:rFonts w:cs="Times New Roman"/>
        </w:rPr>
        <w:t>For evaluation purposes,</w:t>
      </w:r>
      <w:r>
        <w:rPr>
          <w:rFonts w:cs="Times New Roman"/>
        </w:rPr>
        <w:t xml:space="preserve"> we report on tokenization, POS </w:t>
      </w:r>
      <w:r w:rsidRPr="00A14E3E">
        <w:rPr>
          <w:rFonts w:cs="Times New Roman"/>
        </w:rPr>
        <w:t>tagging and lemmatization results on our four different corpora. We divide the available data for each corpus into two non-overlapping sets: a training set (80%), a development set (10%) and a held-out test set (10%). We use the development set to tune the hyperparameters of our system, which has been trained on the available training data. The final performance of our system is evaluated by training on the training data and testing on the held-out test, instead of the development data.</w:t>
      </w:r>
    </w:p>
    <w:p w14:paraId="42D204A0" w14:textId="77777777" w:rsidR="00136239" w:rsidRPr="00A14E3E" w:rsidRDefault="00136239" w:rsidP="00136239">
      <w:pPr>
        <w:jc w:val="both"/>
        <w:rPr>
          <w:rFonts w:cs="Times New Roman"/>
        </w:rPr>
      </w:pPr>
    </w:p>
    <w:p w14:paraId="0E0847BE" w14:textId="77777777" w:rsidR="00136239" w:rsidRPr="00A14E3E" w:rsidRDefault="00136239" w:rsidP="00136239">
      <w:pPr>
        <w:jc w:val="both"/>
        <w:rPr>
          <w:rFonts w:cs="Times New Roman"/>
        </w:rPr>
      </w:pPr>
      <w:r w:rsidRPr="00A14E3E">
        <w:rPr>
          <w:rFonts w:cs="Times New Roman"/>
        </w:rPr>
        <w:t xml:space="preserve">For the literary and administrative data, we follow two different strategies to divide the available data into training, development and test sets. For the administrative data (the charter collections </w:t>
      </w:r>
      <w:r w:rsidRPr="00A14E3E">
        <w:rPr>
          <w:rFonts w:cs="Times New Roman"/>
          <w:smallCaps/>
        </w:rPr>
        <w:t xml:space="preserve">cg-admin </w:t>
      </w:r>
      <w:r w:rsidRPr="00A14E3E">
        <w:rPr>
          <w:rFonts w:cs="Times New Roman"/>
        </w:rPr>
        <w:t xml:space="preserve">and </w:t>
      </w:r>
      <w:r w:rsidRPr="00A14E3E">
        <w:rPr>
          <w:rFonts w:cs="Times New Roman"/>
          <w:smallCaps/>
        </w:rPr>
        <w:t>crm-adelheid</w:t>
      </w:r>
      <w:r w:rsidRPr="00A14E3E">
        <w:rPr>
          <w:rFonts w:cs="Times New Roman"/>
        </w:rPr>
        <w:t xml:space="preserve">), we follow the approach by Van Halteren </w:t>
      </w:r>
      <w:r w:rsidRPr="00A14E3E">
        <w:rPr>
          <w:rFonts w:cs="Times New Roman"/>
          <w:i/>
        </w:rPr>
        <w:t>et al.</w:t>
      </w:r>
      <w:r w:rsidRPr="00A14E3E">
        <w:rPr>
          <w:rFonts w:cs="Times New Roman"/>
        </w:rPr>
        <w:t xml:space="preserve"> (2013) to make our splitting as comparable as possible to theirs.</w:t>
      </w:r>
      <w:r w:rsidRPr="00A14E3E">
        <w:rPr>
          <w:rStyle w:val="FootnoteReference"/>
          <w:rFonts w:cs="Times New Roman"/>
        </w:rPr>
        <w:footnoteReference w:id="6"/>
      </w:r>
      <w:r w:rsidRPr="00A14E3E">
        <w:rPr>
          <w:rFonts w:cs="Times New Roman"/>
        </w:rPr>
        <w:t xml:space="preserve"> Each charter in these collections is associated with a historic date: we first sort the all the available charters in each corpus according to their date and assign a rank to each charter. We then divide the material by assigning to the development set all charters which have an rank index ending in “9”, and to the held-out test set all those with an index ending in “0”. The training material consists of the rest of the charters. The advantage of this splitting approach is that charters from various time periods and regions are evenly distributed over the sets.</w:t>
      </w:r>
    </w:p>
    <w:p w14:paraId="6EB500CA" w14:textId="77777777" w:rsidR="00136239" w:rsidRPr="00A14E3E" w:rsidRDefault="00136239" w:rsidP="00136239">
      <w:pPr>
        <w:jc w:val="both"/>
        <w:rPr>
          <w:rFonts w:cs="Times New Roman"/>
        </w:rPr>
      </w:pPr>
    </w:p>
    <w:p w14:paraId="30EC2B23" w14:textId="77777777" w:rsidR="00136239" w:rsidRPr="00A14E3E" w:rsidRDefault="00136239" w:rsidP="00136239">
      <w:pPr>
        <w:jc w:val="both"/>
        <w:rPr>
          <w:rFonts w:cs="Times New Roman"/>
        </w:rPr>
      </w:pPr>
      <w:r w:rsidRPr="00A14E3E">
        <w:rPr>
          <w:rFonts w:cs="Times New Roman"/>
        </w:rPr>
        <w:t>For the literary data sets (</w:t>
      </w:r>
      <w:r w:rsidRPr="00A14E3E">
        <w:rPr>
          <w:rFonts w:cs="Times New Roman"/>
          <w:smallCaps/>
        </w:rPr>
        <w:t>cg-lit</w:t>
      </w:r>
      <w:r w:rsidRPr="00A14E3E">
        <w:rPr>
          <w:rFonts w:cs="Times New Roman"/>
        </w:rPr>
        <w:t xml:space="preserve"> and </w:t>
      </w:r>
      <w:r w:rsidRPr="00A14E3E">
        <w:rPr>
          <w:rFonts w:cs="Times New Roman"/>
          <w:smallCaps/>
        </w:rPr>
        <w:t>relig</w:t>
      </w:r>
      <w:r w:rsidRPr="00A14E3E">
        <w:rPr>
          <w:rFonts w:cs="Times New Roman"/>
        </w:rPr>
        <w:t xml:space="preserve">), the situation is more complex, since we only have at our disposal a limited set of texts that greatly vary in length (especially for </w:t>
      </w:r>
      <w:r w:rsidRPr="00A14E3E">
        <w:rPr>
          <w:rFonts w:cs="Times New Roman"/>
          <w:smallCaps/>
        </w:rPr>
        <w:t>cg-lit</w:t>
      </w:r>
      <w:r w:rsidRPr="00A14E3E">
        <w:rPr>
          <w:rFonts w:cs="Times New Roman"/>
        </w:rPr>
        <w:t>). To handle this situation, we adopt the approach suggested by Kestemont, De Pauw and Daelemans (2010). We first assign an index to each item in the texts and normalize these to the range 0.00-1.00. In the development set, we put all items with an index between 0.60-0.70, and in the test set all items with an index between 0.70-0.80. The remaining items are appended to the training material. These splits are of course suboptimal, in the sense that the system operates more “in domain” than with free text. Unfortunately, the enormous divergence between the length of the literary texts renders other splitting approaches (e.g. leave-one-text-out validation) even less optimal. A clear advantage of the evaluation strategy is nevertheless that it allows to assess how well the system is able to generalize to other portions in a text, given annotated material from the same text. This is a valuable property of evaluation procedure, because medieval texts display also a significant amount of intra-text variation (i.e. the same text often uses many different spellings for the same word). Moreover, this strategy is insightful when it comes to incremental or active learning, whereby scholars first tag a part of the text and retrain the system before tackling the rest of a text.</w:t>
      </w:r>
    </w:p>
    <w:p w14:paraId="620AA288" w14:textId="4104C920" w:rsidR="00B93846" w:rsidRDefault="002D48D9">
      <w:r>
        <w:t xml:space="preserve"> </w:t>
      </w:r>
    </w:p>
    <w:p w14:paraId="499D9A92" w14:textId="77777777" w:rsidR="004864AB" w:rsidRDefault="004864AB"/>
    <w:p w14:paraId="3E3FB472" w14:textId="77777777" w:rsidR="004864AB" w:rsidRDefault="004864AB"/>
    <w:p w14:paraId="16B5A55F" w14:textId="00B97AFF" w:rsidR="00B93846" w:rsidRDefault="00B93846">
      <w:r>
        <w:t>Discussion</w:t>
      </w:r>
    </w:p>
    <w:p w14:paraId="5195F3DE" w14:textId="77777777" w:rsidR="00B93846" w:rsidRDefault="00B93846"/>
    <w:p w14:paraId="66B038F7" w14:textId="65AAD4B3" w:rsidR="00B93846" w:rsidRDefault="00B93846">
      <w:r>
        <w:t>Conclusion</w:t>
      </w:r>
    </w:p>
    <w:p w14:paraId="11863BA5" w14:textId="51008C92" w:rsidR="00B93846" w:rsidRDefault="00B93846">
      <w:r>
        <w:t>Pointers for future research:</w:t>
      </w:r>
    </w:p>
    <w:p w14:paraId="7FAAA81E" w14:textId="50E5343F" w:rsidR="00B93846" w:rsidRDefault="00B93846">
      <w:r>
        <w:t>More extensive pretraining: both of embeddings and convolutions</w:t>
      </w:r>
    </w:p>
    <w:p w14:paraId="3C3B7ADD" w14:textId="472497ED" w:rsidR="00B93846" w:rsidRDefault="00B93846">
      <w:r>
        <w:t>More filters, less one-hot</w:t>
      </w:r>
    </w:p>
    <w:p w14:paraId="04122510" w14:textId="7D661844" w:rsidR="00B93846" w:rsidRDefault="00B93846">
      <w:r>
        <w:t>Extend convolutions to modeling context, also sequential nets.</w:t>
      </w:r>
    </w:p>
    <w:p w14:paraId="5B146E6D" w14:textId="057B3ED8" w:rsidR="00156538" w:rsidRDefault="00C91314">
      <w:r>
        <w:t>Unfeasible to train on a cpu, requires gpu</w:t>
      </w:r>
    </w:p>
    <w:p w14:paraId="39DD2FB4" w14:textId="1E7C4198" w:rsidR="00156538" w:rsidRDefault="00233158">
      <w:r>
        <w:t>Left-to-right</w:t>
      </w:r>
    </w:p>
    <w:p w14:paraId="1FED29D4" w14:textId="2E2B9326" w:rsidR="00233158" w:rsidRDefault="00233158">
      <w:r>
        <w:t>Imporant: no bells and whistles</w:t>
      </w:r>
    </w:p>
    <w:p w14:paraId="757BD9A4" w14:textId="77777777" w:rsidR="00156538" w:rsidRDefault="00156538"/>
    <w:sectPr w:rsidR="00156538" w:rsidSect="007D2D0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0555A" w14:textId="77777777" w:rsidR="003E0346" w:rsidRDefault="003E0346" w:rsidP="007E7FCF">
      <w:r>
        <w:separator/>
      </w:r>
    </w:p>
  </w:endnote>
  <w:endnote w:type="continuationSeparator" w:id="0">
    <w:p w14:paraId="33085FD0" w14:textId="77777777" w:rsidR="003E0346" w:rsidRDefault="003E0346" w:rsidP="007E7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51182" w14:textId="77777777" w:rsidR="003E0346" w:rsidRDefault="003E0346" w:rsidP="007E7FCF">
      <w:r>
        <w:separator/>
      </w:r>
    </w:p>
  </w:footnote>
  <w:footnote w:type="continuationSeparator" w:id="0">
    <w:p w14:paraId="49EC8924" w14:textId="77777777" w:rsidR="003E0346" w:rsidRDefault="003E0346" w:rsidP="007E7FCF">
      <w:r>
        <w:continuationSeparator/>
      </w:r>
    </w:p>
  </w:footnote>
  <w:footnote w:id="1">
    <w:p w14:paraId="5B3DB68B" w14:textId="633CE662" w:rsidR="003E0346" w:rsidRPr="007E7FCF" w:rsidRDefault="003E0346">
      <w:pPr>
        <w:pStyle w:val="FootnoteText"/>
        <w:rPr>
          <w:lang w:val="nl-NL"/>
        </w:rPr>
      </w:pPr>
      <w:r>
        <w:rPr>
          <w:rStyle w:val="FootnoteReference"/>
        </w:rPr>
        <w:footnoteRef/>
      </w:r>
      <w:r>
        <w:t xml:space="preserve"> </w:t>
      </w:r>
      <w:r w:rsidRPr="00DB0076">
        <w:t xml:space="preserve">In computer vision, convolutional layers are traditionally alternated with max-pooling layers, although the surplus value of max-pooling is increasingly questioned. In </w:t>
      </w:r>
      <w:r>
        <w:t>preliminary experiments,</w:t>
      </w:r>
      <w:r w:rsidRPr="00DB0076">
        <w:t xml:space="preserve"> max-pooling </w:t>
      </w:r>
      <w:r>
        <w:t xml:space="preserve">did not yield </w:t>
      </w:r>
      <w:r w:rsidRPr="00DB0076">
        <w:t>a beneficial effect</w:t>
      </w:r>
      <w:r>
        <w:t xml:space="preserve"> on our data, nor did the introduction of stacked convolutions.</w:t>
      </w:r>
    </w:p>
  </w:footnote>
  <w:footnote w:id="2">
    <w:p w14:paraId="19727A67" w14:textId="77777777" w:rsidR="008A504C" w:rsidRPr="000F7400" w:rsidRDefault="008A504C" w:rsidP="008A504C">
      <w:pPr>
        <w:pStyle w:val="FootnoteText"/>
        <w:jc w:val="both"/>
        <w:rPr>
          <w:sz w:val="20"/>
          <w:szCs w:val="20"/>
          <w:lang w:val="nl-NL"/>
        </w:rPr>
      </w:pPr>
      <w:r w:rsidRPr="000F7400">
        <w:rPr>
          <w:rStyle w:val="FootnoteReference"/>
          <w:sz w:val="20"/>
          <w:szCs w:val="20"/>
        </w:rPr>
        <w:footnoteRef/>
      </w:r>
      <w:r w:rsidRPr="000F7400">
        <w:rPr>
          <w:sz w:val="20"/>
          <w:szCs w:val="20"/>
        </w:rPr>
        <w:t xml:space="preserve"> </w:t>
      </w:r>
      <w:r w:rsidRPr="000F7400">
        <w:rPr>
          <w:sz w:val="20"/>
          <w:szCs w:val="20"/>
          <w:lang w:val="nl-NL"/>
        </w:rPr>
        <w:t>Thanks to INL and Piet van Reenen.</w:t>
      </w:r>
    </w:p>
  </w:footnote>
  <w:footnote w:id="3">
    <w:p w14:paraId="2A9A567F" w14:textId="77777777" w:rsidR="008A504C" w:rsidRPr="000F7400" w:rsidRDefault="008A504C" w:rsidP="008A504C">
      <w:pPr>
        <w:pStyle w:val="FootnoteText"/>
        <w:jc w:val="both"/>
        <w:rPr>
          <w:sz w:val="20"/>
          <w:szCs w:val="20"/>
          <w:lang w:val="nl-NL"/>
        </w:rPr>
      </w:pPr>
      <w:r w:rsidRPr="000F7400">
        <w:rPr>
          <w:rStyle w:val="FootnoteReference"/>
          <w:sz w:val="20"/>
          <w:szCs w:val="20"/>
        </w:rPr>
        <w:footnoteRef/>
      </w:r>
      <w:r w:rsidRPr="000F7400">
        <w:rPr>
          <w:sz w:val="20"/>
          <w:szCs w:val="20"/>
        </w:rPr>
        <w:t xml:space="preserve"> </w:t>
      </w:r>
      <w:r w:rsidRPr="000F7400">
        <w:rPr>
          <w:sz w:val="20"/>
          <w:szCs w:val="20"/>
          <w:lang w:val="nl-NL"/>
        </w:rPr>
        <w:t>The most comprehensive discussion of the annotation guidelines has been provided in the Adelheid project and can be consulted online: http://adelheid.ruhosting.nl/ (last accessed 6 November 2014).</w:t>
      </w:r>
    </w:p>
  </w:footnote>
  <w:footnote w:id="4">
    <w:p w14:paraId="7DF518C7" w14:textId="77777777" w:rsidR="008A504C" w:rsidRPr="000F7400" w:rsidRDefault="008A504C" w:rsidP="008A504C">
      <w:pPr>
        <w:pStyle w:val="FootnoteText"/>
        <w:jc w:val="both"/>
        <w:rPr>
          <w:sz w:val="20"/>
          <w:szCs w:val="20"/>
          <w:lang w:val="nl-NL"/>
        </w:rPr>
      </w:pPr>
      <w:r w:rsidRPr="000F7400">
        <w:rPr>
          <w:rStyle w:val="FootnoteReference"/>
          <w:sz w:val="20"/>
          <w:szCs w:val="20"/>
        </w:rPr>
        <w:footnoteRef/>
      </w:r>
      <w:r w:rsidRPr="000F7400">
        <w:rPr>
          <w:sz w:val="20"/>
          <w:szCs w:val="20"/>
        </w:rPr>
        <w:t xml:space="preserve"> </w:t>
      </w:r>
      <w:r w:rsidRPr="000F7400">
        <w:rPr>
          <w:sz w:val="20"/>
          <w:szCs w:val="20"/>
          <w:lang w:val="nl-NL"/>
        </w:rPr>
        <w:t>Online at: http://gtb.inl.nl/ (last accessed 6 November 2014).</w:t>
      </w:r>
    </w:p>
  </w:footnote>
  <w:footnote w:id="5">
    <w:p w14:paraId="3EC497E8" w14:textId="77777777" w:rsidR="008A504C" w:rsidRPr="000F7400" w:rsidRDefault="008A504C" w:rsidP="008A504C">
      <w:pPr>
        <w:pStyle w:val="FootnoteText"/>
        <w:jc w:val="both"/>
        <w:rPr>
          <w:sz w:val="20"/>
          <w:szCs w:val="20"/>
          <w:lang w:val="nl-NL"/>
        </w:rPr>
      </w:pPr>
      <w:r w:rsidRPr="000F7400">
        <w:rPr>
          <w:rStyle w:val="FootnoteReference"/>
          <w:sz w:val="20"/>
          <w:szCs w:val="20"/>
        </w:rPr>
        <w:footnoteRef/>
      </w:r>
      <w:r w:rsidRPr="000F7400">
        <w:rPr>
          <w:sz w:val="20"/>
          <w:szCs w:val="20"/>
        </w:rPr>
        <w:t xml:space="preserve"> </w:t>
      </w:r>
      <w:r w:rsidRPr="000F7400">
        <w:rPr>
          <w:sz w:val="20"/>
          <w:szCs w:val="20"/>
          <w:lang w:val="nl-NL"/>
        </w:rPr>
        <w:t>See: https://www.nederlab.nl/home (last accessed 6 November 2014).</w:t>
      </w:r>
    </w:p>
  </w:footnote>
  <w:footnote w:id="6">
    <w:p w14:paraId="6F3FAAF7" w14:textId="77777777" w:rsidR="00136239" w:rsidRPr="000F7400" w:rsidRDefault="00136239" w:rsidP="00136239">
      <w:pPr>
        <w:pStyle w:val="FootnoteText"/>
        <w:jc w:val="both"/>
        <w:rPr>
          <w:sz w:val="20"/>
          <w:szCs w:val="20"/>
          <w:lang w:val="nl-NL"/>
        </w:rPr>
      </w:pPr>
      <w:r w:rsidRPr="000F7400">
        <w:rPr>
          <w:rStyle w:val="FootnoteReference"/>
          <w:sz w:val="20"/>
          <w:szCs w:val="20"/>
        </w:rPr>
        <w:footnoteRef/>
      </w:r>
      <w:r w:rsidRPr="000F7400">
        <w:rPr>
          <w:sz w:val="20"/>
          <w:szCs w:val="20"/>
        </w:rPr>
        <w:t xml:space="preserve"> </w:t>
      </w:r>
      <w:r>
        <w:rPr>
          <w:sz w:val="20"/>
          <w:szCs w:val="20"/>
          <w:lang w:val="nl-NL"/>
        </w:rPr>
        <w:t>Based on p</w:t>
      </w:r>
      <w:r w:rsidRPr="000F7400">
        <w:rPr>
          <w:sz w:val="20"/>
          <w:szCs w:val="20"/>
          <w:lang w:val="nl-NL"/>
        </w:rPr>
        <w:t>ersonal communication</w:t>
      </w:r>
      <w:r>
        <w:rPr>
          <w:sz w:val="20"/>
          <w:szCs w:val="20"/>
          <w:lang w:val="nl-NL"/>
        </w:rPr>
        <w:t xml:space="preserve"> with the lead author</w:t>
      </w:r>
      <w:r w:rsidRPr="000F7400">
        <w:rPr>
          <w:sz w:val="20"/>
          <w:szCs w:val="20"/>
          <w:lang w:val="nl-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84050"/>
    <w:multiLevelType w:val="hybridMultilevel"/>
    <w:tmpl w:val="2C4A6ADA"/>
    <w:lvl w:ilvl="0" w:tplc="C4C8B6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538"/>
    <w:rsid w:val="00004434"/>
    <w:rsid w:val="00021868"/>
    <w:rsid w:val="00022746"/>
    <w:rsid w:val="00033F9C"/>
    <w:rsid w:val="00036CBC"/>
    <w:rsid w:val="00054039"/>
    <w:rsid w:val="00057010"/>
    <w:rsid w:val="00066EEE"/>
    <w:rsid w:val="0007721C"/>
    <w:rsid w:val="00084C84"/>
    <w:rsid w:val="00090D00"/>
    <w:rsid w:val="000952F3"/>
    <w:rsid w:val="000B783E"/>
    <w:rsid w:val="000D7041"/>
    <w:rsid w:val="000F2715"/>
    <w:rsid w:val="000F5AA1"/>
    <w:rsid w:val="001062B0"/>
    <w:rsid w:val="00106727"/>
    <w:rsid w:val="00122C3E"/>
    <w:rsid w:val="00123F37"/>
    <w:rsid w:val="00125253"/>
    <w:rsid w:val="00133925"/>
    <w:rsid w:val="00136239"/>
    <w:rsid w:val="00155008"/>
    <w:rsid w:val="00156538"/>
    <w:rsid w:val="0019099D"/>
    <w:rsid w:val="001B4172"/>
    <w:rsid w:val="001F00D1"/>
    <w:rsid w:val="001F09B8"/>
    <w:rsid w:val="001F222E"/>
    <w:rsid w:val="001F510C"/>
    <w:rsid w:val="001F7FE4"/>
    <w:rsid w:val="00201E1D"/>
    <w:rsid w:val="00206ECB"/>
    <w:rsid w:val="00210621"/>
    <w:rsid w:val="00221653"/>
    <w:rsid w:val="002232A9"/>
    <w:rsid w:val="00233158"/>
    <w:rsid w:val="002343AC"/>
    <w:rsid w:val="002355BD"/>
    <w:rsid w:val="00242908"/>
    <w:rsid w:val="00254277"/>
    <w:rsid w:val="00263B0A"/>
    <w:rsid w:val="002648B4"/>
    <w:rsid w:val="00283E50"/>
    <w:rsid w:val="002B1403"/>
    <w:rsid w:val="002B3746"/>
    <w:rsid w:val="002B6040"/>
    <w:rsid w:val="002C232D"/>
    <w:rsid w:val="002C5862"/>
    <w:rsid w:val="002D48D9"/>
    <w:rsid w:val="002D4DD1"/>
    <w:rsid w:val="002D5869"/>
    <w:rsid w:val="00310E57"/>
    <w:rsid w:val="0031469E"/>
    <w:rsid w:val="00316EB8"/>
    <w:rsid w:val="00327B79"/>
    <w:rsid w:val="00337DC0"/>
    <w:rsid w:val="003404B6"/>
    <w:rsid w:val="003514AD"/>
    <w:rsid w:val="00362417"/>
    <w:rsid w:val="00372BD3"/>
    <w:rsid w:val="00380B25"/>
    <w:rsid w:val="003A01F6"/>
    <w:rsid w:val="003A15EE"/>
    <w:rsid w:val="003A6A81"/>
    <w:rsid w:val="003B5B38"/>
    <w:rsid w:val="003B7677"/>
    <w:rsid w:val="003C3461"/>
    <w:rsid w:val="003E0346"/>
    <w:rsid w:val="003E3B1A"/>
    <w:rsid w:val="0041610B"/>
    <w:rsid w:val="00423EF1"/>
    <w:rsid w:val="00431FED"/>
    <w:rsid w:val="00434865"/>
    <w:rsid w:val="00434947"/>
    <w:rsid w:val="00463AF7"/>
    <w:rsid w:val="004656C3"/>
    <w:rsid w:val="00467C08"/>
    <w:rsid w:val="004714CD"/>
    <w:rsid w:val="00472862"/>
    <w:rsid w:val="004768C1"/>
    <w:rsid w:val="0047693F"/>
    <w:rsid w:val="00476FF8"/>
    <w:rsid w:val="00483982"/>
    <w:rsid w:val="004864AB"/>
    <w:rsid w:val="004A374B"/>
    <w:rsid w:val="004A79A3"/>
    <w:rsid w:val="004C139F"/>
    <w:rsid w:val="004C5727"/>
    <w:rsid w:val="004C76AA"/>
    <w:rsid w:val="004E541C"/>
    <w:rsid w:val="00505C27"/>
    <w:rsid w:val="00517283"/>
    <w:rsid w:val="00523D87"/>
    <w:rsid w:val="00554239"/>
    <w:rsid w:val="00555ADC"/>
    <w:rsid w:val="00597153"/>
    <w:rsid w:val="005B0831"/>
    <w:rsid w:val="005B3B37"/>
    <w:rsid w:val="005C053C"/>
    <w:rsid w:val="005D67FB"/>
    <w:rsid w:val="005E12A9"/>
    <w:rsid w:val="00621B4E"/>
    <w:rsid w:val="00625703"/>
    <w:rsid w:val="00634238"/>
    <w:rsid w:val="00637B92"/>
    <w:rsid w:val="00647CCD"/>
    <w:rsid w:val="0065363E"/>
    <w:rsid w:val="00666C3B"/>
    <w:rsid w:val="006A2E28"/>
    <w:rsid w:val="006B335D"/>
    <w:rsid w:val="006C062E"/>
    <w:rsid w:val="006C4798"/>
    <w:rsid w:val="006D5546"/>
    <w:rsid w:val="006E0734"/>
    <w:rsid w:val="006F6034"/>
    <w:rsid w:val="006F738C"/>
    <w:rsid w:val="00701556"/>
    <w:rsid w:val="007258F9"/>
    <w:rsid w:val="007305C6"/>
    <w:rsid w:val="0073254C"/>
    <w:rsid w:val="00737F6B"/>
    <w:rsid w:val="00741B93"/>
    <w:rsid w:val="00745797"/>
    <w:rsid w:val="00754B45"/>
    <w:rsid w:val="00761EFC"/>
    <w:rsid w:val="00773E4C"/>
    <w:rsid w:val="007819E2"/>
    <w:rsid w:val="00783E02"/>
    <w:rsid w:val="0079357A"/>
    <w:rsid w:val="007A32F7"/>
    <w:rsid w:val="007A61D2"/>
    <w:rsid w:val="007B6F29"/>
    <w:rsid w:val="007D1B38"/>
    <w:rsid w:val="007D2D0D"/>
    <w:rsid w:val="007E19AB"/>
    <w:rsid w:val="007E7C1F"/>
    <w:rsid w:val="007E7FCF"/>
    <w:rsid w:val="007F29B7"/>
    <w:rsid w:val="007F5E11"/>
    <w:rsid w:val="007F7F3A"/>
    <w:rsid w:val="008038E9"/>
    <w:rsid w:val="00811082"/>
    <w:rsid w:val="00823D2C"/>
    <w:rsid w:val="008345D0"/>
    <w:rsid w:val="00855395"/>
    <w:rsid w:val="00871E58"/>
    <w:rsid w:val="00880D0F"/>
    <w:rsid w:val="00896FA3"/>
    <w:rsid w:val="008A2092"/>
    <w:rsid w:val="008A3661"/>
    <w:rsid w:val="008A504C"/>
    <w:rsid w:val="008B7EB1"/>
    <w:rsid w:val="008C3B42"/>
    <w:rsid w:val="008F7C09"/>
    <w:rsid w:val="00922092"/>
    <w:rsid w:val="00944192"/>
    <w:rsid w:val="00952DE7"/>
    <w:rsid w:val="00955648"/>
    <w:rsid w:val="0097246C"/>
    <w:rsid w:val="009A1CB0"/>
    <w:rsid w:val="009A3FD2"/>
    <w:rsid w:val="009A5FA4"/>
    <w:rsid w:val="009B138A"/>
    <w:rsid w:val="009C5669"/>
    <w:rsid w:val="009D17A5"/>
    <w:rsid w:val="009D407A"/>
    <w:rsid w:val="009E1F4A"/>
    <w:rsid w:val="00A14581"/>
    <w:rsid w:val="00A14A06"/>
    <w:rsid w:val="00A15273"/>
    <w:rsid w:val="00A22B0D"/>
    <w:rsid w:val="00A303A2"/>
    <w:rsid w:val="00A35865"/>
    <w:rsid w:val="00A439FB"/>
    <w:rsid w:val="00A46E3E"/>
    <w:rsid w:val="00A52811"/>
    <w:rsid w:val="00A62C34"/>
    <w:rsid w:val="00A85CCB"/>
    <w:rsid w:val="00AB56AA"/>
    <w:rsid w:val="00AC123E"/>
    <w:rsid w:val="00AD069B"/>
    <w:rsid w:val="00AD3F07"/>
    <w:rsid w:val="00AE11C2"/>
    <w:rsid w:val="00AF1115"/>
    <w:rsid w:val="00B0149D"/>
    <w:rsid w:val="00B30593"/>
    <w:rsid w:val="00B5005D"/>
    <w:rsid w:val="00B54475"/>
    <w:rsid w:val="00B57636"/>
    <w:rsid w:val="00B622B1"/>
    <w:rsid w:val="00B673E0"/>
    <w:rsid w:val="00B733A4"/>
    <w:rsid w:val="00B82D36"/>
    <w:rsid w:val="00B93846"/>
    <w:rsid w:val="00B97D71"/>
    <w:rsid w:val="00BB4F97"/>
    <w:rsid w:val="00BB5962"/>
    <w:rsid w:val="00BB7417"/>
    <w:rsid w:val="00BC60D8"/>
    <w:rsid w:val="00BD1FC5"/>
    <w:rsid w:val="00BD2C2E"/>
    <w:rsid w:val="00BD3BA8"/>
    <w:rsid w:val="00BE5E4F"/>
    <w:rsid w:val="00C01DCF"/>
    <w:rsid w:val="00C20FDF"/>
    <w:rsid w:val="00C35E97"/>
    <w:rsid w:val="00C52086"/>
    <w:rsid w:val="00C60E91"/>
    <w:rsid w:val="00C621AC"/>
    <w:rsid w:val="00C73FC6"/>
    <w:rsid w:val="00C851C2"/>
    <w:rsid w:val="00C91314"/>
    <w:rsid w:val="00CA39C4"/>
    <w:rsid w:val="00CA4C6C"/>
    <w:rsid w:val="00CC4369"/>
    <w:rsid w:val="00CD3BF8"/>
    <w:rsid w:val="00CF60DF"/>
    <w:rsid w:val="00D00541"/>
    <w:rsid w:val="00D17F22"/>
    <w:rsid w:val="00D23B78"/>
    <w:rsid w:val="00D24790"/>
    <w:rsid w:val="00D24BF5"/>
    <w:rsid w:val="00D3651C"/>
    <w:rsid w:val="00D60054"/>
    <w:rsid w:val="00D93BD7"/>
    <w:rsid w:val="00D97087"/>
    <w:rsid w:val="00DA6B71"/>
    <w:rsid w:val="00DB0076"/>
    <w:rsid w:val="00DB39E4"/>
    <w:rsid w:val="00DB7E17"/>
    <w:rsid w:val="00DC5D77"/>
    <w:rsid w:val="00E01BBB"/>
    <w:rsid w:val="00E065C6"/>
    <w:rsid w:val="00E15591"/>
    <w:rsid w:val="00E241E0"/>
    <w:rsid w:val="00E26375"/>
    <w:rsid w:val="00E47DF1"/>
    <w:rsid w:val="00E60CF3"/>
    <w:rsid w:val="00E84555"/>
    <w:rsid w:val="00E94D91"/>
    <w:rsid w:val="00EC18AC"/>
    <w:rsid w:val="00EC4F6A"/>
    <w:rsid w:val="00EC6F80"/>
    <w:rsid w:val="00ED607D"/>
    <w:rsid w:val="00EE2F33"/>
    <w:rsid w:val="00EE3FC0"/>
    <w:rsid w:val="00EE6D77"/>
    <w:rsid w:val="00EF311B"/>
    <w:rsid w:val="00F06EA9"/>
    <w:rsid w:val="00F11E46"/>
    <w:rsid w:val="00F35FEC"/>
    <w:rsid w:val="00F50303"/>
    <w:rsid w:val="00F52239"/>
    <w:rsid w:val="00F569D1"/>
    <w:rsid w:val="00F57957"/>
    <w:rsid w:val="00F6670C"/>
    <w:rsid w:val="00F73640"/>
    <w:rsid w:val="00F77BFF"/>
    <w:rsid w:val="00F84E99"/>
    <w:rsid w:val="00FA6C2C"/>
    <w:rsid w:val="00FA6ED2"/>
    <w:rsid w:val="00FB24E9"/>
    <w:rsid w:val="00FB5F2E"/>
    <w:rsid w:val="00FB67DD"/>
    <w:rsid w:val="00FE2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56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4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EE"/>
    <w:pPr>
      <w:ind w:left="720"/>
      <w:contextualSpacing/>
    </w:pPr>
  </w:style>
  <w:style w:type="table" w:styleId="TableGrid">
    <w:name w:val="Table Grid"/>
    <w:basedOn w:val="TableNormal"/>
    <w:uiPriority w:val="59"/>
    <w:rsid w:val="0012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E7FCF"/>
  </w:style>
  <w:style w:type="character" w:customStyle="1" w:styleId="FootnoteTextChar">
    <w:name w:val="Footnote Text Char"/>
    <w:basedOn w:val="DefaultParagraphFont"/>
    <w:link w:val="FootnoteText"/>
    <w:uiPriority w:val="99"/>
    <w:rsid w:val="007E7FCF"/>
    <w:rPr>
      <w:rFonts w:ascii="Times New Roman" w:hAnsi="Times New Roman"/>
    </w:rPr>
  </w:style>
  <w:style w:type="character" w:styleId="FootnoteReference">
    <w:name w:val="footnote reference"/>
    <w:basedOn w:val="DefaultParagraphFont"/>
    <w:uiPriority w:val="99"/>
    <w:unhideWhenUsed/>
    <w:rsid w:val="007E7FC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4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EE"/>
    <w:pPr>
      <w:ind w:left="720"/>
      <w:contextualSpacing/>
    </w:pPr>
  </w:style>
  <w:style w:type="table" w:styleId="TableGrid">
    <w:name w:val="Table Grid"/>
    <w:basedOn w:val="TableNormal"/>
    <w:uiPriority w:val="59"/>
    <w:rsid w:val="0012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E7FCF"/>
  </w:style>
  <w:style w:type="character" w:customStyle="1" w:styleId="FootnoteTextChar">
    <w:name w:val="Footnote Text Char"/>
    <w:basedOn w:val="DefaultParagraphFont"/>
    <w:link w:val="FootnoteText"/>
    <w:uiPriority w:val="99"/>
    <w:rsid w:val="007E7FCF"/>
    <w:rPr>
      <w:rFonts w:ascii="Times New Roman" w:hAnsi="Times New Roman"/>
    </w:rPr>
  </w:style>
  <w:style w:type="character" w:styleId="FootnoteReference">
    <w:name w:val="footnote reference"/>
    <w:basedOn w:val="DefaultParagraphFont"/>
    <w:uiPriority w:val="99"/>
    <w:unhideWhenUsed/>
    <w:rsid w:val="007E7F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13</Pages>
  <Words>6309</Words>
  <Characters>35967</Characters>
  <Application>Microsoft Macintosh Word</Application>
  <DocSecurity>0</DocSecurity>
  <Lines>299</Lines>
  <Paragraphs>84</Paragraphs>
  <ScaleCrop>false</ScaleCrop>
  <Company>University of Antwerp</Company>
  <LinksUpToDate>false</LinksUpToDate>
  <CharactersWithSpaces>42192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Kestemont</dc:creator>
  <cp:keywords/>
  <dc:description/>
  <cp:lastModifiedBy>Mike Kestemont</cp:lastModifiedBy>
  <cp:revision>247</cp:revision>
  <dcterms:created xsi:type="dcterms:W3CDTF">2015-11-09T06:43:00Z</dcterms:created>
  <dcterms:modified xsi:type="dcterms:W3CDTF">2015-11-09T12:55:00Z</dcterms:modified>
</cp:coreProperties>
</file>