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888888"/>
          <w:spacing w:val="40"/>
          <w:sz w:val="16"/>
          <w:szCs w:val="16"/>
        </w:rPr>
        <w:t xml:space="preserve">DISCOVERY INTERVIEW PREP  |  CONFIDENTIAL</w:t>
      </w:r>
    </w:p>
    <w:p>
      <w:pPr>
        <w:spacing w:after="80" w:before="80"/>
      </w:pPr>
      <w:r>
        <w:rPr>
          <w:b/>
          <w:bCs/>
          <w:sz w:val="36"/>
          <w:szCs w:val="36"/>
        </w:rPr>
        <w:t xml:space="preserve">Rothschild Foundation — Dickon Leigh-Wood</w:t>
      </w:r>
    </w:p>
    <w:p>
      <w:pPr>
        <w:spacing w:after="240"/>
      </w:pPr>
      <w:r>
        <w:rPr>
          <w:i/>
          <w:iCs/>
          <w:color w:val="555555"/>
          <w:sz w:val="22"/>
          <w:szCs w:val="22"/>
        </w:rPr>
        <w:t xml:space="preserve">Head of Sustainability  ·  Interview prep for the catch-up with Otto’s team</w:t>
      </w:r>
    </w:p>
    <w:p>
      <w:pPr>
        <w:pBdr>
          <w:bottom w:val="single" w:color="2E75B6" w:sz="6" w:space="4"/>
        </w:pBdr>
        <w:spacing w:after="240"/>
      </w:pPr>
      <w:r>
        <w:t xml:space="preserve"/>
      </w:r>
    </w:p>
    <w:p>
      <w:pPr>
        <w:pStyle w:val="Heading1"/>
      </w:pPr>
      <w:r>
        <w:t xml:space="preserve">At a glance</w:t>
      </w:r>
    </w:p>
    <w:p>
      <w:pPr>
        <w:spacing w:after="120"/>
      </w:pPr>
      <w:r>
        <w:t xml:space="preserve">Dickon is the highest-engagement sustainability user on the entire platform — 744 Net Zero events across five months, sustained at a level no other customer comes close to. He is also Otto’s strongest sustainability relationship and was the P1 lead candidate in the Q3 discovery shortlist for exactly this reason: he is the deepest workflow signal we have on Decarbonisation Pathway, the auto-generated Investment Strategy, and the Scope 3 interface before any of it ships.</w:t>
      </w:r>
    </w:p>
    <w:p>
      <w:pPr>
        <w:spacing w:after="120"/>
      </w:pPr>
      <w:r>
        <w:t xml:space="preserve">The format is the same as LKAB: you are joining an existing catch-up between Dickon and Otto’s sustainability team. Expect a guest slot rather than the full meeting. The framework needs to flex — you will get one or two questions rather than three, and the meeting will revert to its normal shape after. The discovery slot needs to earn its space; the rest of the call gives you a chance to listen for context you can’t get any other way.</w:t>
      </w:r>
    </w:p>
    <w:p>
      <w:pPr>
        <w:spacing w:after="120"/>
      </w:pPr>
      <w:r>
        <w:t xml:space="preserve">Background on Dickon worth carrying into the room: Cambridge-educated in sustainable business leadership, describes himself as a sustainability consultant and operations executive director with a track record across net zero strategy, full GHG footprint, waste reduction and circular economy. He is the senior sustainability lead at a private foundation — so the reporting line is to trustees rather than a CEO or PLC board. That changes the audience for his outputs, and probably changes the kind of evidence that lands.</w:t>
      </w:r>
    </w:p>
    <w:p>
      <w:pPr>
        <w:pStyle w:val="Heading1"/>
      </w:pPr>
      <w:r>
        <w:t xml:space="preserve">Who’s in the room and what they care about</w:t>
      </w:r>
    </w:p>
    <w:p>
      <w:pPr>
        <w:pStyle w:val="Heading2"/>
      </w:pPr>
      <w:r>
        <w:t xml:space="preserve">Dickon Leigh-Wood</w:t>
      </w:r>
    </w:p>
    <w:p>
      <w:pPr>
        <w:spacing w:after="120"/>
      </w:pPr>
      <w:r>
        <w:t xml:space="preserve">Head of Sustainability, Rothschild Foundation. Senior practitioner, very experienced, runs the sustainability function. 744 NZ events across the last five months — this is a person who is in the platform most weeks and has built it into his workflow.</w:t>
      </w:r>
    </w:p>
    <w:p>
      <w:pPr>
        <w:spacing w:after="120"/>
      </w:pPr>
      <w:r>
        <w:t xml:space="preserve">His LinkedIn bio reads as someone who likes systems thinking and stakeholder unification (“specialising in delivering solutions to complex environmental problems, unifying all stakeholders”). That is consistent with the platform usage signal — someone who is doing real consolidation work, not just compliance reporting.</w:t>
      </w:r>
    </w:p>
    <w:p>
      <w:pPr>
        <w:pStyle w:val="Heading2"/>
      </w:pPr>
      <w:r>
        <w:t xml:space="preserve">Otto + the sustainability team</w:t>
      </w:r>
    </w:p>
    <w:p>
      <w:pPr>
        <w:spacing w:after="120"/>
      </w:pPr>
      <w:r>
        <w:t xml:space="preserve">Otto green-lit Rothschild as his strongest sustainability relationship. The catch-up is theirs; you are the guest. The pattern from LKAB suggests the richest discovery signal often comes when the account team are doing their normal work and you are listening — not when you are running a structured slot.</w:t>
      </w:r>
    </w:p>
    <w:p>
      <w:pPr>
        <w:pStyle w:val="Heading2"/>
      </w:pPr>
      <w:r>
        <w:t xml:space="preserve">What this catch-up is, in plain terms</w:t>
      </w:r>
    </w:p>
    <w:p>
      <w:pPr>
        <w:spacing w:after="120"/>
      </w:pPr>
      <w:r>
        <w:t xml:space="preserve">Otto’s recurring relationship management with the foundation’s sustainability lead. He will have his own agenda. Your job is to take the discovery slot when offered, and otherwise listen for signal across the rest of the call.</w:t>
      </w:r>
    </w:p>
    <w:p>
      <w:pPr>
        <w:pStyle w:val="Heading1"/>
      </w:pPr>
      <w:r>
        <w:t xml:space="preserve">What the interview needs to validate</w:t>
      </w:r>
    </w:p>
    <w:p>
      <w:pPr>
        <w:spacing w:after="120"/>
      </w:pPr>
      <w:r>
        <w:t xml:space="preserve">Three FY27 roadmap deliverables map directly onto Dickon’s workflow. The discovery slot should pull at the seams of one of them rather than try to cover all three.</w:t>
      </w:r>
    </w:p>
    <w:p>
      <w:pPr>
        <w:pStyle w:val="Heading2"/>
      </w:pPr>
      <w:r>
        <w:t xml:space="preserve">Decarbonisation Pathway</w:t>
      </w:r>
    </w:p>
    <w:p>
      <w:pPr>
        <w:spacing w:after="120"/>
      </w:pPr>
      <w:r>
        <w:t xml:space="preserve">Project-impact view, scenario modelling. Dickon’s NZ event volume tells us he is doing the planning work today — the question is how, and what would change if the platform could carry more of it. Listen for: how he builds the case for investment, how he tracks progress against pathway commitments, how he handles the gap between annual targets and ongoing project decisions.</w:t>
      </w:r>
    </w:p>
    <w:p>
      <w:pPr>
        <w:pStyle w:val="Heading2"/>
      </w:pPr>
      <w:r>
        <w:t xml:space="preserve">Auto-generated Investment Strategy</w:t>
      </w:r>
    </w:p>
    <w:p>
      <w:pPr>
        <w:spacing w:after="120"/>
      </w:pPr>
      <w:r>
        <w:t xml:space="preserve">The platform synthesising the right next decarbonisation projects for the customer. With trustees as the audience, the framing matters — a platform-generated recommendation has to be defensible upwards in a way that probably differs from a corporate context. Listen for: what evidence trustees ask for, how he handles “why this and not that” challenge, where his current strategy work is most time-consuming.</w:t>
      </w:r>
    </w:p>
    <w:p>
      <w:pPr>
        <w:pStyle w:val="Heading2"/>
      </w:pPr>
      <w:r>
        <w:t xml:space="preserve">Scope 3 interface</w:t>
      </w:r>
    </w:p>
    <w:p>
      <w:pPr>
        <w:spacing w:after="120"/>
      </w:pPr>
      <w:r>
        <w:t xml:space="preserve">Foundation Scope 3 is meaningfully different from corporate Scope 3 — grant-making and investment activity dominates rather than supply-chain procurement. Worth understanding what “Scope 3” actually means in a foundation context for him, and whether the standard interface assumptions hold.</w:t>
      </w:r>
    </w:p>
    <w:p>
      <w:pPr>
        <w:pStyle w:val="Heading1"/>
      </w:pPr>
      <w:r>
        <w:t xml:space="preserve">What he’s doing on the platform</w:t>
      </w:r>
    </w:p>
    <w:p>
      <w:pPr>
        <w:spacing w:after="120"/>
      </w:pPr>
      <w:r>
        <w:t xml:space="preserve">Working from the discovery shortlist signal pack rather than a fresh PostHog pull (PostHog connector is currently in needs-reconnect state in this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5DDE5" w:sz="4"/>
              <w:left w:val="single" w:color="D5DDE5" w:sz="4"/>
              <w:bottom w:val="single" w:color="D5DDE5" w:sz="4"/>
              <w:right w:val="single" w:color="D5DDE5" w:sz="4"/>
            </w:tcBorders>
            <w:shd w:fill="F0F4F8" w:val="clear"/>
            <w:tcMar>
              <w:top w:type="dxa" w:w="100"/>
              <w:left w:type="dxa" w:w="140"/>
              <w:bottom w:type="dxa" w:w="100"/>
              <w:right w:type="dxa" w:w="140"/>
            </w:tcMar>
          </w:tcPr>
          <w:p>
            <w:r>
              <w:rPr>
                <w:b/>
                <w:bCs/>
                <w:sz w:val="20"/>
                <w:szCs w:val="20"/>
              </w:rPr>
              <w:t xml:space="preserve">Signal</w:t>
            </w:r>
          </w:p>
        </w:tc>
        <w:tc>
          <w:tcPr>
            <w:tcW w:type="dxa" w:w="2340"/>
            <w:tcBorders>
              <w:top w:val="single" w:color="D5DDE5" w:sz="4"/>
              <w:left w:val="single" w:color="D5DDE5" w:sz="4"/>
              <w:bottom w:val="single" w:color="D5DDE5" w:sz="4"/>
              <w:right w:val="single" w:color="D5DDE5" w:sz="4"/>
            </w:tcBorders>
            <w:shd w:fill="F0F4F8" w:val="clear"/>
            <w:tcMar>
              <w:top w:type="dxa" w:w="100"/>
              <w:left w:type="dxa" w:w="140"/>
              <w:bottom w:type="dxa" w:w="100"/>
              <w:right w:type="dxa" w:w="140"/>
            </w:tcMar>
          </w:tcPr>
          <w:p>
            <w:r>
              <w:rPr>
                <w:b/>
                <w:bCs/>
                <w:sz w:val="20"/>
                <w:szCs w:val="20"/>
              </w:rPr>
              <w:t xml:space="preserve">Value</w:t>
            </w:r>
          </w:p>
        </w:tc>
        <w:tc>
          <w:tcPr>
            <w:tcW w:type="dxa" w:w="2340"/>
            <w:tcBorders>
              <w:top w:val="single" w:color="D5DDE5" w:sz="4"/>
              <w:left w:val="single" w:color="D5DDE5" w:sz="4"/>
              <w:bottom w:val="single" w:color="D5DDE5" w:sz="4"/>
              <w:right w:val="single" w:color="D5DDE5" w:sz="4"/>
            </w:tcBorders>
            <w:shd w:fill="F0F4F8" w:val="clear"/>
            <w:tcMar>
              <w:top w:type="dxa" w:w="100"/>
              <w:left w:type="dxa" w:w="140"/>
              <w:bottom w:type="dxa" w:w="100"/>
              <w:right w:type="dxa" w:w="140"/>
            </w:tcMar>
          </w:tcPr>
          <w:p>
            <w:r>
              <w:rPr>
                <w:b/>
                <w:bCs/>
                <w:sz w:val="20"/>
                <w:szCs w:val="20"/>
              </w:rPr>
              <w:t xml:space="preserve">Signal</w:t>
            </w:r>
          </w:p>
        </w:tc>
        <w:tc>
          <w:tcPr>
            <w:tcW w:type="dxa" w:w="2340"/>
            <w:tcBorders>
              <w:top w:val="single" w:color="D5DDE5" w:sz="4"/>
              <w:left w:val="single" w:color="D5DDE5" w:sz="4"/>
              <w:bottom w:val="single" w:color="D5DDE5" w:sz="4"/>
              <w:right w:val="single" w:color="D5DDE5" w:sz="4"/>
            </w:tcBorders>
            <w:shd w:fill="F0F4F8" w:val="clear"/>
            <w:tcMar>
              <w:top w:type="dxa" w:w="100"/>
              <w:left w:type="dxa" w:w="140"/>
              <w:bottom w:type="dxa" w:w="100"/>
              <w:right w:type="dxa" w:w="140"/>
            </w:tcMar>
          </w:tcPr>
          <w:p>
            <w:r>
              <w:rPr>
                <w:b/>
                <w:bCs/>
                <w:sz w:val="20"/>
                <w:szCs w:val="20"/>
              </w:rPr>
              <w:t xml:space="preserve">Value</w:t>
            </w:r>
          </w:p>
        </w:tc>
      </w:tr>
      <w:tr>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NZ events (5 months)</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b/>
                <w:bCs/>
                <w:sz w:val="20"/>
                <w:szCs w:val="20"/>
              </w:rPr>
              <w:t xml:space="preserve">744</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Cohort</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Sustained sustainability</w:t>
            </w:r>
          </w:p>
        </w:tc>
      </w:tr>
      <w:tr>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Discovery tier</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b/>
                <w:bCs/>
                <w:sz w:val="20"/>
                <w:szCs w:val="20"/>
              </w:rPr>
              <w:t xml:space="preserve">P1 (Otto green-lit)</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Renewal status</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Not on Neil’s renewal list</w:t>
            </w:r>
          </w:p>
        </w:tc>
      </w:tr>
      <w:tr>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Relationship</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b/>
                <w:bCs/>
                <w:sz w:val="20"/>
                <w:szCs w:val="20"/>
              </w:rPr>
              <w:t xml:space="preserve">Otto’s strongest</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Intro route</w:t>
            </w:r>
          </w:p>
        </w:tc>
        <w:tc>
          <w:tcPr>
            <w:tcW w:type="dxa" w:w="2340"/>
            <w:tcBorders>
              <w:top w:val="single" w:color="D5DDE5" w:sz="4"/>
              <w:left w:val="single" w:color="D5DDE5" w:sz="4"/>
              <w:bottom w:val="single" w:color="D5DDE5" w:sz="4"/>
              <w:right w:val="single" w:color="D5DDE5" w:sz="4"/>
            </w:tcBorders>
            <w:tcMar>
              <w:top w:type="dxa" w:w="100"/>
              <w:left w:type="dxa" w:w="140"/>
              <w:bottom w:type="dxa" w:w="100"/>
              <w:right w:type="dxa" w:w="140"/>
            </w:tcMar>
          </w:tcPr>
          <w:p>
            <w:r>
              <w:rPr>
                <w:sz w:val="20"/>
                <w:szCs w:val="20"/>
              </w:rPr>
              <w:t xml:space="preserve">Otto / CS warm</w:t>
            </w:r>
          </w:p>
        </w:tc>
      </w:tr>
    </w:tbl>
    <w:p>
      <w:pPr>
        <w:spacing w:after="200"/>
      </w:pPr>
      <w:r>
        <w:t xml:space="preserve"/>
      </w:r>
    </w:p>
    <w:p>
      <w:pPr>
        <w:spacing w:after="120"/>
      </w:pPr>
      <w:r>
        <w:t xml:space="preserve">A few things worth saying clearly about that signal:</w:t>
      </w:r>
    </w:p>
    <w:p>
      <w:pPr>
        <w:pStyle w:val="ListParagraph"/>
        <w:numPr>
          <w:ilvl w:val="0"/>
          <w:numId w:val="2"/>
        </w:numPr>
        <w:spacing w:after="80"/>
      </w:pPr>
      <w:r>
        <w:t xml:space="preserve">744 NZ events over 5 months is genuinely exceptional. The next tier of sustained sustainability users (Presspart at 173, Herman Miller at 94) are nowhere near. He is the single deepest workflow we have visibility on.</w:t>
      </w:r>
    </w:p>
    <w:p>
      <w:pPr>
        <w:pStyle w:val="ListParagraph"/>
        <w:numPr>
          <w:ilvl w:val="0"/>
          <w:numId w:val="2"/>
        </w:numPr>
        <w:spacing w:after="80"/>
      </w:pPr>
      <w:r>
        <w:t xml:space="preserve">“Sustained” matters more than the absolute volume. He has not had a spike-then-drop pattern; he has shown up consistently across all five months. That is the strongest indicator that the platform has earned a place in his workflow rather than being something he evaluated once.</w:t>
      </w:r>
    </w:p>
    <w:p>
      <w:pPr>
        <w:pStyle w:val="ListParagraph"/>
        <w:numPr>
          <w:ilvl w:val="0"/>
          <w:numId w:val="2"/>
        </w:numPr>
        <w:spacing w:after="80"/>
      </w:pPr>
      <w:r>
        <w:t xml:space="preserve">We don’t have the section-level breakdown in this prep doc (PostHog reconnect needed). For LKAB we had a clear read on which parts of Net Zero he touches — Decarbonisation Pathway, Scope 3, Investment Strategy, scenarios. Worth pulling that breakdown before the call if there’s time, or asking him directly in the room.</w:t>
      </w:r>
    </w:p>
    <w:p>
      <w:pPr>
        <w:pStyle w:val="ListParagraph"/>
        <w:numPr>
          <w:ilvl w:val="0"/>
          <w:numId w:val="2"/>
        </w:numPr>
        <w:spacing w:after="80"/>
      </w:pPr>
      <w:r>
        <w:t xml:space="preserve">He is not on the renewal list — so the conversation does not need to balance commercial context with discovery the way LKAB did. This can be a pure discovery interview if you want it to be.</w:t>
      </w:r>
    </w:p>
    <w:p>
      <w:pPr>
        <w:pStyle w:val="Heading1"/>
      </w:pPr>
      <w:r>
        <w:t xml:space="preserve">Suggested approach for the discovery slot</w:t>
      </w:r>
    </w:p>
    <w:p>
      <w:pPr>
        <w:spacing w:after="120"/>
      </w:pPr>
      <w:r>
        <w:t xml:space="preserve">Same playbook as LKAB. Hold prototypes back. Open in research mode rather than demo mode. Pick one question that pulls at the workflow rather than trying to cover three.</w:t>
      </w:r>
    </w:p>
    <w:p>
      <w:pPr>
        <w:pStyle w:val="Heading2"/>
      </w:pPr>
      <w:r>
        <w:t xml:space="preserve">Framing line for Otto</w:t>
      </w:r>
    </w:p>
    <w:p>
      <w:pPr>
        <w:spacing w:after="120"/>
      </w:pPr>
      <w:r>
        <w:t xml:space="preserve">“Otto, with your blessing I’d like to take a few minutes of this to ask Dickon about how he uses the sustainability tools today — we’re shaping the next iteration and his usage pattern is the deepest we have on the platform.”</w:t>
      </w:r>
    </w:p>
    <w:p>
      <w:pPr>
        <w:spacing w:after="120"/>
      </w:pPr>
      <w:r>
        <w:t xml:space="preserve">That sets the slot up as research, signals to Dickon that you value his perspective rather than wanting to show him something, and gives Otto cover to hand the floor over without it feeling like an interruption.</w:t>
      </w:r>
    </w:p>
    <w:p>
      <w:pPr>
        <w:pStyle w:val="Heading2"/>
      </w:pPr>
      <w:r>
        <w:t xml:space="preserve">First-choice question</w:t>
      </w:r>
    </w:p>
    <w:p>
      <w:pPr>
        <w:spacing w:after="160" w:before="80"/>
        <w:ind w:left="360"/>
      </w:pPr>
      <w:r>
        <w:rPr>
          <w:i/>
          <w:iCs/>
        </w:rPr>
        <w:t xml:space="preserve">“What’s the last piece of sustainability work the trustees actually thanked you for — and what made that one land?”</w:t>
      </w:r>
      <w:r>
        <w:rPr>
          <w:i/>
          <w:iCs/>
          <w:color w:val="666666"/>
        </w:rPr>
        <w:t xml:space="preserve">  — Listening goal: surface what the foundation’s leadership rewards. With trustees rather than a CEO, the answer reveals what evidence and narrative format actually carries weight upwards.</w:t>
      </w:r>
    </w:p>
    <w:p>
      <w:pPr>
        <w:spacing w:after="120"/>
      </w:pPr>
      <w:r>
        <w:t xml:space="preserve">Why this one first: it is concrete, it gives Dickon something specific to anchor on, and the answer will tell you what “good” looks like in his world. If the auto-generated Investment Strategy is going to be defensible upwards, you need to know what “defensible” means to a trustee. Dickon is the only person on the candidate list who reports into trustees — this question gets unique signal you cannot get from any other interview.</w:t>
      </w:r>
    </w:p>
    <w:p>
      <w:pPr>
        <w:pStyle w:val="Heading2"/>
      </w:pPr>
      <w:r>
        <w:t xml:space="preserve">Second-choice question if the first runs dry</w:t>
      </w:r>
    </w:p>
    <w:p>
      <w:pPr>
        <w:spacing w:after="160" w:before="80"/>
        <w:ind w:left="360"/>
      </w:pPr>
      <w:r>
        <w:rPr>
          <w:i/>
          <w:iCs/>
        </w:rPr>
        <w:t xml:space="preserve">“What’s the trustee question coming up this year that you don’t quite have the answer for yet?”</w:t>
      </w:r>
      <w:r>
        <w:rPr>
          <w:i/>
          <w:iCs/>
          <w:color w:val="666666"/>
        </w:rPr>
        <w:t xml:space="preserve">  — Listening goal: surface the live gap in his current evidence base — the place where a stronger tool would land hardest.</w:t>
      </w:r>
    </w:p>
    <w:p>
      <w:pPr>
        <w:spacing w:after="120"/>
      </w:pPr>
      <w:r>
        <w:t xml:space="preserve">This is the inverse of the first question and works as a follow-up. The first asks what works; this asks what doesn’t. Between them they map the shape of his current workflow against what he needs it to do.</w:t>
      </w:r>
    </w:p>
    <w:p>
      <w:pPr>
        <w:pStyle w:val="Heading2"/>
      </w:pPr>
      <w:r>
        <w:t xml:space="preserve">What to listen for across the rest of the meeting</w:t>
      </w:r>
    </w:p>
    <w:p>
      <w:pPr>
        <w:spacing w:after="120"/>
      </w:pPr>
      <w:r>
        <w:t xml:space="preserve">The LKAB pattern was that the back half of the catch-up surfaced more than the discovery slot did — Rochelle’s normal account work pulled out operational pains (data fragmentation, staff turnover, manual reconciliation, failing ISO audits) that mapped directly onto the design hypothesis. Same thing is likely here. Things to listen for:</w:t>
      </w:r>
    </w:p>
    <w:p>
      <w:pPr>
        <w:pStyle w:val="ListParagraph"/>
        <w:numPr>
          <w:ilvl w:val="0"/>
          <w:numId w:val="2"/>
        </w:numPr>
        <w:spacing w:after="80"/>
      </w:pPr>
      <w:r>
        <w:t xml:space="preserve">Where the foundation is in its decarbonisation cycle right now — commitment-setting, project selection, in-flight delivery, reporting against pathway, or trustee review. Different stages produce different platform needs.</w:t>
      </w:r>
    </w:p>
    <w:p>
      <w:pPr>
        <w:pStyle w:val="ListParagraph"/>
        <w:numPr>
          <w:ilvl w:val="0"/>
          <w:numId w:val="2"/>
        </w:numPr>
        <w:spacing w:after="80"/>
      </w:pPr>
      <w:r>
        <w:t xml:space="preserve">Who else inside the foundation is involved in the sustainability work — is Dickon a sole operator, or part of a small team? The platform signal says one heavy user, but the foundation context might involve trustees, advisors, programme leads, or external consultants who never log in directly.</w:t>
      </w:r>
    </w:p>
    <w:p>
      <w:pPr>
        <w:pStyle w:val="ListParagraph"/>
        <w:numPr>
          <w:ilvl w:val="0"/>
          <w:numId w:val="2"/>
        </w:numPr>
        <w:spacing w:after="80"/>
      </w:pPr>
      <w:r>
        <w:t xml:space="preserve">How Scope 3 is being treated. Grant-making and investment portfolios are the foundation’s equivalent of supply chain. Are they tracking emissions across the grantees and investments? Is the methodology in place or still being developed?</w:t>
      </w:r>
    </w:p>
    <w:p>
      <w:pPr>
        <w:pStyle w:val="ListParagraph"/>
        <w:numPr>
          <w:ilvl w:val="0"/>
          <w:numId w:val="2"/>
        </w:numPr>
        <w:spacing w:after="80"/>
      </w:pPr>
      <w:r>
        <w:t xml:space="preserve">Any mention of frameworks beyond NZ — SECR, ESOS, SBTi, CDP, TCFD, GRI. Foundations are not always caught by mandatory disclosure regimes, so the framework picture is likely different from a corporate. Useful for understanding what is pulling his attention.</w:t>
      </w:r>
    </w:p>
    <w:p>
      <w:pPr>
        <w:pStyle w:val="ListParagraph"/>
        <w:numPr>
          <w:ilvl w:val="0"/>
          <w:numId w:val="2"/>
        </w:numPr>
        <w:spacing w:after="80"/>
      </w:pPr>
      <w:r>
        <w:t xml:space="preserve">Anything about timing pressure. Trustee meeting cycles, annual report cycles, grant cycles. The cadence of the foundation will tell you when the platform earns its keep and when it sits idle.</w:t>
      </w:r>
    </w:p>
    <w:p>
      <w:pPr>
        <w:pStyle w:val="Heading1"/>
      </w:pPr>
      <w:r>
        <w:t xml:space="preserve">Things to be careful of</w:t>
      </w:r>
    </w:p>
    <w:p>
      <w:pPr>
        <w:pStyle w:val="ListParagraph"/>
        <w:numPr>
          <w:ilvl w:val="0"/>
          <w:numId w:val="2"/>
        </w:numPr>
        <w:spacing w:after="80"/>
      </w:pPr>
      <w:r>
        <w:t xml:space="preserve">Don’t demo. He uses the platform more than any other sustainability user we have. Walking him through it would be insulting to his expertise. Anything you reference should be in his language — “the pathway view”, “the scenario you ran in March” — rather than ours.</w:t>
      </w:r>
    </w:p>
    <w:p>
      <w:pPr>
        <w:pStyle w:val="ListParagraph"/>
        <w:numPr>
          <w:ilvl w:val="0"/>
          <w:numId w:val="2"/>
        </w:numPr>
        <w:spacing w:after="80"/>
      </w:pPr>
      <w:r>
        <w:t xml:space="preserve">Don’t assume corporate framing. “CEO”, “board”, “investor relations”, “supply chain” — these all need to translate to “trustees”, “programme committee”, “grantees and investees”. Getting the vocabulary right signals you understand his context.</w:t>
      </w:r>
    </w:p>
    <w:p>
      <w:pPr>
        <w:pStyle w:val="ListParagraph"/>
        <w:numPr>
          <w:ilvl w:val="0"/>
          <w:numId w:val="2"/>
        </w:numPr>
        <w:spacing w:after="80"/>
      </w:pPr>
      <w:r>
        <w:t xml:space="preserve">Don’t over-rotate to the Foundation context though — his experience extends well beyond Rothschild (consultancy background, Cambridge programme). He has seen multiple corporate sustainability contexts. The interview value is partly the cross-comparison he can offer.</w:t>
      </w:r>
    </w:p>
    <w:p>
      <w:pPr>
        <w:pStyle w:val="ListParagraph"/>
        <w:numPr>
          <w:ilvl w:val="0"/>
          <w:numId w:val="2"/>
        </w:numPr>
        <w:spacing w:after="80"/>
      </w:pPr>
      <w:r>
        <w:t xml:space="preserve">Watch for Otto’s cues on time. He runs the meeting. If he wants to pull the conversation back to his agenda, follow him — the relationship is more important than the discovery slot. There will be other conversations.</w:t>
      </w:r>
    </w:p>
    <w:p>
      <w:pPr>
        <w:pStyle w:val="Heading1"/>
      </w:pPr>
      <w:r>
        <w:t xml:space="preserve">After the meeting</w:t>
      </w:r>
    </w:p>
    <w:p>
      <w:pPr>
        <w:spacing w:after="120"/>
      </w:pPr>
      <w:r>
        <w:t xml:space="preserve">Same capture template as LKAB:</w:t>
      </w:r>
    </w:p>
    <w:p>
      <w:pPr>
        <w:pStyle w:val="ListParagraph"/>
        <w:numPr>
          <w:ilvl w:val="0"/>
          <w:numId w:val="2"/>
        </w:numPr>
        <w:spacing w:after="80"/>
      </w:pPr>
      <w:r>
        <w:t xml:space="preserve">Quote-level notes from the discovery slot. What he said, in his words, with attribution and timestamp where possible.</w:t>
      </w:r>
    </w:p>
    <w:p>
      <w:pPr>
        <w:pStyle w:val="ListParagraph"/>
        <w:numPr>
          <w:ilvl w:val="0"/>
          <w:numId w:val="2"/>
        </w:numPr>
        <w:spacing w:after="80"/>
      </w:pPr>
      <w:r>
        <w:t xml:space="preserve">Themes across the rest of the meeting, even — especially — the parts you were not actively asking questions in. The back half of a catch-up often contains the strongest signal.</w:t>
      </w:r>
    </w:p>
    <w:p>
      <w:pPr>
        <w:pStyle w:val="ListParagraph"/>
        <w:numPr>
          <w:ilvl w:val="0"/>
          <w:numId w:val="2"/>
        </w:numPr>
        <w:spacing w:after="80"/>
      </w:pPr>
      <w:r>
        <w:t xml:space="preserve">Hypotheses tested. Which roadmap assumptions did this conversation strengthen, weaken, or leave neutral? Be honest about ambiguity.</w:t>
      </w:r>
    </w:p>
    <w:p>
      <w:pPr>
        <w:pStyle w:val="ListParagraph"/>
        <w:numPr>
          <w:ilvl w:val="0"/>
          <w:numId w:val="2"/>
        </w:numPr>
        <w:spacing w:after="80"/>
      </w:pPr>
      <w:r>
        <w:t xml:space="preserve">Next steps. If Dickon offers a follow-up (own session, bring colleagues, share documents), commit to it in the room and capture the action.</w:t>
      </w:r>
    </w:p>
    <w:p>
      <w:pPr>
        <w:spacing w:after="120"/>
      </w:pPr>
      <w:r>
        <w:t xml:space="preserve">Then a Teams post for the product chat with the three or four headlines, and a richer Word doc for shared reference. Same shape as LKAB.</w:t>
      </w:r>
    </w:p>
    <w:p>
      <w:pPr>
        <w:pStyle w:val="Heading1"/>
      </w:pPr>
      <w:r>
        <w:t xml:space="preserve">Open question for you</w:t>
      </w:r>
    </w:p>
    <w:p>
      <w:pPr>
        <w:spacing w:after="120"/>
      </w:pPr>
      <w:r>
        <w:t xml:space="preserve">Worth deciding before the call: do you want this to be a one-shot guest slot, or are you trying to engineer a follow-up session of your own with Dickon? The first is lower-risk and gets you a slice of his thinking. The second is higher-value but requires Otto’s help and Dickon’s time — both of which are finite.</w:t>
      </w:r>
    </w:p>
    <w:p>
      <w:pPr>
        <w:spacing w:after="120"/>
      </w:pPr>
      <w:r>
        <w:t xml:space="preserve">LKAB ended with Courtney offering, unprompted, to bring her wider team into a joint follow-up. If something similar emerges with Dickon — he names a programme lead or an external advisor, or hints at colleagues you could speak to — take it. A 45-minute structured discovery with him later, prepared with section-level PostHog detail and one or two prototypes calibrated to his work, would be the single highest-value research conversation in the FY27 pipeline.</w:t>
      </w:r>
    </w:p>
    <w:p>
      <w:pPr>
        <w:pBdr>
          <w:top w:val="single" w:color="CCCCCC" w:sz="4" w:space="6"/>
        </w:pBdr>
        <w:spacing w:after="60" w:before="360"/>
      </w:pPr>
      <w:r>
        <w:rPr>
          <w:i/>
          <w:iCs/>
          <w:color w:val="666666"/>
          <w:sz w:val="18"/>
          <w:szCs w:val="18"/>
        </w:rPr>
        <w:t xml:space="preserve">Prep doc compiled from the Q3 sustainability discovery shortlist and Dickon’s LinkedIn profile. PostHog reconnect is currently pending in this conversation, so the platform usage signal is at shortlist-level rather than section-level. Worth running a fresh pull before the call if there’s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ptos" w:cs="Aptos" w:eastAsia="Aptos" w:hAnsi="Aptos"/>
      <w:b/>
      <w:bCs/>
      <w:color w:val="1F3A5F"/>
      <w:sz w:val="28"/>
      <w:szCs w:val="28"/>
    </w:rPr>
  </w:style>
  <w:style w:type="paragraph" w:styleId="Heading2">
    <w:name w:val="Heading 2"/>
    <w:basedOn w:val="Normal"/>
    <w:next w:val="Normal"/>
    <w:qFormat/>
    <w:pPr>
      <w:spacing w:after="100" w:before="200"/>
      <w:outlineLvl w:val="1"/>
    </w:pPr>
    <w:rPr>
      <w:rFonts w:ascii="Aptos" w:cs="Aptos" w:eastAsia="Aptos" w:hAnsi="Aptos"/>
      <w:b/>
      <w:bCs/>
      <w:color w:val="2E75B6"/>
      <w:sz w:val="24"/>
      <w:szCs w:val="24"/>
    </w:rPr>
  </w:style>
  <w:style w:type="paragraph" w:styleId="Heading3">
    <w:name w:val="Heading 3"/>
    <w:basedOn w:val="Normal"/>
    <w:next w:val="Normal"/>
    <w:qFormat/>
    <w:pPr>
      <w:spacing w:after="80" w:before="160"/>
      <w:outlineLvl w:val="2"/>
    </w:pPr>
    <w:rPr>
      <w:rFonts w:ascii="Aptos" w:cs="Aptos" w:eastAsia="Aptos" w:hAnsi="Aptos"/>
      <w:b/>
      <w:bCs/>
      <w:color w:val="555555"/>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0280B639961A48BB154866691FFF73" ma:contentTypeVersion="12" ma:contentTypeDescription="Create a new document." ma:contentTypeScope="" ma:versionID="5d0395ee10f79c96210780035c33aa41">
  <xsd:schema xmlns:xsd="http://www.w3.org/2001/XMLSchema" xmlns:xs="http://www.w3.org/2001/XMLSchema" xmlns:p="http://schemas.microsoft.com/office/2006/metadata/properties" xmlns:ns2="27986265-570a-43f3-aed9-ebe6d9e81977" xmlns:ns3="bbd3a2d9-cc4e-45d9-a956-041c2aad62fa" targetNamespace="http://schemas.microsoft.com/office/2006/metadata/properties" ma:root="true" ma:fieldsID="12a5ea261f01ba821bf59eda09ca7822" ns2:_="" ns3:_="">
    <xsd:import namespace="27986265-570a-43f3-aed9-ebe6d9e81977"/>
    <xsd:import namespace="bbd3a2d9-cc4e-45d9-a956-041c2aad6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86265-570a-43f3-aed9-ebe6d9e81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8bf72c-679a-4019-9d3a-b8d739bd91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d3a2d9-cc4e-45d9-a956-041c2aad6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fae44f-8b9b-4985-8028-a02e76bcd091}" ma:internalName="TaxCatchAll" ma:showField="CatchAllData" ma:web="bbd3a2d9-cc4e-45d9-a956-041c2aad6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d3a2d9-cc4e-45d9-a956-041c2aad62fa" xsi:nil="true"/>
    <lcf76f155ced4ddcb4097134ff3c332f xmlns="27986265-570a-43f3-aed9-ebe6d9e819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9D063E-459F-40A3-97AC-A324B9B5C5A9}"/>
</file>

<file path=customXml/itemProps2.xml><?xml version="1.0" encoding="utf-8"?>
<ds:datastoreItem xmlns:ds="http://schemas.openxmlformats.org/officeDocument/2006/customXml" ds:itemID="{3F6CF72F-3C34-4E27-ADD0-D7F5CE5E6F4C}"/>
</file>

<file path=customXml/itemProps3.xml><?xml version="1.0" encoding="utf-8"?>
<ds:datastoreItem xmlns:ds="http://schemas.openxmlformats.org/officeDocument/2006/customXml" ds:itemID="{2223E296-F4B0-4CBE-B2B4-2DA02108DE0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2026-05-28T11:01:48Z</dcterms:created>
  <dcterms:modified xsi:type="dcterms:W3CDTF">2026-05-28T11:01:48Z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0x0101001A0280B639961A48BB154866691FFF73</vt:lpwstr>
  </property>
</Properties>
</file>