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5E502E19" w:rsidR="15A6D58F">
        <w:rPr>
          <w:rStyle w:val="SubtleReference"/>
        </w:rPr>
        <w:t xml:space="preserve">Authors: Mikel Egaña Aranguren (UPV/EHU), Eduardo </w:t>
      </w:r>
      <w:r w:rsidRPr="5E502E19" w:rsidR="15A6D58F">
        <w:rPr>
          <w:rStyle w:val="SubtleReference"/>
        </w:rPr>
        <w:t>illueca</w:t>
      </w:r>
      <w:r w:rsidRPr="5E502E19" w:rsidR="15A6D58F">
        <w:rPr>
          <w:rStyle w:val="SubtleReference"/>
        </w:rPr>
        <w:t xml:space="preserve"> (umu)</w:t>
      </w:r>
      <w:commentRangeStart w:id="1092435455"/>
      <w:commentRangeEnd w:id="1092435455"/>
      <w:r>
        <w:rPr>
          <w:rStyle w:val="CommentReference"/>
        </w:rPr>
        <w:commentReference w:id="1092435455"/>
      </w:r>
    </w:p>
    <w:p w:rsidR="28409070" w:rsidP="28409070" w:rsidRDefault="28409070" w14:paraId="7D511B48" w14:textId="50617D96">
      <w:pPr>
        <w:pStyle w:val="Normal"/>
        <w:jc w:val="center"/>
      </w:pPr>
    </w:p>
    <w:sdt>
      <w:sdtPr>
        <w:id w:val="1565131636"/>
        <w:docPartObj>
          <w:docPartGallery w:val="Table of Contents"/>
          <w:docPartUnique/>
        </w:docPartObj>
      </w:sdtPr>
      <w:sdtContent>
        <w:p w:rsidR="1E26A355" w:rsidP="1E26A355" w:rsidRDefault="1E26A355" w14:paraId="64A208A4" w14:textId="766818DE">
          <w:pPr>
            <w:pStyle w:val="TOC1"/>
            <w:tabs>
              <w:tab w:val="right" w:leader="dot" w:pos="9015"/>
            </w:tabs>
            <w:bidi w:val="0"/>
          </w:pPr>
          <w:r>
            <w:fldChar w:fldCharType="begin"/>
          </w:r>
          <w:r>
            <w:instrText xml:space="preserve">TOC \o \z \u \h</w:instrText>
          </w:r>
          <w:r>
            <w:fldChar w:fldCharType="separate"/>
          </w:r>
          <w:hyperlink w:anchor="_Toc1063732952">
            <w:r w:rsidRPr="15A6D58F" w:rsidR="15A6D58F">
              <w:rPr>
                <w:rStyle w:val="Hyperlink"/>
              </w:rPr>
              <w:t>1.- Executive summary</w:t>
            </w:r>
            <w:r>
              <w:tab/>
            </w:r>
            <w:r>
              <w:fldChar w:fldCharType="begin"/>
            </w:r>
            <w:r>
              <w:instrText xml:space="preserve">PAGEREF _Toc1063732952 \h</w:instrText>
            </w:r>
            <w:r>
              <w:fldChar w:fldCharType="separate"/>
            </w:r>
            <w:r w:rsidRPr="15A6D58F" w:rsidR="15A6D58F">
              <w:rPr>
                <w:rStyle w:val="Hyperlink"/>
              </w:rPr>
              <w:t>1</w:t>
            </w:r>
            <w:r>
              <w:fldChar w:fldCharType="end"/>
            </w:r>
          </w:hyperlink>
        </w:p>
        <w:p w:rsidR="1E26A355" w:rsidP="1E26A355" w:rsidRDefault="1E26A355" w14:paraId="44C71A77" w14:textId="35275787">
          <w:pPr>
            <w:pStyle w:val="TOC1"/>
            <w:tabs>
              <w:tab w:val="right" w:leader="dot" w:pos="9015"/>
            </w:tabs>
            <w:bidi w:val="0"/>
          </w:pPr>
          <w:hyperlink w:anchor="_Toc219351545">
            <w:r w:rsidRPr="15A6D58F" w:rsidR="15A6D58F">
              <w:rPr>
                <w:rStyle w:val="Hyperlink"/>
              </w:rPr>
              <w:t>2.- Introduction</w:t>
            </w:r>
            <w:r>
              <w:tab/>
            </w:r>
            <w:r>
              <w:fldChar w:fldCharType="begin"/>
            </w:r>
            <w:r>
              <w:instrText xml:space="preserve">PAGEREF _Toc219351545 \h</w:instrText>
            </w:r>
            <w:r>
              <w:fldChar w:fldCharType="separate"/>
            </w:r>
            <w:r w:rsidRPr="15A6D58F" w:rsidR="15A6D58F">
              <w:rPr>
                <w:rStyle w:val="Hyperlink"/>
              </w:rPr>
              <w:t>1</w:t>
            </w:r>
            <w:r>
              <w:fldChar w:fldCharType="end"/>
            </w:r>
          </w:hyperlink>
        </w:p>
        <w:p w:rsidR="1E26A355" w:rsidP="1E26A355" w:rsidRDefault="1E26A355" w14:paraId="099988F8" w14:textId="305C21F1">
          <w:pPr>
            <w:pStyle w:val="TOC1"/>
            <w:tabs>
              <w:tab w:val="right" w:leader="dot" w:pos="9015"/>
            </w:tabs>
            <w:bidi w:val="0"/>
          </w:pPr>
          <w:hyperlink w:anchor="_Toc917695749">
            <w:r w:rsidRPr="15A6D58F" w:rsidR="15A6D58F">
              <w:rPr>
                <w:rStyle w:val="Hyperlink"/>
              </w:rPr>
              <w:t>3.- Datasets</w:t>
            </w:r>
            <w:r>
              <w:tab/>
            </w:r>
            <w:r>
              <w:fldChar w:fldCharType="begin"/>
            </w:r>
            <w:r>
              <w:instrText xml:space="preserve">PAGEREF _Toc917695749 \h</w:instrText>
            </w:r>
            <w:r>
              <w:fldChar w:fldCharType="separate"/>
            </w:r>
            <w:r w:rsidRPr="15A6D58F" w:rsidR="15A6D58F">
              <w:rPr>
                <w:rStyle w:val="Hyperlink"/>
              </w:rPr>
              <w:t>2</w:t>
            </w:r>
            <w:r>
              <w:fldChar w:fldCharType="end"/>
            </w:r>
          </w:hyperlink>
        </w:p>
        <w:p w:rsidR="1E26A355" w:rsidP="1E26A355" w:rsidRDefault="1E26A355" w14:paraId="3FBF1235" w14:textId="35B1434A">
          <w:pPr>
            <w:pStyle w:val="TOC1"/>
            <w:tabs>
              <w:tab w:val="right" w:leader="dot" w:pos="9015"/>
            </w:tabs>
            <w:bidi w:val="0"/>
          </w:pPr>
          <w:hyperlink w:anchor="_Toc1789177546">
            <w:r w:rsidRPr="15A6D58F" w:rsidR="15A6D58F">
              <w:rPr>
                <w:rStyle w:val="Hyperlink"/>
              </w:rPr>
              <w:t>4.- Architecture</w:t>
            </w:r>
            <w:r>
              <w:tab/>
            </w:r>
            <w:r>
              <w:fldChar w:fldCharType="begin"/>
            </w:r>
            <w:r>
              <w:instrText xml:space="preserve">PAGEREF _Toc1789177546 \h</w:instrText>
            </w:r>
            <w:r>
              <w:fldChar w:fldCharType="separate"/>
            </w:r>
            <w:r w:rsidRPr="15A6D58F" w:rsidR="15A6D58F">
              <w:rPr>
                <w:rStyle w:val="Hyperlink"/>
              </w:rPr>
              <w:t>2</w:t>
            </w:r>
            <w:r>
              <w:fldChar w:fldCharType="end"/>
            </w:r>
          </w:hyperlink>
        </w:p>
        <w:p w:rsidR="1E26A355" w:rsidP="28409070" w:rsidRDefault="1E26A355" w14:paraId="0603F617" w14:textId="5472A423">
          <w:pPr>
            <w:pStyle w:val="TOC2"/>
            <w:tabs>
              <w:tab w:val="right" w:leader="dot" w:pos="9015"/>
            </w:tabs>
            <w:bidi w:val="0"/>
          </w:pPr>
          <w:hyperlink w:anchor="_Toc1516624893">
            <w:r w:rsidRPr="15A6D58F" w:rsidR="15A6D58F">
              <w:rPr>
                <w:rStyle w:val="Hyperlink"/>
              </w:rPr>
              <w:t>4.1.- Processing pipeline</w:t>
            </w:r>
            <w:r>
              <w:tab/>
            </w:r>
            <w:r>
              <w:fldChar w:fldCharType="begin"/>
            </w:r>
            <w:r>
              <w:instrText xml:space="preserve">PAGEREF _Toc1516624893 \h</w:instrText>
            </w:r>
            <w:r>
              <w:fldChar w:fldCharType="separate"/>
            </w:r>
            <w:r w:rsidRPr="15A6D58F" w:rsidR="15A6D58F">
              <w:rPr>
                <w:rStyle w:val="Hyperlink"/>
              </w:rPr>
              <w:t>3</w:t>
            </w:r>
            <w:r>
              <w:fldChar w:fldCharType="end"/>
            </w:r>
          </w:hyperlink>
        </w:p>
        <w:p w:rsidR="1E26A355" w:rsidP="28409070" w:rsidRDefault="1E26A355" w14:paraId="5F71548F" w14:textId="76DA8682">
          <w:pPr>
            <w:pStyle w:val="TOC2"/>
            <w:tabs>
              <w:tab w:val="right" w:leader="dot" w:pos="9015"/>
            </w:tabs>
            <w:bidi w:val="0"/>
          </w:pPr>
          <w:hyperlink w:anchor="_Toc930121338">
            <w:r w:rsidRPr="15A6D58F" w:rsidR="15A6D58F">
              <w:rPr>
                <w:rStyle w:val="Hyperlink"/>
              </w:rPr>
              <w:t>4.2.- Web frontend</w:t>
            </w:r>
            <w:r>
              <w:tab/>
            </w:r>
            <w:r>
              <w:fldChar w:fldCharType="begin"/>
            </w:r>
            <w:r>
              <w:instrText xml:space="preserve">PAGEREF _Toc930121338 \h</w:instrText>
            </w:r>
            <w:r>
              <w:fldChar w:fldCharType="separate"/>
            </w:r>
            <w:r w:rsidRPr="15A6D58F" w:rsidR="15A6D58F">
              <w:rPr>
                <w:rStyle w:val="Hyperlink"/>
              </w:rPr>
              <w:t>4</w:t>
            </w:r>
            <w:r>
              <w:fldChar w:fldCharType="end"/>
            </w:r>
          </w:hyperlink>
        </w:p>
        <w:p w:rsidRPr="00544F30" w:rsidR="45610F4F" w:rsidP="28409070" w:rsidRDefault="45610F4F" w14:paraId="760A2D9B" w14:textId="75DE4293">
          <w:pPr>
            <w:pStyle w:val="TOC1"/>
            <w:tabs>
              <w:tab w:val="right" w:leader="dot" w:pos="9015"/>
            </w:tabs>
            <w:bidi w:val="0"/>
          </w:pPr>
          <w:hyperlink w:anchor="_Toc1982477233">
            <w:r w:rsidRPr="15A6D58F" w:rsidR="15A6D58F">
              <w:rPr>
                <w:rStyle w:val="Hyperlink"/>
              </w:rPr>
              <w:t>5.- Conclusion</w:t>
            </w:r>
            <w:r>
              <w:tab/>
            </w:r>
            <w:r>
              <w:fldChar w:fldCharType="begin"/>
            </w:r>
            <w:r>
              <w:instrText xml:space="preserve">PAGEREF _Toc1982477233 \h</w:instrText>
            </w:r>
            <w:r>
              <w:fldChar w:fldCharType="separate"/>
            </w:r>
            <w:r w:rsidRPr="15A6D58F" w:rsidR="15A6D58F">
              <w:rPr>
                <w:rStyle w:val="Hyperlink"/>
              </w:rPr>
              <w:t>5</w:t>
            </w:r>
            <w:r>
              <w:fldChar w:fldCharType="end"/>
            </w:r>
          </w:hyperlink>
        </w:p>
        <w:p w:rsidRPr="00544F30" w:rsidR="45610F4F" w:rsidP="28409070" w:rsidRDefault="45610F4F" w14:paraId="633DE2C4" w14:textId="2088FAE0">
          <w:pPr>
            <w:pStyle w:val="TOC1"/>
            <w:tabs>
              <w:tab w:val="right" w:leader="dot" w:pos="9015"/>
            </w:tabs>
            <w:bidi w:val="0"/>
          </w:pPr>
          <w:hyperlink w:anchor="_Toc1789501579">
            <w:r w:rsidRPr="15A6D58F" w:rsidR="15A6D58F">
              <w:rPr>
                <w:rStyle w:val="Hyperlink"/>
              </w:rPr>
              <w:t>Annex A: Support4LHS FAIR data questionnaire</w:t>
            </w:r>
            <w:r>
              <w:tab/>
            </w:r>
            <w:r>
              <w:fldChar w:fldCharType="begin"/>
            </w:r>
            <w:r>
              <w:instrText xml:space="preserve">PAGEREF _Toc1789501579 \h</w:instrText>
            </w:r>
            <w:r>
              <w:fldChar w:fldCharType="separate"/>
            </w:r>
            <w:r w:rsidRPr="15A6D58F" w:rsidR="15A6D58F">
              <w:rPr>
                <w:rStyle w:val="Hyperlink"/>
              </w:rPr>
              <w:t>6</w:t>
            </w:r>
            <w:r>
              <w:fldChar w:fldCharType="end"/>
            </w:r>
          </w:hyperlink>
        </w:p>
        <w:p w:rsidRPr="00544F30" w:rsidR="45610F4F" w:rsidP="28409070" w:rsidRDefault="45610F4F" w14:paraId="4483E7D6" w14:textId="6532DFE4">
          <w:pPr>
            <w:pStyle w:val="TOC1"/>
            <w:tabs>
              <w:tab w:val="right" w:leader="dot" w:pos="9015"/>
            </w:tabs>
            <w:bidi w:val="0"/>
          </w:pPr>
          <w:hyperlink w:anchor="_Toc2026691064">
            <w:r w:rsidRPr="15A6D58F" w:rsidR="15A6D58F">
              <w:rPr>
                <w:rStyle w:val="Hyperlink"/>
              </w:rPr>
              <w:t>Annex B: FAIR principles</w:t>
            </w:r>
            <w:r>
              <w:tab/>
            </w:r>
            <w:r>
              <w:fldChar w:fldCharType="begin"/>
            </w:r>
            <w:r>
              <w:instrText xml:space="preserve">PAGEREF _Toc2026691064 \h</w:instrText>
            </w:r>
            <w:r>
              <w:fldChar w:fldCharType="separate"/>
            </w:r>
            <w:r w:rsidRPr="15A6D58F" w:rsidR="15A6D58F">
              <w:rPr>
                <w:rStyle w:val="Hyperlink"/>
              </w:rPr>
              <w:t>6</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063732952" w:id="1313373343"/>
      <w:r w:rsidRPr="15A6D58F" w:rsidR="15A6D58F">
        <w:rPr>
          <w:rFonts w:ascii="Calibri Light" w:hAnsi="Calibri Light"/>
        </w:rPr>
        <w:t>1.- Executive summary</w:t>
      </w:r>
      <w:bookmarkEnd w:id="1313373343"/>
    </w:p>
    <w:p w:rsidR="61026F82" w:rsidP="61026F82" w:rsidRDefault="61026F82" w14:paraId="6A8DDC13" w14:textId="61DCFA24">
      <w:pPr>
        <w:pStyle w:val="Normal"/>
      </w:pPr>
      <w:r w:rsidR="61026F82">
        <w:rPr/>
        <w:t>This deliverable is the Data Management Plan (DMP) for the Support4LHS project. Its aim is to collect the descriptions of the datasets of the project and to provide an overview of the technical decisions necessary to publish the datasets following FAIR principles (Findable, Accessible, Interoperable, Reusable). This document is alive and it will be updated through the project life span.</w:t>
      </w:r>
    </w:p>
    <w:p w:rsidRPr="00544F30" w:rsidR="45610F4F" w:rsidP="4ED7ED09" w:rsidRDefault="45610F4F" w14:paraId="6C5838C1" w14:textId="4CF3C7CE">
      <w:pPr>
        <w:pStyle w:val="Heading1"/>
      </w:pPr>
      <w:commentRangeStart w:id="481914290"/>
      <w:bookmarkStart w:name="_Toc219351545" w:id="966558454"/>
      <w:r w:rsidR="15A6D58F">
        <w:rPr/>
        <w:t>2.- Introduction</w:t>
      </w:r>
      <w:commentRangeStart w:id="1526023039"/>
      <w:commentRangeEnd w:id="1526023039"/>
      <w:r>
        <w:rPr>
          <w:rStyle w:val="CommentReference"/>
        </w:rPr>
        <w:commentReference w:id="1526023039"/>
      </w:r>
      <w:commentRangeEnd w:id="481914290"/>
      <w:r>
        <w:rPr>
          <w:rStyle w:val="CommentReference"/>
        </w:rPr>
        <w:commentReference w:id="481914290"/>
      </w:r>
      <w:bookmarkEnd w:id="966558454"/>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917695749" w:id="960152940"/>
      <w:r w:rsidR="15A6D58F">
        <w:rPr/>
        <w:t>3.- Datasets</w:t>
      </w:r>
      <w:bookmarkEnd w:id="960152940"/>
    </w:p>
    <w:p w:rsidR="4EDA264C" w:rsidP="4EDA264C" w:rsidRDefault="4EDA264C" w14:paraId="60E8384F" w14:textId="4B830F4C">
      <w:pPr>
        <w:pStyle w:val="Normal"/>
      </w:pPr>
      <w:r w:rsidR="4EDA264C">
        <w:rPr/>
        <w:t>In order to obtain a preliminary list of possible datasets, an informal enquiry was made, obtaining the results depicted in Table 1.</w:t>
      </w:r>
    </w:p>
    <w:tbl>
      <w:tblPr>
        <w:tblStyle w:val="TableGrid"/>
        <w:tblW w:w="9136" w:type="dxa"/>
        <w:tblLayout w:type="fixed"/>
        <w:tblLook w:val="06A0" w:firstRow="1" w:lastRow="0" w:firstColumn="1" w:lastColumn="0" w:noHBand="1" w:noVBand="1"/>
      </w:tblPr>
      <w:tblGrid>
        <w:gridCol w:w="6543"/>
        <w:gridCol w:w="2593"/>
      </w:tblGrid>
      <w:tr w:rsidR="5E502E19" w:rsidTr="4EDA264C"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EDA264C"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EDA264C"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EDA264C"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EDA264C"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EDA264C"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EDA264C"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EDA264C"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EDA264C"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EDA264C" w14:paraId="7EDEDF86">
        <w:trPr>
          <w:trHeight w:val="255"/>
        </w:trPr>
        <w:tc>
          <w:tcPr>
            <w:tcW w:w="6543" w:type="dxa"/>
            <w:tcMar/>
            <w:vAlign w:val="center"/>
          </w:tcPr>
          <w:p w:rsidR="5E502E19" w:rsidP="5E502E19" w:rsidRDefault="5E502E19" w14:paraId="7A8F0594" w14:textId="4B37F6A9">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O2.3 Interactive process mining methods based on integrated process mining models and </w:t>
            </w:r>
            <w:proofErr w:type="spellStart"/>
            <w:r w:rsidRPr="5E502E19" w:rsidR="5E502E19">
              <w:rPr>
                <w:rFonts w:ascii="Calibri" w:hAnsi="Calibri" w:eastAsia="Calibri" w:cs="Calibri" w:asciiTheme="minorAscii" w:hAnsiTheme="minorAscii" w:eastAsiaTheme="minorAscii" w:cstheme="minorAscii"/>
              </w:rPr>
              <w:t>clincal</w:t>
            </w:r>
            <w:proofErr w:type="spellEnd"/>
            <w:r w:rsidRPr="5E502E19" w:rsidR="5E502E19">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EDA264C"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EDA264C"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EDA264C" w:rsidRDefault="28409070" w14:paraId="4CE6D3FE" w14:textId="389E747C">
      <w:pPr>
        <w:pStyle w:val="Normal"/>
        <w:rPr>
          <w:i w:val="1"/>
          <w:iCs w:val="1"/>
          <w:sz w:val="20"/>
          <w:szCs w:val="20"/>
        </w:rPr>
      </w:pPr>
      <w:r w:rsidRPr="4EDA264C" w:rsidR="28409070">
        <w:rPr>
          <w:i w:val="1"/>
          <w:iCs w:val="1"/>
          <w:sz w:val="20"/>
          <w:szCs w:val="20"/>
          <w:u w:val="single"/>
        </w:rPr>
        <w:t>Table 1:</w:t>
      </w:r>
      <w:r w:rsidRPr="4EDA264C" w:rsidR="28409070">
        <w:rPr>
          <w:i w:val="1"/>
          <w:iCs w:val="1"/>
          <w:sz w:val="20"/>
          <w:szCs w:val="20"/>
        </w:rPr>
        <w:t xml:space="preserve"> preliminary list of datasets for each objetive.</w:t>
      </w:r>
    </w:p>
    <w:p w:rsidRPr="00544F30" w:rsidR="4ED7ED09" w:rsidP="4EDA264C" w:rsidRDefault="4ED7ED09" w14:paraId="09E6ED64" w14:textId="58FD07A4">
      <w:pPr>
        <w:pStyle w:val="Normal"/>
      </w:pPr>
      <w:commentRangeStart w:id="847822909"/>
      <w:commentRangeEnd w:id="847822909"/>
      <w:r>
        <w:rPr>
          <w:rStyle w:val="CommentReference"/>
        </w:rPr>
        <w:commentReference w:id="847822909"/>
      </w:r>
      <w:r w:rsidR="4EDA264C">
        <w:rPr/>
        <w:t xml:space="preserve">The details of the prospective datasets to be </w:t>
      </w:r>
      <w:proofErr w:type="spellStart"/>
      <w:r w:rsidR="4EDA264C">
        <w:rPr/>
        <w:t>FAIRified</w:t>
      </w:r>
      <w:proofErr w:type="spellEnd"/>
      <w:r w:rsidR="4EDA264C">
        <w:rPr/>
        <w:t xml:space="preserve"> were obtained through the form described in Annex A, and the answers, comprising the actual </w:t>
      </w:r>
      <w:proofErr w:type="spellStart"/>
      <w:r w:rsidR="4EDA264C">
        <w:rPr/>
        <w:t>catalog</w:t>
      </w:r>
      <w:proofErr w:type="spellEnd"/>
      <w:r w:rsidR="4EDA264C">
        <w:rPr/>
        <w:t xml:space="preserve"> of datasets, is described in Annex B. </w:t>
      </w:r>
    </w:p>
    <w:p w:rsidRPr="00544F30" w:rsidR="45610F4F" w:rsidP="4ED7ED09" w:rsidRDefault="45610F4F" w14:paraId="7F705A51" w14:textId="577D5921">
      <w:pPr>
        <w:pStyle w:val="Heading1"/>
        <w:rPr>
          <w:rFonts w:ascii="Calibri Light" w:hAnsi="Calibri Light"/>
        </w:rPr>
      </w:pPr>
      <w:bookmarkStart w:name="_Toc1789177546" w:id="1313146684"/>
      <w:r w:rsidR="15A6D58F">
        <w:rPr/>
        <w:t xml:space="preserve">4.- </w:t>
      </w:r>
      <w:commentRangeStart w:id="1155892426"/>
      <w:r w:rsidR="15A6D58F">
        <w:rPr/>
        <w:t>Architecture</w:t>
      </w:r>
      <w:commentRangeEnd w:id="1155892426"/>
      <w:r>
        <w:rPr>
          <w:rStyle w:val="CommentReference"/>
        </w:rPr>
        <w:commentReference w:id="1155892426"/>
      </w:r>
      <w:bookmarkEnd w:id="1313146684"/>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161937039"/>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basic structure of the </w:t>
      </w:r>
      <w:proofErr w:type="spellStart"/>
      <w:r w:rsidR="28409070">
        <w:rPr/>
        <w:t>FAIRification</w:t>
      </w:r>
      <w:proofErr w:type="spellEnd"/>
      <w:r w:rsidR="28409070">
        <w:rPr/>
        <w:t xml:space="preserve"> framework is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1516624893" w:id="1370454155"/>
      <w:r w:rsidR="15A6D58F">
        <w:rPr/>
        <w:t>4.1.- Processing pipeline</w:t>
      </w:r>
      <w:bookmarkEnd w:id="137045415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15A6D58F" w:rsidRDefault="28409070" w14:paraId="70B7D133" w14:textId="2C48D23E">
      <w:pPr>
        <w:pStyle w:val="Normal"/>
        <w:rPr>
          <w:i w:val="0"/>
          <w:iCs w:val="0"/>
          <w:sz w:val="22"/>
          <w:szCs w:val="22"/>
        </w:rPr>
      </w:pPr>
      <w:r w:rsidRPr="15A6D58F" w:rsidR="15A6D58F">
        <w:rPr>
          <w:b w:val="1"/>
          <w:bCs w:val="1"/>
          <w:i w:val="0"/>
          <w:iCs w:val="0"/>
          <w:sz w:val="22"/>
          <w:szCs w:val="22"/>
          <w:u w:val="single"/>
        </w:rPr>
        <w:t>CLIN-IK-LINKS datasets:</w:t>
      </w:r>
      <w:r w:rsidRPr="15A6D58F" w:rsidR="15A6D58F">
        <w:rPr>
          <w:i w:val="0"/>
          <w:iCs w:val="0"/>
          <w:sz w:val="22"/>
          <w:szCs w:val="22"/>
        </w:rPr>
        <w:t xml:space="preserve"> the CLIN-IK-LINKS </w:t>
      </w:r>
      <w:proofErr w:type="gramStart"/>
      <w:r w:rsidRPr="15A6D58F" w:rsidR="15A6D58F">
        <w:rPr>
          <w:i w:val="0"/>
          <w:iCs w:val="0"/>
          <w:sz w:val="22"/>
          <w:szCs w:val="22"/>
        </w:rPr>
        <w:t xml:space="preserve">platform  </w:t>
      </w:r>
      <w:proofErr w:type="gramEnd"/>
      <w:sdt>
        <w:sdtPr>
          <w:id w:val="782411220"/>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proofErr w:type="gramStart"/>
          <w:r w:rsidRPr="15A6D58F" w:rsidR="15A6D58F">
            <w:rPr>
              <w:rFonts w:ascii="Calibri" w:hAnsi="Calibri" w:eastAsia="Calibri" w:cs="Calibri"/>
              <w:noProof w:val="0"/>
              <w:color w:val="000000" w:themeColor="text1" w:themeTint="FF" w:themeShade="FF"/>
              <w:sz w:val="22"/>
              <w:szCs w:val="22"/>
              <w:lang w:val="en-GB"/>
            </w:rPr>
            <w:t>(</w:t>
          </w:r>
          <w:proofErr w:type="gramEnd"/>
          <w:r w:rsidRPr="15A6D58F" w:rsidR="15A6D58F">
            <w:rPr>
              <w:rFonts w:ascii="Calibri" w:hAnsi="Calibri" w:eastAsia="Calibri" w:cs="Calibri"/>
              <w:noProof w:val="0"/>
              <w:color w:val="000000" w:themeColor="text1" w:themeTint="FF" w:themeShade="FF"/>
              <w:sz w:val="22"/>
              <w:szCs w:val="22"/>
              <w:lang w:val="en-GB"/>
            </w:rPr>
            <w:t>Maldonado et al., 2020)</w:t>
          </w:r>
        </w:sdtContent>
      </w:sdt>
      <w:r w:rsidR="15A6D58F">
        <w:rPr/>
        <w:t xml:space="preserve"> will store </w:t>
      </w:r>
      <w:commentRangeStart w:id="407644297"/>
      <w:r w:rsidR="15A6D58F">
        <w:rPr/>
        <w:t>Clinical Process Models (CPMs)</w:t>
      </w:r>
      <w:commentRangeEnd w:id="407644297"/>
      <w:r>
        <w:rPr>
          <w:rStyle w:val="CommentReference"/>
        </w:rPr>
        <w:commentReference w:id="407644297"/>
      </w:r>
      <w:r w:rsidR="15A6D58F">
        <w:rPr/>
        <w:t xml:space="preserve"> produced in the project as Knowledge Graphs (KGs). Since the platform will offer REST APIs to access those elements, a connector will be developed to insert the KGs directly into the GraphDB Triple Store. </w:t>
      </w:r>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930121338" w:id="433772542"/>
      <w:r w:rsidR="15A6D58F">
        <w:rPr/>
        <w:t>4.2.- Web frontend</w:t>
      </w:r>
      <w:bookmarkEnd w:id="433772542"/>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982477233" w:id="1495052398"/>
      <w:r w:rsidR="15A6D58F">
        <w:rPr/>
        <w:t>5.- Conclusion</w:t>
      </w:r>
      <w:commentRangeStart w:id="1599195604"/>
      <w:commentRangeEnd w:id="1599195604"/>
      <w:r>
        <w:rPr>
          <w:rStyle w:val="CommentReference"/>
        </w:rPr>
        <w:commentReference w:id="1599195604"/>
      </w:r>
      <w:bookmarkEnd w:id="1495052398"/>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15A6D58F" w:rsidP="4EDA264C" w:rsidRDefault="15A6D58F" w14:paraId="75B0E61D" w14:textId="77C68019">
      <w:pPr>
        <w:pStyle w:val="Heading1"/>
        <w:rPr>
          <w:rFonts w:ascii="Calibri Light" w:hAnsi="Calibri Light" w:eastAsia="" w:cs=""/>
          <w:color w:val="2F5496" w:themeColor="accent1" w:themeTint="FF" w:themeShade="BF"/>
          <w:sz w:val="32"/>
          <w:szCs w:val="32"/>
        </w:rPr>
      </w:pPr>
      <w:bookmarkStart w:name="_Toc1789501579" w:id="2139448216"/>
      <w:r w:rsidR="15A6D58F">
        <w:rPr/>
        <w:t xml:space="preserve">Annex A: Support4LHS FAIR data questionnaire </w:t>
      </w:r>
      <w:commentRangeStart w:id="1374196784"/>
      <w:commentRangeEnd w:id="1374196784"/>
      <w:r>
        <w:rPr>
          <w:rStyle w:val="CommentReference"/>
        </w:rPr>
        <w:commentReference w:id="1374196784"/>
      </w:r>
      <w:bookmarkEnd w:id="2139448216"/>
    </w:p>
    <w:p w:rsidR="4EDA264C" w:rsidP="4EDA264C" w:rsidRDefault="4EDA264C" w14:paraId="3F8453C5"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proofErr w:type="spellStart"/>
      <w:r w:rsidR="4EDA264C">
        <w:rPr/>
        <w:t>Accesible</w:t>
      </w:r>
      <w:proofErr w:type="spellEnd"/>
      <w:r w:rsidR="4EDA264C">
        <w:rPr/>
        <w:t>, Interoperable, Reusable). The results of this questionnaire will be included in the Deliverable 3.1 (Specification of the Data Management Plan (DMP)) as catalogue of datasets.</w:t>
      </w:r>
    </w:p>
    <w:p w:rsidR="4EDA264C" w:rsidP="4EDA264C" w:rsidRDefault="4EDA264C" w14:paraId="41BCEC09"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4EDA264C" w:rsidRDefault="4EDA264C" w14:paraId="5A87AFAE" w14:textId="60CD7C4F">
      <w:pPr>
        <w:pStyle w:val="Normal"/>
      </w:pPr>
      <w:r w:rsidR="4EDA264C">
        <w:rPr/>
        <w:t>If your objective will produce more than one dataset, fill the form for each dataset (But please try to group the data in as few datasets as possible).</w:t>
      </w:r>
    </w:p>
    <w:p w:rsidR="4EDA264C" w:rsidP="4EDA264C" w:rsidRDefault="4EDA264C" w14:paraId="676F6AB1" w14:textId="4FC83641">
      <w:pPr>
        <w:pStyle w:val="Normal"/>
      </w:pPr>
      <w:r w:rsidR="4EDA264C">
        <w:rPr/>
        <w:t xml:space="preserve">Any questions can be directed </w:t>
      </w:r>
      <w:r w:rsidR="4EDA264C">
        <w:rPr/>
        <w:t>to</w:t>
      </w:r>
      <w:r w:rsidR="4EDA264C">
        <w:rPr/>
        <w:t xml:space="preserve"> </w:t>
      </w:r>
      <w:proofErr w:type="spellStart"/>
      <w:r w:rsidR="4EDA264C">
        <w:rPr/>
        <w:t>mikel.egana@ehu.eus</w:t>
      </w:r>
      <w:proofErr w:type="spellEnd"/>
      <w:r w:rsidR="4EDA264C">
        <w:rPr/>
        <w:t>.</w:t>
      </w:r>
    </w:p>
    <w:p w:rsidR="4EDA264C" w:rsidP="4EDA264C" w:rsidRDefault="4EDA264C" w14:paraId="048F9157" w14:textId="6949928E">
      <w:pPr>
        <w:pStyle w:val="Heading2"/>
        <w:rPr>
          <w:rFonts w:ascii="Calibri Light" w:hAnsi="Calibri Light" w:eastAsia="" w:cs=""/>
          <w:color w:val="2F5496" w:themeColor="accent1" w:themeTint="FF" w:themeShade="BF"/>
          <w:sz w:val="26"/>
          <w:szCs w:val="26"/>
        </w:rPr>
      </w:pPr>
      <w:r w:rsidR="4EDA264C">
        <w:rPr/>
        <w:t>Dataset ownership</w:t>
      </w:r>
    </w:p>
    <w:p w:rsidR="4EDA264C" w:rsidP="4EDA264C" w:rsidRDefault="4EDA264C" w14:paraId="0D50C70C" w14:textId="2D2FBB80">
      <w:pPr>
        <w:pStyle w:val="Subtitle"/>
        <w:rPr>
          <w:rFonts w:ascii="Calibri" w:hAnsi="Calibri" w:eastAsia="" w:cs=""/>
          <w:color w:val="5A5A5A"/>
        </w:rPr>
      </w:pPr>
      <w:r w:rsidR="4EDA264C">
        <w:rPr/>
        <w:t>Questions about who owns the data</w:t>
      </w:r>
    </w:p>
    <w:p w:rsidR="4EDA264C" w:rsidP="4EDA264C" w:rsidRDefault="4EDA264C" w14:paraId="3BD0E3F4" w14:textId="4E767ABD">
      <w:pPr>
        <w:pStyle w:val="Normal"/>
        <w:rPr>
          <w:b w:val="1"/>
          <w:bCs w:val="1"/>
        </w:rPr>
      </w:pPr>
      <w:r w:rsidRPr="4EDA264C" w:rsidR="4EDA264C">
        <w:rPr>
          <w:b w:val="1"/>
          <w:bCs w:val="1"/>
        </w:rPr>
        <w:t>What objective of the project are you the leader of?</w:t>
      </w:r>
    </w:p>
    <w:p w:rsidR="4EDA264C" w:rsidP="4EDA264C" w:rsidRDefault="4EDA264C" w14:paraId="5B411E9E" w14:textId="6F5AF385">
      <w:pPr>
        <w:pStyle w:val="Normal"/>
        <w:rPr>
          <w:b w:val="1"/>
          <w:bCs w:val="1"/>
        </w:rPr>
      </w:pPr>
      <w:r w:rsidRPr="4EDA264C" w:rsidR="4EDA264C">
        <w:rPr>
          <w:b w:val="1"/>
          <w:bCs w:val="1"/>
        </w:rPr>
        <w:t>Name, institution, and email of the person responsible (Objective leader)</w:t>
      </w:r>
    </w:p>
    <w:p w:rsidR="4EDA264C" w:rsidP="4EDA264C" w:rsidRDefault="4EDA264C" w14:paraId="480782BA" w14:textId="38C9AC58">
      <w:pPr>
        <w:pStyle w:val="Heading2"/>
        <w:rPr>
          <w:rFonts w:ascii="Calibri Light" w:hAnsi="Calibri Light" w:eastAsia="" w:cs=""/>
          <w:b w:val="0"/>
          <w:bCs w:val="0"/>
          <w:color w:val="2F5496" w:themeColor="accent1" w:themeTint="FF" w:themeShade="BF"/>
          <w:sz w:val="26"/>
          <w:szCs w:val="26"/>
        </w:rPr>
      </w:pPr>
      <w:r w:rsidR="4EDA264C">
        <w:rPr/>
        <w:t>Dataset description</w:t>
      </w:r>
    </w:p>
    <w:p w:rsidR="4EDA264C" w:rsidP="4EDA264C" w:rsidRDefault="4EDA264C" w14:paraId="43B409CC" w14:textId="036A4B1A">
      <w:pPr>
        <w:pStyle w:val="Subtitle"/>
        <w:rPr>
          <w:rFonts w:ascii="Calibri" w:hAnsi="Calibri" w:eastAsia="" w:cs=""/>
          <w:color w:val="5A5A5A"/>
        </w:rPr>
      </w:pPr>
      <w:r w:rsidR="4EDA264C">
        <w:rPr/>
        <w:t>Basic information about the dataset</w:t>
      </w:r>
    </w:p>
    <w:p w:rsidR="4EDA264C" w:rsidP="4EDA264C" w:rsidRDefault="4EDA264C" w14:paraId="2347F4A2" w14:textId="01183C90">
      <w:pPr>
        <w:pStyle w:val="Heading1"/>
      </w:pPr>
      <w:r w:rsidR="4EDA264C">
        <w:rPr/>
        <w:t>Annex B: Support4LHS FAIR data questionnaire results</w:t>
      </w:r>
    </w:p>
    <w:p w:rsidR="28409070" w:rsidP="28409070" w:rsidRDefault="28409070" w14:paraId="1F9EE2AF" w14:textId="75D3057E">
      <w:pPr>
        <w:pStyle w:val="Heading1"/>
        <w:rPr>
          <w:rStyle w:val="FootnoteReference"/>
        </w:rPr>
      </w:pPr>
      <w:bookmarkStart w:name="_Toc2026691064" w:id="1808103696"/>
      <w:r w:rsidR="15A6D58F">
        <w:rPr/>
        <w:t xml:space="preserve">Annex C: </w:t>
      </w:r>
      <w:r w:rsidR="15A6D58F">
        <w:rPr/>
        <w:t>FAIR principles</w:t>
      </w:r>
      <w:bookmarkEnd w:id="1808103696"/>
    </w:p>
    <w:p w:rsidR="28409070" w:rsidP="28409070" w:rsidRDefault="28409070" w14:paraId="1BD7004E" w14:textId="4B42541E">
      <w:pPr>
        <w:pStyle w:val="Normal"/>
        <w:rPr>
          <w:b w:val="0"/>
          <w:bCs w:val="0"/>
          <w:u w:val="none"/>
        </w:rPr>
      </w:pPr>
      <w:r w:rsidR="28409070">
        <w:rPr>
          <w:b w:val="0"/>
          <w:bCs w:val="0"/>
          <w:u w:val="none"/>
        </w:rPr>
        <w:t>The GO FAIR initiative</w:t>
      </w:r>
      <w:commentRangeStart w:id="1139596991"/>
      <w:r w:rsidRPr="28409070">
        <w:rPr>
          <w:rStyle w:val="FootnoteReference"/>
          <w:b w:val="0"/>
          <w:bCs w:val="0"/>
          <w:u w:val="none"/>
        </w:rPr>
        <w:footnoteReference w:id="6621"/>
      </w:r>
      <w:commentRangeEnd w:id="1139596991"/>
      <w:r>
        <w:rPr>
          <w:rStyle w:val="CommentReference"/>
        </w:rPr>
        <w:commentReference w:id="113959699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P="5E502E19" w:rsidRDefault="28409070" w14:paraId="518A97F9" w14:textId="627E3236">
      <w:pPr>
        <w:pStyle w:val="CommentText"/>
      </w:pPr>
      <w:r w:rsidR="5E502E19">
        <w:rPr/>
        <w:t>Tabla de datasets</w:t>
      </w:r>
      <w:r>
        <w:rPr>
          <w:rStyle w:val="CommentReference"/>
        </w:rPr>
        <w:annotationRef/>
      </w:r>
      <w:r>
        <w:rPr>
          <w:rStyle w:val="CommentReference"/>
        </w:rPr>
        <w:annotationRef/>
      </w:r>
    </w:p>
    <w:p w:rsidR="28409070" w:rsidP="5E502E19" w:rsidRDefault="28409070" w14:paraId="014B9DBC" w14:textId="7EDCCAFE">
      <w:pPr>
        <w:pStyle w:val="CommentText"/>
      </w:pPr>
      <w:r w:rsidR="5E502E19">
        <w:rPr/>
        <w:t>Formulario</w:t>
      </w:r>
    </w:p>
    <w:p w:rsidR="28409070" w:rsidP="5E502E19" w:rsidRDefault="28409070" w14:paraId="29C6AF40" w14:textId="6DA1E2E2">
      <w:pPr>
        <w:pStyle w:val="CommentText"/>
      </w:pPr>
      <w:r w:rsidR="5E502E19">
        <w:rPr/>
        <w:t>Respuestas a formulario</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r>
        <w:rPr>
          <w:rStyle w:val="CommentReference"/>
        </w:rPr>
        <w:annotationRef/>
      </w:r>
    </w:p>
  </w:comment>
  <w:comment w:initials="ME" w:author="Mikel EGAÑA" w:date="2022-03-29T13:05:16" w:id="481914290">
    <w:p w:rsidR="2BD0C11E" w:rsidP="61026F82" w:rsidRDefault="2BD0C11E" w14:paraId="4AC887BB" w14:textId="184B8E0E">
      <w:pPr>
        <w:pStyle w:val="CommentText"/>
      </w:pPr>
      <w:r w:rsidR="61026F82">
        <w:rPr/>
        <w:t xml:space="preserve"> usar el termino Data Stewards mas veces en el DMP</w:t>
      </w:r>
      <w:r>
        <w:rPr>
          <w:rStyle w:val="CommentReference"/>
        </w:rPr>
        <w:annotationRef/>
      </w:r>
      <w:r>
        <w:rPr>
          <w:rStyle w:val="CommentReference"/>
        </w:rPr>
        <w:annotationRef/>
      </w:r>
    </w:p>
  </w:comment>
  <w:comment w:initials="ME" w:author="Mikel EGAÑA" w:date="2022-03-30T16:10:20" w:id="1092435455">
    <w:p w:rsidR="61026F82" w:rsidRDefault="61026F82" w14:paraId="6E0890C4" w14:textId="684993E2">
      <w:pPr>
        <w:pStyle w:val="CommentText"/>
      </w:pPr>
      <w:r w:rsidR="61026F82">
        <w:rPr/>
        <w:t>Añadir autores</w:t>
      </w:r>
      <w:r>
        <w:rPr>
          <w:rStyle w:val="CommentReference"/>
        </w:rPr>
        <w:annotationRef/>
      </w:r>
      <w:r>
        <w:rPr>
          <w:rStyle w:val="CommentReference"/>
        </w:rPr>
        <w:annotationRef/>
      </w:r>
    </w:p>
  </w:comment>
  <w:comment w:initials="Ui" w:author="Usuario invitado" w:date="2022-04-04T13:40:47" w:id="1139596991">
    <w:p w:rsidR="15A6D58F" w:rsidRDefault="15A6D58F" w14:paraId="58119B4E" w14:textId="271457F2">
      <w:pPr>
        <w:pStyle w:val="CommentText"/>
      </w:pPr>
      <w:r w:rsidR="15A6D58F">
        <w:rPr/>
        <w:t>Creo que aquí falta el link a la web</w:t>
      </w:r>
      <w:r>
        <w:rPr>
          <w:rStyle w:val="CommentReference"/>
        </w:rPr>
        <w:annotationRef/>
      </w:r>
    </w:p>
  </w:comment>
  <w:comment w:initials="Ui" w:author="Usuario invitado" w:date="2022-04-04T16:25:35" w:id="407644297">
    <w:p w:rsidR="15A6D58F" w:rsidRDefault="15A6D58F" w14:paraId="16B2798D" w14:textId="4AAB9CB0">
      <w:pPr>
        <w:pStyle w:val="CommentText"/>
      </w:pPr>
      <w:r w:rsidR="15A6D58F">
        <w:rPr/>
        <w:t>Aquí entiendo que los CPMs vienen ya en un formato tipo grafo y se inyectan directamente en GraphDB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1" w15:paraId="29C6AF40"/>
  <w15:commentEx w15:done="1" w15:paraId="1FDB567F"/>
  <w15:commentEx w15:done="1" w15:paraId="6AAF8835"/>
  <w15:commentEx w15:done="1" w15:paraId="3A74BD7E"/>
  <w15:commentEx w15:done="0" w15:paraId="4F054C49"/>
  <w15:commentEx w15:done="1" w15:paraId="4AC887BB"/>
  <w15:commentEx w15:done="1" w15:paraId="6E0890C4"/>
  <w15:commentEx w15:done="1" w15:paraId="58119B4E"/>
  <w15:commentEx w15:done="1" w15:paraId="16B2798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Extensible w16cex:durableId="0BF63D61" w16cex:dateUtc="2022-03-29T11:05:16.37Z"/>
  <w16cex:commentExtensible w16cex:durableId="4D0DEDAF" w16cex:dateUtc="2022-03-30T14:10:20.206Z"/>
  <w16cex:commentExtensible w16cex:durableId="7AB8684A" w16cex:dateUtc="2022-04-04T11:40:47.993Z"/>
  <w16cex:commentExtensible w16cex:durableId="724E434D" w16cex:dateUtc="2022-04-04T14:25:35.441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Id w16cid:paraId="4AC887BB" w16cid:durableId="0BF63D61"/>
  <w16cid:commentId w16cid:paraId="6E0890C4" w16cid:durableId="4D0DEDAF"/>
  <w16cid:commentId w16cid:paraId="58119B4E" w16cid:durableId="7AB8684A"/>
  <w16cid:commentId w16cid:paraId="16B2798D" w16cid:durableId="724E4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rson w15:author="Usuario invitado">
    <w15:presenceInfo w15:providerId="AD" w15:userId="S::urn:spo:anon#23bc646cafc82f32f0db34be92398c172f5b72eb0e81215c2bdd8d6baafe3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F2DB5"/>
    <w:rsid w:val="00873C3B"/>
    <w:rsid w:val="00A30E6F"/>
    <w:rsid w:val="00BC075F"/>
    <w:rsid w:val="00C21F97"/>
    <w:rsid w:val="00CC014F"/>
    <w:rsid w:val="00D10C89"/>
    <w:rsid w:val="00DC2D02"/>
    <w:rsid w:val="00DCEDC0"/>
    <w:rsid w:val="00FC9203"/>
    <w:rsid w:val="00FF10AB"/>
    <w:rsid w:val="01343B19"/>
    <w:rsid w:val="01794146"/>
    <w:rsid w:val="01D34C96"/>
    <w:rsid w:val="01E54BD5"/>
    <w:rsid w:val="021E55DE"/>
    <w:rsid w:val="026A588D"/>
    <w:rsid w:val="02986264"/>
    <w:rsid w:val="032689E7"/>
    <w:rsid w:val="03411A08"/>
    <w:rsid w:val="03699D9B"/>
    <w:rsid w:val="037B21F7"/>
    <w:rsid w:val="0430DB56"/>
    <w:rsid w:val="044EAB85"/>
    <w:rsid w:val="045D27CB"/>
    <w:rsid w:val="04A6F3C4"/>
    <w:rsid w:val="04DCEA69"/>
    <w:rsid w:val="0603697B"/>
    <w:rsid w:val="0651F443"/>
    <w:rsid w:val="067BC2CD"/>
    <w:rsid w:val="06A6E630"/>
    <w:rsid w:val="06B2C2B9"/>
    <w:rsid w:val="076B15F9"/>
    <w:rsid w:val="079AFC18"/>
    <w:rsid w:val="080BDBD0"/>
    <w:rsid w:val="08AE1E74"/>
    <w:rsid w:val="08EED9D0"/>
    <w:rsid w:val="097E3086"/>
    <w:rsid w:val="09A7AC31"/>
    <w:rsid w:val="09B05B8C"/>
    <w:rsid w:val="09B3638F"/>
    <w:rsid w:val="09B7FD21"/>
    <w:rsid w:val="09CAB23A"/>
    <w:rsid w:val="0A571DAF"/>
    <w:rsid w:val="0A8AAA31"/>
    <w:rsid w:val="0A9F38FC"/>
    <w:rsid w:val="0A9F38FC"/>
    <w:rsid w:val="0AAD5392"/>
    <w:rsid w:val="0AC66082"/>
    <w:rsid w:val="0B044EA6"/>
    <w:rsid w:val="0B7A6664"/>
    <w:rsid w:val="0B874491"/>
    <w:rsid w:val="0C1842BC"/>
    <w:rsid w:val="0CB1F12C"/>
    <w:rsid w:val="0CBEAEEA"/>
    <w:rsid w:val="0CDD68D6"/>
    <w:rsid w:val="0D86A46B"/>
    <w:rsid w:val="0D88E07C"/>
    <w:rsid w:val="0DCD3B7A"/>
    <w:rsid w:val="0DFE0144"/>
    <w:rsid w:val="0E200F3A"/>
    <w:rsid w:val="0E86D4B2"/>
    <w:rsid w:val="0E8B6E44"/>
    <w:rsid w:val="0EA517D5"/>
    <w:rsid w:val="0EA7CEC9"/>
    <w:rsid w:val="0F49C860"/>
    <w:rsid w:val="0F5C4B36"/>
    <w:rsid w:val="0F5FC731"/>
    <w:rsid w:val="0F600BB4"/>
    <w:rsid w:val="1016EF8A"/>
    <w:rsid w:val="10696ED7"/>
    <w:rsid w:val="10C15213"/>
    <w:rsid w:val="10D5E581"/>
    <w:rsid w:val="10E8C061"/>
    <w:rsid w:val="11536231"/>
    <w:rsid w:val="12C8A7DF"/>
    <w:rsid w:val="135D479A"/>
    <w:rsid w:val="137743DD"/>
    <w:rsid w:val="13D0BAB0"/>
    <w:rsid w:val="14C9C0CF"/>
    <w:rsid w:val="14EC0517"/>
    <w:rsid w:val="15100821"/>
    <w:rsid w:val="15246891"/>
    <w:rsid w:val="1561FDCE"/>
    <w:rsid w:val="1591825F"/>
    <w:rsid w:val="15A6D58F"/>
    <w:rsid w:val="15C5E811"/>
    <w:rsid w:val="15E9D929"/>
    <w:rsid w:val="15F511D5"/>
    <w:rsid w:val="16CC6DB2"/>
    <w:rsid w:val="16E8189D"/>
    <w:rsid w:val="172BA19E"/>
    <w:rsid w:val="1761B872"/>
    <w:rsid w:val="178B3930"/>
    <w:rsid w:val="17E40D6A"/>
    <w:rsid w:val="180A4135"/>
    <w:rsid w:val="180A4135"/>
    <w:rsid w:val="18703D5C"/>
    <w:rsid w:val="18A4E2D5"/>
    <w:rsid w:val="18F52484"/>
    <w:rsid w:val="19203F0E"/>
    <w:rsid w:val="1A6B2347"/>
    <w:rsid w:val="1A937BC2"/>
    <w:rsid w:val="1ADE4463"/>
    <w:rsid w:val="1B5BF74C"/>
    <w:rsid w:val="1B91BAC9"/>
    <w:rsid w:val="1BDE755A"/>
    <w:rsid w:val="1C1F5C6A"/>
    <w:rsid w:val="1C2CC546"/>
    <w:rsid w:val="1D4FF144"/>
    <w:rsid w:val="1E26A355"/>
    <w:rsid w:val="1F191ECC"/>
    <w:rsid w:val="1FAEF2FF"/>
    <w:rsid w:val="203DAE60"/>
    <w:rsid w:val="204C038F"/>
    <w:rsid w:val="209B0A21"/>
    <w:rsid w:val="20A55168"/>
    <w:rsid w:val="20CBF663"/>
    <w:rsid w:val="21253602"/>
    <w:rsid w:val="212C8BD0"/>
    <w:rsid w:val="21505D9E"/>
    <w:rsid w:val="21A064F5"/>
    <w:rsid w:val="21BC0DB1"/>
    <w:rsid w:val="21D56979"/>
    <w:rsid w:val="22266066"/>
    <w:rsid w:val="2229C6D2"/>
    <w:rsid w:val="232D71DB"/>
    <w:rsid w:val="234AD3EE"/>
    <w:rsid w:val="23621738"/>
    <w:rsid w:val="23AAD130"/>
    <w:rsid w:val="23D2AAE3"/>
    <w:rsid w:val="23EECC00"/>
    <w:rsid w:val="244B0435"/>
    <w:rsid w:val="244B0435"/>
    <w:rsid w:val="244F9DC7"/>
    <w:rsid w:val="249C8AE3"/>
    <w:rsid w:val="24F0BAB0"/>
    <w:rsid w:val="2523F6B4"/>
    <w:rsid w:val="25384CCF"/>
    <w:rsid w:val="25616794"/>
    <w:rsid w:val="258A9C61"/>
    <w:rsid w:val="25E599B9"/>
    <w:rsid w:val="25EB6E28"/>
    <w:rsid w:val="25FB9255"/>
    <w:rsid w:val="2604AC25"/>
    <w:rsid w:val="26AE1E35"/>
    <w:rsid w:val="26C0A310"/>
    <w:rsid w:val="270A4BA5"/>
    <w:rsid w:val="27E8EB69"/>
    <w:rsid w:val="27F058D8"/>
    <w:rsid w:val="28409070"/>
    <w:rsid w:val="28498A1C"/>
    <w:rsid w:val="2865BA33"/>
    <w:rsid w:val="2895A1EA"/>
    <w:rsid w:val="28F21FF1"/>
    <w:rsid w:val="2910D9DD"/>
    <w:rsid w:val="293047E7"/>
    <w:rsid w:val="299EB635"/>
    <w:rsid w:val="2A31724B"/>
    <w:rsid w:val="2A34D8B7"/>
    <w:rsid w:val="2A5E0D84"/>
    <w:rsid w:val="2A7426C7"/>
    <w:rsid w:val="2B97755D"/>
    <w:rsid w:val="2BD0C11E"/>
    <w:rsid w:val="2C5AFB9D"/>
    <w:rsid w:val="2C827929"/>
    <w:rsid w:val="2CA16CEA"/>
    <w:rsid w:val="2D25E7F5"/>
    <w:rsid w:val="2D46D10A"/>
    <w:rsid w:val="2DCAC39D"/>
    <w:rsid w:val="2E23A787"/>
    <w:rsid w:val="2EBBDAE4"/>
    <w:rsid w:val="2EEA4300"/>
    <w:rsid w:val="2F5521DD"/>
    <w:rsid w:val="2FA7A8C7"/>
    <w:rsid w:val="2FBA19EB"/>
    <w:rsid w:val="2FD9FF33"/>
    <w:rsid w:val="30B7A034"/>
    <w:rsid w:val="30E3684B"/>
    <w:rsid w:val="315B4849"/>
    <w:rsid w:val="31785066"/>
    <w:rsid w:val="31C1CD01"/>
    <w:rsid w:val="323A4838"/>
    <w:rsid w:val="324DF3AD"/>
    <w:rsid w:val="326BC82E"/>
    <w:rsid w:val="32859D1A"/>
    <w:rsid w:val="32C85963"/>
    <w:rsid w:val="32D89250"/>
    <w:rsid w:val="32F86887"/>
    <w:rsid w:val="33A42D81"/>
    <w:rsid w:val="33C41BBB"/>
    <w:rsid w:val="34569913"/>
    <w:rsid w:val="348138B5"/>
    <w:rsid w:val="34A60FB0"/>
    <w:rsid w:val="34AFF128"/>
    <w:rsid w:val="3552320D"/>
    <w:rsid w:val="3591E51D"/>
    <w:rsid w:val="361C3491"/>
    <w:rsid w:val="3689F5DB"/>
    <w:rsid w:val="3723682F"/>
    <w:rsid w:val="375C47A3"/>
    <w:rsid w:val="3767B79F"/>
    <w:rsid w:val="377B25D8"/>
    <w:rsid w:val="380248DC"/>
    <w:rsid w:val="383F6347"/>
    <w:rsid w:val="38470DF0"/>
    <w:rsid w:val="38771610"/>
    <w:rsid w:val="387EF039"/>
    <w:rsid w:val="3889D2CF"/>
    <w:rsid w:val="38921764"/>
    <w:rsid w:val="389D55F7"/>
    <w:rsid w:val="38EA5FA3"/>
    <w:rsid w:val="392B38B4"/>
    <w:rsid w:val="39C1969D"/>
    <w:rsid w:val="39F4559B"/>
    <w:rsid w:val="3A10F725"/>
    <w:rsid w:val="3AD85709"/>
    <w:rsid w:val="3B30AE3D"/>
    <w:rsid w:val="3B443EA1"/>
    <w:rsid w:val="3B7EAEB2"/>
    <w:rsid w:val="3BB14988"/>
    <w:rsid w:val="3C0EB067"/>
    <w:rsid w:val="3C668BEF"/>
    <w:rsid w:val="3CFBBBC5"/>
    <w:rsid w:val="3D22E362"/>
    <w:rsid w:val="3D3B1D1C"/>
    <w:rsid w:val="3D7CFADF"/>
    <w:rsid w:val="3D8F6BC0"/>
    <w:rsid w:val="3D9360B5"/>
    <w:rsid w:val="3DA95086"/>
    <w:rsid w:val="3E0CEFC8"/>
    <w:rsid w:val="3E2CF5D3"/>
    <w:rsid w:val="3F6F0D3F"/>
    <w:rsid w:val="3F7F72C5"/>
    <w:rsid w:val="3FC5BA17"/>
    <w:rsid w:val="3FF9083A"/>
    <w:rsid w:val="40CCF33A"/>
    <w:rsid w:val="410ADDA0"/>
    <w:rsid w:val="411B4326"/>
    <w:rsid w:val="41B87B64"/>
    <w:rsid w:val="4254CCB8"/>
    <w:rsid w:val="4287F97E"/>
    <w:rsid w:val="42AAD3EF"/>
    <w:rsid w:val="434856A5"/>
    <w:rsid w:val="4372EACF"/>
    <w:rsid w:val="4373CEEB"/>
    <w:rsid w:val="44752830"/>
    <w:rsid w:val="44834912"/>
    <w:rsid w:val="44FBCF93"/>
    <w:rsid w:val="4501B10C"/>
    <w:rsid w:val="455A8A88"/>
    <w:rsid w:val="45610F4F"/>
    <w:rsid w:val="4567D56C"/>
    <w:rsid w:val="459B1BDB"/>
    <w:rsid w:val="45AA6A18"/>
    <w:rsid w:val="45D6E1D7"/>
    <w:rsid w:val="468FFA1B"/>
    <w:rsid w:val="46A797CE"/>
    <w:rsid w:val="46E247E4"/>
    <w:rsid w:val="47965CA1"/>
    <w:rsid w:val="47BBE944"/>
    <w:rsid w:val="47F96075"/>
    <w:rsid w:val="48041A1F"/>
    <w:rsid w:val="48B41513"/>
    <w:rsid w:val="48C79B0C"/>
    <w:rsid w:val="49251578"/>
    <w:rsid w:val="49251578"/>
    <w:rsid w:val="492D07CB"/>
    <w:rsid w:val="493E6798"/>
    <w:rsid w:val="494A4C58"/>
    <w:rsid w:val="49ADF391"/>
    <w:rsid w:val="49C5D59D"/>
    <w:rsid w:val="49C73B06"/>
    <w:rsid w:val="4A0290E1"/>
    <w:rsid w:val="4A22FEFA"/>
    <w:rsid w:val="4AC3B973"/>
    <w:rsid w:val="4ADA37F9"/>
    <w:rsid w:val="4B0FD991"/>
    <w:rsid w:val="4B354497"/>
    <w:rsid w:val="4B742FE9"/>
    <w:rsid w:val="4B7B08F1"/>
    <w:rsid w:val="4B9F46DF"/>
    <w:rsid w:val="4C313E71"/>
    <w:rsid w:val="4D10004A"/>
    <w:rsid w:val="4D16D952"/>
    <w:rsid w:val="4D19CD15"/>
    <w:rsid w:val="4D2BE722"/>
    <w:rsid w:val="4D692117"/>
    <w:rsid w:val="4DE97D75"/>
    <w:rsid w:val="4E477A53"/>
    <w:rsid w:val="4EABD0AB"/>
    <w:rsid w:val="4ED7ED09"/>
    <w:rsid w:val="4EDA264C"/>
    <w:rsid w:val="4F1E84F4"/>
    <w:rsid w:val="4F5EAF13"/>
    <w:rsid w:val="4F910E69"/>
    <w:rsid w:val="50068AAB"/>
    <w:rsid w:val="5038457A"/>
    <w:rsid w:val="503B0996"/>
    <w:rsid w:val="5064E8AA"/>
    <w:rsid w:val="5067F539"/>
    <w:rsid w:val="50AE591B"/>
    <w:rsid w:val="50D60A9B"/>
    <w:rsid w:val="5116FF00"/>
    <w:rsid w:val="5170F709"/>
    <w:rsid w:val="51D6D9F7"/>
    <w:rsid w:val="520D5771"/>
    <w:rsid w:val="524A297C"/>
    <w:rsid w:val="52755118"/>
    <w:rsid w:val="527FD1A5"/>
    <w:rsid w:val="52AEADE9"/>
    <w:rsid w:val="52D703ED"/>
    <w:rsid w:val="534B53E0"/>
    <w:rsid w:val="53515CAD"/>
    <w:rsid w:val="53515CAD"/>
    <w:rsid w:val="535981FB"/>
    <w:rsid w:val="53A97327"/>
    <w:rsid w:val="53AE96DF"/>
    <w:rsid w:val="53B1377E"/>
    <w:rsid w:val="53F26A71"/>
    <w:rsid w:val="548F6F6E"/>
    <w:rsid w:val="55735850"/>
    <w:rsid w:val="558CF5B7"/>
    <w:rsid w:val="55A89F96"/>
    <w:rsid w:val="562B3FCF"/>
    <w:rsid w:val="567A4661"/>
    <w:rsid w:val="567A4661"/>
    <w:rsid w:val="567E5683"/>
    <w:rsid w:val="56D2B4EB"/>
    <w:rsid w:val="5748C23B"/>
    <w:rsid w:val="578ED1EF"/>
    <w:rsid w:val="5805CF77"/>
    <w:rsid w:val="5848AD09"/>
    <w:rsid w:val="58C49679"/>
    <w:rsid w:val="5952A7A4"/>
    <w:rsid w:val="598F0340"/>
    <w:rsid w:val="59A16D07"/>
    <w:rsid w:val="59B5F745"/>
    <w:rsid w:val="5A0121BF"/>
    <w:rsid w:val="5A22EFBF"/>
    <w:rsid w:val="5A4060CF"/>
    <w:rsid w:val="5AA87E7C"/>
    <w:rsid w:val="5B4DB784"/>
    <w:rsid w:val="5B5CA755"/>
    <w:rsid w:val="5B69D8A1"/>
    <w:rsid w:val="5C2937FD"/>
    <w:rsid w:val="5C41B53F"/>
    <w:rsid w:val="5C562304"/>
    <w:rsid w:val="5C5BCF77"/>
    <w:rsid w:val="5C84EFAE"/>
    <w:rsid w:val="5C99FD7E"/>
    <w:rsid w:val="5CCFF423"/>
    <w:rsid w:val="5D5842F3"/>
    <w:rsid w:val="5DC9D2BD"/>
    <w:rsid w:val="5E502E19"/>
    <w:rsid w:val="5F30D36A"/>
    <w:rsid w:val="5F6EB997"/>
    <w:rsid w:val="5F7BEF9F"/>
    <w:rsid w:val="6015D594"/>
    <w:rsid w:val="608FE3B5"/>
    <w:rsid w:val="6091CEBA"/>
    <w:rsid w:val="60C8534B"/>
    <w:rsid w:val="60CFA85E"/>
    <w:rsid w:val="60E0136C"/>
    <w:rsid w:val="6101737F"/>
    <w:rsid w:val="61026F82"/>
    <w:rsid w:val="614AF01A"/>
    <w:rsid w:val="61E36774"/>
    <w:rsid w:val="622D9F1B"/>
    <w:rsid w:val="6235525A"/>
    <w:rsid w:val="632D509A"/>
    <w:rsid w:val="63541039"/>
    <w:rsid w:val="63980F96"/>
    <w:rsid w:val="63980F96"/>
    <w:rsid w:val="63C78477"/>
    <w:rsid w:val="63ED4CDD"/>
    <w:rsid w:val="647C91F2"/>
    <w:rsid w:val="64C920FB"/>
    <w:rsid w:val="64E41FAE"/>
    <w:rsid w:val="651171E9"/>
    <w:rsid w:val="653BE1FA"/>
    <w:rsid w:val="654DA1A1"/>
    <w:rsid w:val="656354D8"/>
    <w:rsid w:val="65A77A37"/>
    <w:rsid w:val="6619A8A4"/>
    <w:rsid w:val="6683567B"/>
    <w:rsid w:val="66965129"/>
    <w:rsid w:val="66CC0890"/>
    <w:rsid w:val="66EDB791"/>
    <w:rsid w:val="66F10E4D"/>
    <w:rsid w:val="670BC542"/>
    <w:rsid w:val="670DA900"/>
    <w:rsid w:val="6776775E"/>
    <w:rsid w:val="67B16DBB"/>
    <w:rsid w:val="681B3A7D"/>
    <w:rsid w:val="684912AB"/>
    <w:rsid w:val="68811E1B"/>
    <w:rsid w:val="689B3370"/>
    <w:rsid w:val="68A97961"/>
    <w:rsid w:val="68C0BE00"/>
    <w:rsid w:val="68E10B27"/>
    <w:rsid w:val="691247BF"/>
    <w:rsid w:val="694D7187"/>
    <w:rsid w:val="69A3134B"/>
    <w:rsid w:val="69B70ADE"/>
    <w:rsid w:val="6A5C8E61"/>
    <w:rsid w:val="6ACD61BA"/>
    <w:rsid w:val="6B0A58A8"/>
    <w:rsid w:val="6C519697"/>
    <w:rsid w:val="6C68B9D1"/>
    <w:rsid w:val="6CEEABA0"/>
    <w:rsid w:val="6D140D37"/>
    <w:rsid w:val="6D16C157"/>
    <w:rsid w:val="6D1E7591"/>
    <w:rsid w:val="6D7B06C6"/>
    <w:rsid w:val="6D9612E1"/>
    <w:rsid w:val="6DEF30DE"/>
    <w:rsid w:val="6E32B4CF"/>
    <w:rsid w:val="6E70AD77"/>
    <w:rsid w:val="6ED0DD9E"/>
    <w:rsid w:val="6F895E6D"/>
    <w:rsid w:val="6F895E6D"/>
    <w:rsid w:val="6FBCB30B"/>
    <w:rsid w:val="70D18CBE"/>
    <w:rsid w:val="717E88FB"/>
    <w:rsid w:val="71EA327A"/>
    <w:rsid w:val="72012FC8"/>
    <w:rsid w:val="724DB4BA"/>
    <w:rsid w:val="72CDDC1E"/>
    <w:rsid w:val="72CF43D1"/>
    <w:rsid w:val="72D425D4"/>
    <w:rsid w:val="73EC2C08"/>
    <w:rsid w:val="744023B4"/>
    <w:rsid w:val="747049B0"/>
    <w:rsid w:val="74A6A7B6"/>
    <w:rsid w:val="754C949C"/>
    <w:rsid w:val="756004F0"/>
    <w:rsid w:val="756004F0"/>
    <w:rsid w:val="7587FC69"/>
    <w:rsid w:val="759BCEAF"/>
    <w:rsid w:val="75FF75E8"/>
    <w:rsid w:val="763A1EEC"/>
    <w:rsid w:val="7765B10B"/>
    <w:rsid w:val="77E19918"/>
    <w:rsid w:val="782FA842"/>
    <w:rsid w:val="786AE5DC"/>
    <w:rsid w:val="78A22C1B"/>
    <w:rsid w:val="79208305"/>
    <w:rsid w:val="7A236B06"/>
    <w:rsid w:val="7A5F46A7"/>
    <w:rsid w:val="7AEB03AD"/>
    <w:rsid w:val="7B27845B"/>
    <w:rsid w:val="7C5A80AC"/>
    <w:rsid w:val="7C5A80AC"/>
    <w:rsid w:val="7CAF15EE"/>
    <w:rsid w:val="7CCF24FC"/>
    <w:rsid w:val="7CF780F2"/>
    <w:rsid w:val="7D3AA6E1"/>
    <w:rsid w:val="7D759D3E"/>
    <w:rsid w:val="7D930E4E"/>
    <w:rsid w:val="7D94608C"/>
    <w:rsid w:val="7DF6510D"/>
    <w:rsid w:val="7DF7B5DF"/>
    <w:rsid w:val="7EC6D36F"/>
    <w:rsid w:val="7ED67742"/>
    <w:rsid w:val="7F218D29"/>
    <w:rsid w:val="7F34E877"/>
    <w:rsid w:val="7F35F675"/>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15</revision>
  <dcterms:created xsi:type="dcterms:W3CDTF">2022-03-10T10:32:00.0000000Z</dcterms:created>
  <dcterms:modified xsi:type="dcterms:W3CDTF">2022-06-22T15:28:57.7011143Z</dcterms:modified>
</coreProperties>
</file>