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RECON2024</w:t>
      </w:r>
      <w:r>
        <w:t xml:space="preserve"> </w:t>
      </w:r>
      <w:r>
        <w:t xml:space="preserve">methods</w:t>
      </w:r>
      <w:r>
        <w:t xml:space="preserve"> </w:t>
      </w:r>
      <w:r>
        <w:t xml:space="preserve">note</w:t>
      </w:r>
    </w:p>
    <w:p>
      <w:pPr>
        <w:pStyle w:val="Author"/>
      </w:pPr>
      <w:r>
        <w:t xml:space="preserve">Michael</w:t>
      </w:r>
      <w:r>
        <w:t xml:space="preserve"> </w:t>
      </w:r>
      <w:r>
        <w:t xml:space="preserve">L.</w:t>
      </w:r>
      <w:r>
        <w:t xml:space="preserve"> </w:t>
      </w:r>
      <w:r>
        <w:t xml:space="preserve">Lahr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t xml:space="preserve">RECON2024 updates the R/ECON regional input-output system from 2022 to 2024. It produces, for the US, every state and every county, a vector file of 35 variables by industry on a 421-sector axis, state A matrices, and regional purchase coefficients (RPCs). The code is João Rodrigues’ RECON2022 package, ported and parameterised by year (</w:t>
      </w:r>
      <w:r>
        <w:rPr>
          <w:rStyle w:val="VerbatimChar"/>
        </w:rPr>
        <w:t xml:space="preserve">RECON2024\code</w:t>
      </w:r>
      <w:r>
        <w:t xml:space="preserve">, stages qcew → bea → sut → rpc).</w:t>
      </w:r>
    </w:p>
    <w:p>
      <w:pPr>
        <w:pStyle w:val="BodyText"/>
      </w:pPr>
      <w:r>
        <w:t xml:space="preserve">What is new relative to RECON2022: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Sector axis.</w:t>
      </w:r>
      <w:r>
        <w:t xml:space="preserve"> </w:t>
      </w:r>
      <w:r>
        <w:t xml:space="preserve">421 sectors: the 2024 construction supply-use tables replace BEA’s 12 structure types with 31 NAICS construction industries.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Trade.</w:t>
      </w:r>
      <w:r>
        <w:t xml:space="preserve"> </w:t>
      </w:r>
      <w:r>
        <w:t xml:space="preserve">Each state has its own international imports and exports vector (Census state trade for goods, allocations for services), instead of national trade × wage share.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A matrices.</w:t>
      </w:r>
      <w:r>
        <w:t xml:space="preserve"> </w:t>
      </w:r>
      <w:r>
        <w:t xml:space="preserve">They are built from national Supply × a productivity-adjusted state Use net of the state’s own international import shares. RPCs are applied afterwards.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Employment control.</w:t>
      </w:r>
      <w:r>
        <w:t xml:space="preserve"> </w:t>
      </w:r>
      <w:r>
        <w:t xml:space="preserve">County employment is built bottom-up (BEA discontinued its county employment series) and controlled to SAINC4 state totals.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RPCs.</w:t>
      </w:r>
      <w:r>
        <w:t xml:space="preserve"> </w:t>
      </w:r>
      <w:r>
        <w:t xml:space="preserve">They are predicted on domestic demand (use net of international imports) from an equation estimated on FAF6 2022 flows.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Government and taxes.</w:t>
      </w:r>
      <w:r>
        <w:t xml:space="preserve"> </w:t>
      </w:r>
      <w:r>
        <w:t xml:space="preserve">Both use 2024 Census State &amp; Local Government Finances, USAspending FY2024 and IRS data.</w:t>
      </w:r>
    </w:p>
    <w:p>
      <w:pPr>
        <w:pStyle w:val="FirstParagraph"/>
      </w:pPr>
      <w:r>
        <w:rPr>
          <w:bCs/>
          <w:b/>
        </w:rPr>
        <w:t xml:space="preserve">Files.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RECON2024\results\states\recon2024_SS000.csv</w:t>
      </w:r>
      <w:r>
        <w:t xml:space="preserve"> </w:t>
      </w:r>
      <w:r>
        <w:t xml:space="preserve">(52 files: US and states) and</w:t>
      </w:r>
      <w:r>
        <w:t xml:space="preserve"> </w:t>
      </w:r>
      <w:r>
        <w:rPr>
          <w:rStyle w:val="VerbatimChar"/>
        </w:rPr>
        <w:t xml:space="preserve">results\SS000\recon2024_SSCCC.csv</w:t>
      </w:r>
      <w:r>
        <w:t xml:space="preserve"> </w:t>
      </w:r>
      <w:r>
        <w:t xml:space="preserve">(3,115 counties and CT planning regions).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results\Amatrices</w:t>
      </w:r>
      <w:r>
        <w:t xml:space="preserve"> </w:t>
      </w:r>
      <w:r>
        <w:t xml:space="preserve">(legacy A),</w:t>
      </w:r>
      <w:r>
        <w:t xml:space="preserve"> </w:t>
      </w:r>
      <w:r>
        <w:rPr>
          <w:rStyle w:val="VerbatimChar"/>
        </w:rPr>
        <w:t xml:space="preserve">Amatrices_use</w:t>
      </w:r>
      <w:r>
        <w:t xml:space="preserve"> </w:t>
      </w:r>
      <w:r>
        <w:t xml:space="preserve">(state A net of imports),</w:t>
      </w:r>
      <w:r>
        <w:t xml:space="preserve"> </w:t>
      </w:r>
      <w:r>
        <w:rPr>
          <w:rStyle w:val="VerbatimChar"/>
        </w:rPr>
        <w:t xml:space="preserve">Bmatrices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Usematrices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process\SUT\supply_demand_2024.csv</w:t>
      </w:r>
      <w:r>
        <w:t xml:space="preserve"> </w:t>
      </w:r>
      <w:r>
        <w:t xml:space="preserve">(version 3), the input to RPC estimation.</w:t>
      </w:r>
    </w:p>
    <w:p>
      <w:pPr>
        <w:numPr>
          <w:ilvl w:val="0"/>
          <w:numId w:val="1002"/>
        </w:numPr>
        <w:pStyle w:val="Compact"/>
      </w:pPr>
      <w:r>
        <w:t xml:space="preserve">Terms used throughout: imports and exports are international; inflows and outflows are between states or counties.</w:t>
      </w:r>
    </w:p>
    <w:bookmarkEnd w:id="20"/>
    <w:bookmarkStart w:id="21" w:name="supply-use-base"/>
    <w:p>
      <w:pPr>
        <w:pStyle w:val="Heading2"/>
      </w:pPr>
      <w:r>
        <w:t xml:space="preserve">Supply-use base</w:t>
      </w:r>
    </w:p>
    <w:p>
      <w:pPr>
        <w:pStyle w:val="FirstParagraph"/>
      </w:pPr>
      <w:r>
        <w:t xml:space="preserve">The national base is the 2024 421-sector construction supply-use package (</w:t>
      </w:r>
      <w:r>
        <w:rPr>
          <w:rStyle w:val="VerbatimChar"/>
        </w:rPr>
        <w:t xml:space="preserve">Construction_IO_2024</w:t>
      </w:r>
      <w:r>
        <w:t xml:space="preserve">), balanced to the 2024 BEA summary tables. It replaces RECON2022’s 2017-detail projection.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Balancing.</w:t>
      </w:r>
      <w:r>
        <w:t xml:space="preserve"> </w:t>
      </w:r>
      <w:r>
        <w:t xml:space="preserve">The package balances on commodities but not on industries (up to $45bn in nonstore retail). João’s Balance-engine step (</w:t>
      </w:r>
      <w:r>
        <w:rPr>
          <w:rStyle w:val="VerbatimChar"/>
        </w:rPr>
        <w:t xml:space="preserve">create_target</w:t>
      </w:r>
      <w:r>
        <w:t xml:space="preserve">) closes the gap, with residuals under $8M.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Column identity.</w:t>
      </w:r>
      <w:r>
        <w:t xml:space="preserve"> </w:t>
      </w:r>
      <w:r>
        <w:t xml:space="preserve">Industry columns balance at basic prices: intermediate inputs (purchasers’ prices) + value added at basic prices = output. Taxes on products less subsidies ($1,010bn, BEA VAPRO − VABAS by industry) are carried separately as</w:t>
      </w:r>
      <w:r>
        <w:t xml:space="preserve"> </w:t>
      </w:r>
      <w:r>
        <w:rPr>
          <w:rStyle w:val="VerbatimChar"/>
        </w:rPr>
        <w:t xml:space="preserve">nettax_commodity</w:t>
      </w:r>
      <w:r>
        <w:t xml:space="preserve"> </w:t>
      </w:r>
      <w:r>
        <w:t xml:space="preserve">and are not part of the identity. GDP in the vectors is therefore value added at producer prices ($29,298bn, equal to SAGDP2).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Margins.</w:t>
      </w:r>
      <w:r>
        <w:t xml:space="preserve"> </w:t>
      </w:r>
      <w:r>
        <w:t xml:space="preserve">Trade margins are as in RECON2022. For transport margins, FAF6 2022 base-year values by SCTG × mode (</w:t>
      </w:r>
      <w:r>
        <w:rPr>
          <w:rStyle w:val="VerbatimChar"/>
        </w:rPr>
        <w:t xml:space="preserve">raw\FAF\faf6_selected_subset.csv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sut\margins_config_FAF6.xlsx</w:t>
      </w:r>
      <w:r>
        <w:t xml:space="preserve">) replace FAF5 as the starting split before balancing. The change moves $37bn of the $591bn in transport margins between modes.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Negative national imports.</w:t>
      </w:r>
      <w:r>
        <w:t xml:space="preserve"> </w:t>
      </w:r>
      <w:r>
        <w:t xml:space="preserve">In BEA’s tables, imports of water transport (483000), couriers (492000) and a few others are negative (the CIF/FOB freight adjustment). Supply/demand is capped at 1 in the legacy A, and these commodities get no import share in the state A.</w:t>
      </w:r>
    </w:p>
    <w:bookmarkEnd w:id="21"/>
    <w:bookmarkStart w:id="22" w:name="employment-and-value-added"/>
    <w:p>
      <w:pPr>
        <w:pStyle w:val="Heading2"/>
      </w:pPr>
      <w:r>
        <w:t xml:space="preserve">Employment and value added</w:t>
      </w:r>
    </w:p>
    <w:p>
      <w:pPr>
        <w:pStyle w:val="FirstParagraph"/>
      </w:pPr>
      <w:r>
        <w:t xml:space="preserve">County employment is assembled bottom-up and controlled to SAINC4 2024 state totals (lines 7010, 7020, 7040). BEA has discontinued its county employment series, so this assembly is permanent, not a stopgap.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Covered jobs.</w:t>
      </w:r>
      <w:r>
        <w:t xml:space="preserve"> </w:t>
      </w:r>
      <w:r>
        <w:t xml:space="preserve">From the filled QCEW v6 panel, by ownership: own 5 for private lines, own 1 for federal civilian, own 2+3 for state and local. Counts are on a county-sum basis.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 fixes.</w:t>
      </w:r>
      <w:r>
        <w:t xml:space="preserve"> </w:t>
      </w:r>
      <w:r>
        <w:t xml:space="preserve">BEA’s SAEMP code</w:t>
      </w:r>
      <w:r>
        <w:t xml:space="preserve"> </w:t>
      </w:r>
      <w:r>
        <w:rPr>
          <w:rStyle w:val="VerbatimChar"/>
        </w:rPr>
        <w:t xml:space="preserve">3364-3466,3369</w:t>
      </w:r>
      <w:r>
        <w:t xml:space="preserve"> </w:t>
      </w:r>
      <w:r>
        <w:t xml:space="preserve">is read as</w:t>
      </w:r>
      <w:r>
        <w:t xml:space="preserve"> </w:t>
      </w:r>
      <w:r>
        <w:rPr>
          <w:rStyle w:val="VerbatimChar"/>
        </w:rPr>
        <w:t xml:space="preserve">3364-3366,3369</w:t>
      </w:r>
      <w:r>
        <w:t xml:space="preserve">. Retail and information sub-lines (NAICS 2022) are split by 2022 published shares where leaf coverage is below 97%.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Non-covered jobs.</w:t>
      </w:r>
      <w:r>
        <w:t xml:space="preserve"> </w:t>
      </w:r>
      <w:r>
        <w:t xml:space="preserve">Uncovered wage and salary jobs (state file, placed in counties by covered share), proprietors (county FINAL file; for Connecticut the prior-year pattern at the SAINC4 level), rail, farm (farm panel) and military (2022 CAEMP25N × military compensation growth).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GDP components.</w:t>
      </w:r>
      <w:r>
        <w:t xml:space="preserve"> </w:t>
      </w:r>
      <w:r>
        <w:t xml:space="preserve">Compensation, gross operating surplus and taxes less subsidies come from MAP-filled SAGDP and CAINC 2024 files. Each state’s taxes on products follow its own SAGDP taxes-less-subsidies where the US product-tax share is between 0 and 1; elsewhere they follow output.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Value added above output.</w:t>
      </w:r>
      <w:r>
        <w:t xml:space="preserve"> </w:t>
      </w:r>
      <w:r>
        <w:t xml:space="preserve">Where value added exceeds (1 − 0.02) × output, output is raised at the parent’s value-added/output ratio (plan 2), with a cut to gross operating surplus as back-up (plan 1). Parent totals are conserved. Industries whose compensation is under 15% of value added (e.g. owner-occupied housing) are split by GDP share rather than wages.</w:t>
      </w:r>
    </w:p>
    <w:bookmarkEnd w:id="22"/>
    <w:bookmarkStart w:id="23" w:name="final-demand"/>
    <w:p>
      <w:pPr>
        <w:pStyle w:val="Heading2"/>
      </w:pPr>
      <w:r>
        <w:t xml:space="preserve">Final demand</w:t>
      </w:r>
    </w:p>
    <w:p>
      <w:pPr>
        <w:pStyle w:val="FirstParagraph"/>
      </w:pPr>
      <w:r>
        <w:rPr>
          <w:bCs/>
          <w:b/>
        </w:rPr>
        <w:t xml:space="preserve">Household spending (PCE).</w:t>
      </w:r>
      <w:r>
        <w:t xml:space="preserve"> </w:t>
      </w:r>
      <w:r>
        <w:t xml:space="preserve">State PCE by 413 commodities is rebuilt on 2024 data (bea step</w:t>
      </w:r>
      <w:r>
        <w:t xml:space="preserve"> </w:t>
      </w:r>
      <w:r>
        <w:rPr>
          <w:rStyle w:val="VerbatimChar"/>
        </w:rPr>
        <w:t xml:space="preserve">rebuild_pce_413</w:t>
      </w:r>
      <w:r>
        <w:t xml:space="preserve">), following the logic of the GAUSS program</w:t>
      </w:r>
      <w:r>
        <w:t xml:space="preserve"> </w:t>
      </w:r>
      <w:r>
        <w:rPr>
          <w:rStyle w:val="VerbatimChar"/>
        </w:rPr>
        <w:t xml:space="preserve">final_work_PCE.g</w:t>
      </w:r>
      <w:r>
        <w:t xml:space="preserve">: state PCE by bottom line × a fixed 77-line → 412-commodity bridge.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Lines.</w:t>
      </w:r>
      <w:r>
        <w:t xml:space="preserve"> </w:t>
      </w:r>
      <w:r>
        <w:t xml:space="preserve">The 77 old product-type lines are carried to 2024 by the current function-type SAPCE4 lines that contain them.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National fit.</w:t>
      </w:r>
      <w:r>
        <w:t xml:space="preserve"> </w:t>
      </w:r>
      <w:r>
        <w:t xml:space="preserve">National line × commodity flows are RAS-balanced to 2024 SUT PCE by commodity (columns exact, rows within 0.3%).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Nonprofits.</w:t>
      </w:r>
      <w:r>
        <w:t xml:space="preserve"> </w:t>
      </w:r>
      <w:r>
        <w:t xml:space="preserve">Gross output and sales receipts are netted into one commodity mix, placed by SAPCE4 line 132.</w:t>
      </w:r>
    </w:p>
    <w:p>
      <w:pPr>
        <w:pStyle w:val="FirstParagraph"/>
      </w:pPr>
      <w:r>
        <w:rPr>
          <w:bCs/>
          <w:b/>
        </w:rPr>
        <w:t xml:space="preserve">Government.</w:t>
      </w:r>
      <w:r>
        <w:t xml:space="preserve"> </w:t>
      </w:r>
      <w:r>
        <w:t xml:space="preserve">State and local spending comes from the 2024 Census State &amp; Local Government Finances. Federal spending uses USAspending FY2024 contracts by place of performance (defense and non-defense).</w:t>
      </w:r>
    </w:p>
    <w:p>
      <w:pPr>
        <w:pStyle w:val="BodyText"/>
      </w:pPr>
      <w:r>
        <w:rPr>
          <w:bCs/>
          <w:b/>
        </w:rPr>
        <w:t xml:space="preserve">Travel and education exports.</w:t>
      </w:r>
      <w:r>
        <w:t xml:space="preserve"> </w:t>
      </w:r>
      <w:r>
        <w:t xml:space="preserve">BEA counts nonresidents’ spending in the US ($223.6bn) inside PCE by commodity. It removes it as a lump and adds it to exports via row S00900, which is not an industry (NIPA Handbook ch. 5). RECON2024 moves it from PCE to exports by commodity and state.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Students.</w:t>
      </w:r>
      <w:r>
        <w:t xml:space="preserve"> </w:t>
      </w:r>
      <w:r>
        <w:t xml:space="preserve">Education: $43.0bn (NAFSA 2024–25), 55% to colleges (611A00), the rest spent like general travel.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Overseas visitors.</w:t>
      </w:r>
      <w:r>
        <w:t xml:space="preserve"> </w:t>
      </w:r>
      <w:r>
        <w:t xml:space="preserve">$124.8bn, NTTO 2024 state spending less NAFSA.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Canada and Mexico.</w:t>
      </w:r>
      <w:r>
        <w:t xml:space="preserve"> </w:t>
      </w:r>
      <w:r>
        <w:t xml:space="preserve">$55.7bn, the residual, placed by hotel output.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Commodity mix (assumption).</w:t>
      </w:r>
      <w:r>
        <w:t xml:space="preserve"> </w:t>
      </w:r>
      <w:r>
        <w:t xml:space="preserve">Lodging 28%, food services 20%, shopping 22%, recreation 12%, local transport 10%, other 8%. BEA does not publish an inbound mix: the TTSA does not separate visitor types.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Shopping.</w:t>
      </w:r>
      <w:r>
        <w:t xml:space="preserve"> </w:t>
      </w:r>
      <w:r>
        <w:t xml:space="preserve">Goods bought by visitors are exports of the producing states; the retail margin stays with the visited state.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Caps and offset.</w:t>
      </w:r>
      <w:r>
        <w:t xml:space="preserve"> </w:t>
      </w:r>
      <w:r>
        <w:t xml:space="preserve">Exports are capped at 90% of output, with the excess moved to other states. PCE falls by the same national amounts, pro rata to current state PCE.</w:t>
      </w:r>
    </w:p>
    <w:bookmarkEnd w:id="23"/>
    <w:bookmarkStart w:id="24" w:name="international-trade-and-state-a-matrices"/>
    <w:p>
      <w:pPr>
        <w:pStyle w:val="Heading2"/>
      </w:pPr>
      <w:r>
        <w:t xml:space="preserve">International trade and state A matrices</w:t>
      </w:r>
    </w:p>
    <w:p>
      <w:pPr>
        <w:pStyle w:val="FirstParagraph"/>
      </w:pPr>
      <w:r>
        <w:t xml:space="preserve">Each state has its own international import and export vector, controlled to the national 2024 SUT.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Goods.</w:t>
      </w:r>
      <w:r>
        <w:t xml:space="preserve"> </w:t>
      </w:r>
      <w:r>
        <w:t xml:space="preserve">Census state trade: retained imports and netted exports by BEA commodity. The 243 goods commodities cover 86% of national imports and 60% of exports. Exports are capped at 90% of a state industry’s output (1,786 cells).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Services imports.</w:t>
      </w:r>
      <w:r>
        <w:t xml:space="preserve"> </w:t>
      </w:r>
      <w:r>
        <w:t xml:space="preserve">Households’ part by SAPCE4 lines; intermediate part by buying-industry payroll with a producer location-quotient adjustment (LQ</w:t>
      </w:r>
      <w:r>
        <w:rPr>
          <w:vertAlign w:val="superscript"/>
        </w:rPr>
        <w:t xml:space="preserve">−0.5</w:t>
      </w:r>
      <w:r>
        <w:t xml:space="preserve">); noncomparable imports treated as travel.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Services exports.</w:t>
      </w:r>
      <w:r>
        <w:t xml:space="preserve"> </w:t>
      </w:r>
      <w:r>
        <w:t xml:space="preserve">Output share, except travel and education (see Final demand).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Counties.</w:t>
      </w:r>
      <w:r>
        <w:t xml:space="preserve"> </w:t>
      </w:r>
      <w:r>
        <w:t xml:space="preserve">A state’s imports go to its counties by their share of the state’s use of each commodity.</w:t>
      </w:r>
    </w:p>
    <w:p>
      <w:pPr>
        <w:pStyle w:val="FirstParagraph"/>
      </w:pPr>
      <w:r>
        <w:rPr>
          <w:bCs/>
          <w:b/>
        </w:rPr>
        <w:t xml:space="preserve">State A matrices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results\Amatrices_use</w:t>
      </w:r>
      <w:r>
        <w:t xml:space="preserve">):</w:t>
      </w:r>
    </w:p>
    <w:p>
      <w:pPr>
        <w:numPr>
          <w:ilvl w:val="0"/>
          <w:numId w:val="1008"/>
        </w:numPr>
        <w:pStyle w:val="Compact"/>
      </w:pPr>
      <w:r>
        <w:t xml:space="preserve">A</w:t>
      </w:r>
      <w:r>
        <w:rPr>
          <w:vertAlign w:val="subscript"/>
        </w:rPr>
        <w:t xml:space="preserve">s</w:t>
      </w:r>
      <w:r>
        <w:t xml:space="preserve"> </w:t>
      </w:r>
      <w:r>
        <w:t xml:space="preserve">= D′ · (I − P</w:t>
      </w:r>
      <w:r>
        <w:rPr>
          <w:vertAlign w:val="subscript"/>
        </w:rPr>
        <w:t xml:space="preserve">s</w:t>
      </w:r>
      <w:r>
        <w:t xml:space="preserve">) · B</w:t>
      </w:r>
      <w:r>
        <w:rPr>
          <w:vertAlign w:val="subscript"/>
        </w:rPr>
        <w:t xml:space="preserve">s</w:t>
      </w:r>
      <w:r>
        <w:t xml:space="preserve">. D is national market shares; B</w:t>
      </w:r>
      <w:r>
        <w:rPr>
          <w:vertAlign w:val="subscript"/>
        </w:rPr>
        <w:t xml:space="preserve">s</w:t>
      </w:r>
      <w:r>
        <w:t xml:space="preserve"> </w:t>
      </w:r>
      <w:r>
        <w:t xml:space="preserve">is national Use coefficients × the state’s productivity ratio (state/US intermediate share, bounded to [0.25, 4]).</w:t>
      </w:r>
    </w:p>
    <w:p>
      <w:pPr>
        <w:numPr>
          <w:ilvl w:val="0"/>
          <w:numId w:val="1008"/>
        </w:numPr>
        <w:pStyle w:val="Compact"/>
      </w:pPr>
      <w:r>
        <w:t xml:space="preserve">P</w:t>
      </w:r>
      <w:r>
        <w:rPr>
          <w:vertAlign w:val="subscript"/>
        </w:rPr>
        <w:t xml:space="preserve">s</w:t>
      </w:r>
      <w:r>
        <w:t xml:space="preserve"> </w:t>
      </w:r>
      <w:r>
        <w:t xml:space="preserve">is the state’s diagonal of international import shares at basic prices. Shares are capped at 0.95, and are zero where national imports are negative.</w:t>
      </w:r>
    </w:p>
    <w:p>
      <w:pPr>
        <w:numPr>
          <w:ilvl w:val="0"/>
          <w:numId w:val="1008"/>
        </w:numPr>
        <w:pStyle w:val="Compact"/>
      </w:pPr>
      <w:r>
        <w:t xml:space="preserve">RPCs are applied afterwards: A</w:t>
      </w:r>
      <w:r>
        <w:rPr>
          <w:vertAlign w:val="subscript"/>
        </w:rPr>
        <w:t xml:space="preserve">final</w:t>
      </w:r>
      <w:r>
        <w:t xml:space="preserve"> </w:t>
      </w:r>
      <w:r>
        <w:t xml:space="preserve">= diag(rpc) · A</w:t>
      </w:r>
      <w:r>
        <w:rPr>
          <w:vertAlign w:val="subscript"/>
        </w:rPr>
        <w:t xml:space="preserve">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Counties use their state’s input recipes.</w:t>
      </w:r>
    </w:p>
    <w:p>
      <w:pPr>
        <w:numPr>
          <w:ilvl w:val="0"/>
          <w:numId w:val="1008"/>
        </w:numPr>
        <w:pStyle w:val="Compact"/>
      </w:pPr>
      <w:r>
        <w:t xml:space="preserve">The legacy A (</w:t>
      </w:r>
      <w:r>
        <w:rPr>
          <w:rStyle w:val="VerbatimChar"/>
        </w:rPr>
        <w:t xml:space="preserve">results\Amatrices</w:t>
      </w:r>
      <w:r>
        <w:t xml:space="preserve">, João’s national A × supply/demand × intermediate-use ratio) is kept for comparison. Its supply/demand is capped at 1 and its ratio bounded to [0.25, 4].</w:t>
      </w:r>
    </w:p>
    <w:bookmarkEnd w:id="24"/>
    <w:bookmarkStart w:id="25" w:name="domestic-demand-and-rpcs"/>
    <w:p>
      <w:pPr>
        <w:pStyle w:val="Heading2"/>
      </w:pPr>
      <w:r>
        <w:t xml:space="preserve">Domestic demand and RPCs</w:t>
      </w:r>
    </w:p>
    <w:p>
      <w:pPr>
        <w:pStyle w:val="FirstParagraph"/>
      </w:pPr>
      <w:r>
        <w:t xml:space="preserve">RPCs are defined and predicted on domestic demand. The FAF6 dependent variable is rpc = m / (m + inflows): intrastate flows over intrastate flows plus inflows from other states. The RPCs are applied to A matrices already net of international imports.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Supply.</w:t>
      </w:r>
      <w:r>
        <w:t xml:space="preserve"> </w:t>
      </w:r>
      <w:r>
        <w:t xml:space="preserve">Output − international exports.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Domestic demand.</w:t>
      </w:r>
      <w:r>
        <w:t xml:space="preserve"> </w:t>
      </w:r>
      <w:r>
        <w:t xml:space="preserve">Use net of international imports (sut step</w:t>
      </w:r>
      <w:r>
        <w:t xml:space="preserve"> </w:t>
      </w:r>
      <w:r>
        <w:rPr>
          <w:rStyle w:val="VerbatimChar"/>
        </w:rPr>
        <w:t xml:space="preserve">export_domestic_demand</w:t>
      </w:r>
      <w:r>
        <w:t xml:space="preserve">). The steps:</w:t>
      </w:r>
    </w:p>
    <w:p>
      <w:pPr>
        <w:numPr>
          <w:ilvl w:val="1"/>
          <w:numId w:val="1010"/>
        </w:numPr>
        <w:pStyle w:val="Compact"/>
      </w:pPr>
      <w:r>
        <w:t xml:space="preserve">V</w:t>
      </w:r>
      <w:r>
        <w:rPr>
          <w:vertAlign w:val="subscript"/>
        </w:rPr>
        <w:t xml:space="preserve">r</w:t>
      </w:r>
      <w:r>
        <w:t xml:space="preserve"> </w:t>
      </w:r>
      <w:r>
        <w:t xml:space="preserve">= B · diag(r</w:t>
      </w:r>
      <w:r>
        <w:rPr>
          <w:vertAlign w:val="subscript"/>
        </w:rPr>
        <w:t xml:space="preserve">s</w:t>
      </w:r>
      <w:r>
        <w:t xml:space="preserve">) · x</w:t>
      </w:r>
      <w:r>
        <w:rPr>
          <w:vertAlign w:val="subscript"/>
        </w:rPr>
        <w:t xml:space="preserve">r</w:t>
      </w:r>
      <w:r>
        <w:t xml:space="preserve"> </w:t>
      </w:r>
      <w:r>
        <w:t xml:space="preserve">+ PCE + investment + inventories + government + margin use.</w:t>
      </w:r>
    </w:p>
    <w:p>
      <w:pPr>
        <w:numPr>
          <w:ilvl w:val="1"/>
          <w:numId w:val="1010"/>
        </w:numPr>
        <w:pStyle w:val="Compact"/>
      </w:pPr>
      <w:r>
        <w:t xml:space="preserve">V</w:t>
      </w:r>
      <w:r>
        <w:rPr>
          <w:vertAlign w:val="subscript"/>
        </w:rPr>
        <w:t xml:space="preserve">r</w:t>
      </w:r>
      <w:r>
        <w:t xml:space="preserve"> </w:t>
      </w:r>
      <w:r>
        <w:t xml:space="preserve">is moved to industries with D′ and calibrated per industry so that US supply/demand = 1 exactly.</w:t>
      </w:r>
    </w:p>
    <w:p>
      <w:pPr>
        <w:numPr>
          <w:ilvl w:val="1"/>
          <w:numId w:val="1010"/>
        </w:numPr>
        <w:pStyle w:val="Compact"/>
      </w:pPr>
      <w:r>
        <w:t xml:space="preserve">The region’s imports are subtracted, capped at 95% of use.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Equation.</w:t>
      </w:r>
      <w:r>
        <w:t xml:space="preserve"> </w:t>
      </w:r>
      <w:r>
        <w:t xml:space="preserve">Fractional-probit QMLE, estimated in the RPC chat on the culled FAF6 2022 state × SCTG panel. Regressors: emp/estab, emp/estab ratio, l_supply, l_demand, empLQ, lodging LQ and wage share, land share, us_s_wv_ratio, and regional and SCTG dummies.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Regressor years.</w:t>
      </w:r>
      <w:r>
        <w:t xml:space="preserve"> </w:t>
      </w:r>
      <w:r>
        <w:t xml:space="preserve">l_supply and l_demand in estimation come from the 2024 state vectors. For prediction all regressors are 2024 except us_s_wv_ratio (FAF6 2022, by decision: FAF6 has only 2022) and land share (time-invariant).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Calibration.</w:t>
      </w:r>
      <w:r>
        <w:t xml:space="preserve"> </w:t>
      </w:r>
      <w:r>
        <w:t xml:space="preserve">Predictions are raked to FAF6 2024 anchors: states exactly, counties through their FAF zone. CT and AK counties are not raked.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Post-processing.</w:t>
      </w:r>
      <w:r>
        <w:t xml:space="preserve"> </w:t>
      </w:r>
      <w:r>
        <w:t xml:space="preserve">RPC = 0 where there is no local supply. Services take supply/demand (squeezed above 0.95, capped at 1). Lodging uses its override.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Wiring.</w:t>
      </w:r>
      <w:r>
        <w:t xml:space="preserve"> </w:t>
      </w:r>
      <w:r>
        <w:rPr>
          <w:rStyle w:val="VerbatimChar"/>
        </w:rPr>
        <w:t xml:space="preserve">rpc_domestic.py</w:t>
      </w:r>
      <w:r>
        <w:t xml:space="preserve"> </w:t>
      </w:r>
      <w:r>
        <w:t xml:space="preserve">wraps the stage;</w:t>
      </w:r>
      <w:r>
        <w:t xml:space="preserve"> </w:t>
      </w:r>
      <w:r>
        <w:rPr>
          <w:rStyle w:val="VerbatimChar"/>
        </w:rPr>
        <w:t xml:space="preserve">calculate_rpc: rpc_override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process\RPC\predict_2024\rpc_predictions_2024_raked.csv</w:t>
      </w:r>
      <w:r>
        <w:t xml:space="preserve">.</w:t>
      </w:r>
    </w:p>
    <w:bookmarkEnd w:id="25"/>
    <w:bookmarkStart w:id="26" w:name="taxes"/>
    <w:p>
      <w:pPr>
        <w:pStyle w:val="Heading2"/>
      </w:pPr>
      <w:r>
        <w:t xml:space="preserve">Taxes</w:t>
      </w:r>
    </w:p>
    <w:p>
      <w:pPr>
        <w:pStyle w:val="FirstParagraph"/>
      </w:pPr>
      <w:r>
        <w:t xml:space="preserve">The federal/state/local split of the $1,860bn of taxes on production and imports less subsidies is re-derived from the 2024 Census State &amp; Local Government Finances. The switch is</w:t>
      </w:r>
      <w:r>
        <w:t xml:space="preserve"> </w:t>
      </w:r>
      <w:r>
        <w:rPr>
          <w:rStyle w:val="VerbatimChar"/>
        </w:rPr>
        <w:t xml:space="preserve">calculate_taxes: recalibrate</w:t>
      </w:r>
      <w:r>
        <w:t xml:space="preserve">, implemented by the wrapper</w:t>
      </w:r>
      <w:r>
        <w:t xml:space="preserve"> </w:t>
      </w:r>
      <w:r>
        <w:rPr>
          <w:rStyle w:val="VerbatimChar"/>
        </w:rPr>
        <w:t xml:space="preserve">rpc_domestic.install_taxes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$bn,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898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Other taxes on production</w:t>
      </w:r>
      <w:r>
        <w:t xml:space="preserve"> </w:t>
      </w:r>
      <w:r>
        <w:t xml:space="preserve">($850bn). The federal share is zero; subsidies stay federal. State vs local follows each state’s Census property, motor-vehicle-license and other-tax lines (9, 20, 21). The legacy rule gave the federal government ~$400bn through a business-income-tax proxy.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Taxes on products</w:t>
      </w:r>
      <w:r>
        <w:t xml:space="preserve"> </w:t>
      </w:r>
      <w:r>
        <w:t xml:space="preserve">($1,010bn). Federal = total − Census S&amp;L general and selective sales taxes (lines 11+12) = $144bn. State and local are in the Census proportion ($678bn / $189bn). João’s industry rules keep the pattern; each cell’s federal part and state odds are scaled to the totals.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Household taxes.</w:t>
      </w:r>
      <w:r>
        <w:t xml:space="preserve"> </w:t>
      </w:r>
      <w:r>
        <w:t xml:space="preserve">Individual income tax: IRS SOI TY2023 grown to 2024 by SAINC4. Business income tax: IRS FY2024 collections. State and local revenue: Census 2024.</w:t>
      </w:r>
    </w:p>
    <w:bookmarkEnd w:id="26"/>
    <w:bookmarkStart w:id="27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States add up exactly to the US for output, GDP, employment and compensation. State GDP matches SAGDP2 2024 within 0.5% at the median (maximum 3.3%). Script:</w:t>
      </w:r>
      <w:r>
        <w:t xml:space="preserve"> </w:t>
      </w:r>
      <w:r>
        <w:rPr>
          <w:rStyle w:val="VerbatimChar"/>
        </w:rPr>
        <w:t xml:space="preserve">code\scripts\check_2024_vs_2022.py</w:t>
      </w:r>
      <w:r>
        <w:t xml:space="preserve">; results in</w:t>
      </w:r>
      <w:r>
        <w:t xml:space="preserve"> </w:t>
      </w:r>
      <w:r>
        <w:rPr>
          <w:rStyle w:val="VerbatimChar"/>
        </w:rPr>
        <w:t xml:space="preserve">RECON2024\checks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Median across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RPC, demand-weighted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 output multiplier, legacy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I multiplier, state A net of imports, with RPCs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 (range 1.36–1.73)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Intermediate share of output, states /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0.522 / 0.457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0.484 / 0.484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Multiplier drop.</w:t>
      </w:r>
      <w:r>
        <w:t xml:space="preserve"> </w:t>
      </w:r>
      <w:r>
        <w:t xml:space="preserve">About half of the fall from 2022 corrects a RECON2022 inconsistency: its state intermediate shares exceeded the US share, and state output summed to 97% of US.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Import-share cap.</w:t>
      </w:r>
      <w:r>
        <w:t xml:space="preserve"> </w:t>
      </w:r>
      <w:r>
        <w:t xml:space="preserve">The 0.95 cap binds on a median of 8 commodities per state (41 in Georgia): heavy trucks, instruments, appliances, fish.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matrices.</w:t>
      </w:r>
      <w:r>
        <w:t xml:space="preserve"> </w:t>
      </w:r>
      <w:r>
        <w:t xml:space="preserve">No column sums exceed 1.</w:t>
      </w:r>
    </w:p>
    <w:bookmarkEnd w:id="27"/>
    <w:bookmarkStart w:id="33" w:name="assumptions-open-items-and-future-data"/>
    <w:p>
      <w:pPr>
        <w:pStyle w:val="Heading2"/>
      </w:pPr>
      <w:r>
        <w:t xml:space="preserve">Assumptions, open items and future data</w:t>
      </w:r>
    </w:p>
    <w:p>
      <w:pPr>
        <w:pStyle w:val="FirstParagraph"/>
      </w:pPr>
      <w:r>
        <w:rPr>
          <w:bCs/>
          <w:b/>
        </w:rPr>
        <w:t xml:space="preserve">Assumptions to keep in view</w:t>
      </w:r>
    </w:p>
    <w:p>
      <w:pPr>
        <w:numPr>
          <w:ilvl w:val="0"/>
          <w:numId w:val="1013"/>
        </w:numPr>
        <w:pStyle w:val="Compact"/>
      </w:pPr>
      <w:r>
        <w:t xml:space="preserve">Travel exports: the commodity mix and the 55% tuition share (no BEA inbound mix exists); Canada and Mexico are placed by hotel output.</w:t>
      </w:r>
    </w:p>
    <w:p>
      <w:pPr>
        <w:numPr>
          <w:ilvl w:val="0"/>
          <w:numId w:val="1013"/>
        </w:numPr>
        <w:pStyle w:val="Compact"/>
      </w:pPr>
      <w:r>
        <w:t xml:space="preserve">Services imports by state rest on household lines, payroll and location quotients until BE-120 state tables exist.</w:t>
      </w:r>
    </w:p>
    <w:p>
      <w:pPr>
        <w:numPr>
          <w:ilvl w:val="0"/>
          <w:numId w:val="1013"/>
        </w:numPr>
        <w:pStyle w:val="Compact"/>
      </w:pPr>
      <w:r>
        <w:t xml:space="preserve">us_s_wv_ratio stays at FAF6 2022.</w:t>
      </w:r>
    </w:p>
    <w:p>
      <w:pPr>
        <w:numPr>
          <w:ilvl w:val="0"/>
          <w:numId w:val="1013"/>
        </w:numPr>
        <w:pStyle w:val="Compact"/>
      </w:pPr>
      <w:r>
        <w:t xml:space="preserve">Taxes on products keep João’s industry pattern, rescaled to 2024 Census totals.</w:t>
      </w:r>
    </w:p>
    <w:p>
      <w:pPr>
        <w:numPr>
          <w:ilvl w:val="0"/>
          <w:numId w:val="1013"/>
        </w:numPr>
        <w:pStyle w:val="Compact"/>
      </w:pPr>
      <w:r>
        <w:t xml:space="preserve">Connecticut proprietors: the prior-year pattern at the SAINC4 level.</w:t>
      </w:r>
    </w:p>
    <w:p>
      <w:pPr>
        <w:pStyle w:val="FirstParagraph"/>
      </w:pPr>
      <w:r>
        <w:rPr>
          <w:bCs/>
          <w:b/>
        </w:rPr>
        <w:t xml:space="preserve">Open</w:t>
      </w:r>
    </w:p>
    <w:p>
      <w:pPr>
        <w:numPr>
          <w:ilvl w:val="0"/>
          <w:numId w:val="1014"/>
        </w:numPr>
        <w:pStyle w:val="Compact"/>
      </w:pPr>
      <w:r>
        <w:t xml:space="preserve">☐ RPC chat: re-run predict + rake on supply_demand version 3, then re-export results.</w:t>
      </w:r>
    </w:p>
    <w:p>
      <w:pPr>
        <w:numPr>
          <w:ilvl w:val="0"/>
          <w:numId w:val="1014"/>
        </w:numPr>
        <w:pStyle w:val="Compact"/>
      </w:pPr>
      <w:r>
        <w:t xml:space="preserve">☐ CT and AK county RPCs (not raked).</w:t>
      </w:r>
    </w:p>
    <w:p>
      <w:pPr>
        <w:numPr>
          <w:ilvl w:val="0"/>
          <w:numId w:val="1014"/>
        </w:numPr>
        <w:pStyle w:val="Compact"/>
      </w:pPr>
      <w:r>
        <w:t xml:space="preserve">☐ Uncovered job categories (item 10, deferred).</w:t>
      </w:r>
    </w:p>
    <w:p>
      <w:pPr>
        <w:numPr>
          <w:ilvl w:val="0"/>
          <w:numId w:val="1014"/>
        </w:numPr>
        <w:pStyle w:val="Compact"/>
      </w:pPr>
      <w:r>
        <w:t xml:space="preserve">☐ Merge code into a git repository (item 12).</w:t>
      </w:r>
    </w:p>
    <w:p>
      <w:pPr>
        <w:pStyle w:val="FirstParagraph"/>
      </w:pPr>
      <w:r>
        <w:rPr>
          <w:bCs/>
          <w:b/>
        </w:rPr>
        <w:t xml:space="preserve">Future data swaps</w:t>
      </w:r>
    </w:p>
    <w:p>
      <w:pPr>
        <w:numPr>
          <w:ilvl w:val="0"/>
          <w:numId w:val="1015"/>
        </w:numPr>
        <w:pStyle w:val="Compact"/>
      </w:pPr>
      <w:r>
        <w:t xml:space="preserve">BEA BE-120 state tables (eight business-service categories; WP2026-12).</w:t>
      </w:r>
    </w:p>
    <w:p>
      <w:pPr>
        <w:numPr>
          <w:ilvl w:val="0"/>
          <w:numId w:val="1015"/>
        </w:numPr>
        <w:pStyle w:val="Compact"/>
      </w:pPr>
      <w:r>
        <w:t xml:space="preserve">A FAF release with 2024 flows.</w:t>
      </w:r>
    </w:p>
    <w:p>
      <w:pPr>
        <w:numPr>
          <w:ilvl w:val="0"/>
          <w:numId w:val="1015"/>
        </w:numPr>
        <w:pStyle w:val="Compact"/>
      </w:pPr>
      <w:r>
        <w:t xml:space="preserve">Census revisions to 2024 state and local finances.</w:t>
      </w:r>
    </w:p>
    <w:p>
      <w:pPr>
        <w:numPr>
          <w:ilvl w:val="0"/>
          <w:numId w:val="1015"/>
        </w:numPr>
        <w:pStyle w:val="Compact"/>
      </w:pPr>
      <w:r>
        <w:t xml:space="preserve">BEA 2025 supply-use tables for the next update.</w:t>
      </w:r>
    </w:p>
    <w:p>
      <w:pPr>
        <w:pStyle w:val="FirstParagraph"/>
      </w:pPr>
      <w:r>
        <w:rPr>
          <w:bCs/>
          <w:b/>
        </w:rPr>
        <w:t xml:space="preserve">Sources</w:t>
      </w:r>
    </w:p>
    <w:p>
      <w:pPr>
        <w:numPr>
          <w:ilvl w:val="0"/>
          <w:numId w:val="1016"/>
        </w:numPr>
        <w:pStyle w:val="Compact"/>
      </w:pPr>
      <w:hyperlink r:id="rId28">
        <w:r>
          <w:rPr>
            <w:rStyle w:val="Hyperlink"/>
          </w:rPr>
          <w:t xml:space="preserve">BEA NIPA Handbook, ch. 5 (PCE)</w:t>
        </w:r>
      </w:hyperlink>
    </w:p>
    <w:p>
      <w:pPr>
        <w:numPr>
          <w:ilvl w:val="0"/>
          <w:numId w:val="1016"/>
        </w:numPr>
        <w:pStyle w:val="Compact"/>
      </w:pPr>
      <w:hyperlink r:id="rId29">
        <w:r>
          <w:rPr>
            <w:rStyle w:val="Hyperlink"/>
          </w:rPr>
          <w:t xml:space="preserve">NTTO, Overseas Visitor Impact on State Economies 2024</w:t>
        </w:r>
      </w:hyperlink>
    </w:p>
    <w:p>
      <w:pPr>
        <w:numPr>
          <w:ilvl w:val="0"/>
          <w:numId w:val="1016"/>
        </w:numPr>
        <w:pStyle w:val="Compact"/>
      </w:pPr>
      <w:hyperlink r:id="rId30">
        <w:r>
          <w:rPr>
            <w:rStyle w:val="Hyperlink"/>
          </w:rPr>
          <w:t xml:space="preserve">NAFSA 2024–25 state data</w:t>
        </w:r>
      </w:hyperlink>
    </w:p>
    <w:p>
      <w:pPr>
        <w:numPr>
          <w:ilvl w:val="0"/>
          <w:numId w:val="1016"/>
        </w:numPr>
        <w:pStyle w:val="Compact"/>
      </w:pPr>
      <w:hyperlink r:id="rId31">
        <w:r>
          <w:rPr>
            <w:rStyle w:val="Hyperlink"/>
          </w:rPr>
          <w:t xml:space="preserve">BEA TTSA 2018–2023</w:t>
        </w:r>
      </w:hyperlink>
    </w:p>
    <w:p>
      <w:pPr>
        <w:numPr>
          <w:ilvl w:val="0"/>
          <w:numId w:val="1016"/>
        </w:numPr>
        <w:pStyle w:val="Compact"/>
      </w:pPr>
      <w:hyperlink r:id="rId32">
        <w:r>
          <w:rPr>
            <w:rStyle w:val="Hyperlink"/>
          </w:rPr>
          <w:t xml:space="preserve">FAF6, BTS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pps.bea.gov/scb/issues/2025/02-february/pdf/0225-travel-tourism-satellite-account.pdf" TargetMode="External" /><Relationship Type="http://schemas.openxmlformats.org/officeDocument/2006/relationships/hyperlink" Id="rId32" Target="https://doi.org/10.21949/fhgm-g335" TargetMode="External" /><Relationship Type="http://schemas.openxmlformats.org/officeDocument/2006/relationships/hyperlink" Id="rId28" Target="https://www.bea.gov/resources/methodologies/nipa-handbook/pdf/chapter-05.pdf" TargetMode="External" /><Relationship Type="http://schemas.openxmlformats.org/officeDocument/2006/relationships/hyperlink" Id="rId30" Target="https://www.nafsa.org/sites/default/files/media/document/EconValue2025_v01_11-12-2025.pdf" TargetMode="External" /><Relationship Type="http://schemas.openxmlformats.org/officeDocument/2006/relationships/hyperlink" Id="rId29" Target="https://www.trade.gov/sites/default/files/2026-04/2024-Visitors-by-State_Final.pdf?v=17774782635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pps.bea.gov/scb/issues/2025/02-february/pdf/0225-travel-tourism-satellite-account.pdf" TargetMode="External" /><Relationship Type="http://schemas.openxmlformats.org/officeDocument/2006/relationships/hyperlink" Id="rId32" Target="https://doi.org/10.21949/fhgm-g335" TargetMode="External" /><Relationship Type="http://schemas.openxmlformats.org/officeDocument/2006/relationships/hyperlink" Id="rId28" Target="https://www.bea.gov/resources/methodologies/nipa-handbook/pdf/chapter-05.pdf" TargetMode="External" /><Relationship Type="http://schemas.openxmlformats.org/officeDocument/2006/relationships/hyperlink" Id="rId30" Target="https://www.nafsa.org/sites/default/files/media/document/EconValue2025_v01_11-12-2025.pdf" TargetMode="External" /><Relationship Type="http://schemas.openxmlformats.org/officeDocument/2006/relationships/hyperlink" Id="rId29" Target="https://www.trade.gov/sites/default/files/2026-04/2024-Visitors-by-State_Final.pdf?v=17774782635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RECON2024 methods note</dc:title>
  <dc:creator>Michael L. Lahr</dc:creator>
  <cp:keywords/>
  <dcterms:created xsi:type="dcterms:W3CDTF">2026-09-21T23:16:46Z</dcterms:created>
  <dcterms:modified xsi:type="dcterms:W3CDTF">2026-09-21T23:16:46Z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September 2026</vt:lpwstr>
  </property>
</Properties>
</file>