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FOUR: SYSTEM ANALYSIS, ARCHITECTURE, AND DESIGN</w:t>
      </w:r>
    </w:p>
    <w:p>
      <w:pPr>
        <w:pStyle w:val="Heading2"/>
      </w:pPr>
      <w:r>
        <w:t>4.1 Introduction</w:t>
      </w:r>
    </w:p>
    <w:p>
      <w:r>
        <w:t>Chapters One through Three established the problem statement, literature review, and methodological framework for AgriShield: A Hierarchical, Agentic AI Predictive Intelligence System for Crop Yield and Livestock Forage Risk in Kenya. This chapter translates the research methodology into a concrete software, data pipeline, and machine learning engineering design across all 47 Kenyan counties spanning the 2015–2025 period (6,204 county-month observations).</w:t>
      </w:r>
    </w:p>
    <w:p>
      <w:pPr>
        <w:pStyle w:val="Heading2"/>
      </w:pPr>
      <w:r>
        <w:t>4.2 System Requirements Analysis</w:t>
      </w:r>
    </w:p>
    <w:p>
      <w:pPr>
        <w:pStyle w:val="Heading3"/>
      </w:pPr>
      <w:r>
        <w:t>4.2.1 Functional Requirements</w:t>
      </w:r>
    </w:p>
    <w:p>
      <w:pPr>
        <w:pStyle w:val="ListBullet"/>
      </w:pPr>
      <w:r>
        <w:rPr>
          <w:b/>
        </w:rPr>
        <w:t xml:space="preserve">FR1 — Multi-Source Data Ingestion: </w:t>
      </w:r>
      <w:r>
        <w:t>Ingest raw 2015–2025 NASA MODIS NDVI, CHIRPS v2.0 Rainfall, ECMWF ERA5-Land Soil Moisture, MODIS LST Temperature, KNBS 2019 Census, and FAOSTAT/KNBS Crop Production datasets across all 47 Kenyan counties.</w:t>
      </w:r>
    </w:p>
    <w:p>
      <w:pPr>
        <w:pStyle w:val="ListBullet"/>
      </w:pPr>
      <w:r>
        <w:rPr>
          <w:b/>
        </w:rPr>
        <w:t xml:space="preserve">FR2 — Spatio-Temporal Standardization: </w:t>
      </w:r>
      <w:r>
        <w:t>Harmonize PCODEs (KE001–KE047) and county name variations into a clean monthly panel of 6,204 county-month records.</w:t>
      </w:r>
    </w:p>
    <w:p>
      <w:pPr>
        <w:pStyle w:val="ListBullet"/>
      </w:pPr>
      <w:r>
        <w:rPr>
          <w:b/>
        </w:rPr>
        <w:t xml:space="preserve">FR3 — Agro-Climatic Feature Engineering: </w:t>
      </w:r>
      <w:r>
        <w:t>Compute 18 predictors including cyclical month encodings, 1- and 3-month NDVI lags, the 30-Day Rainfall Anomaly Index, and the Forage Dryness Index (FDI).</w:t>
      </w:r>
    </w:p>
    <w:p>
      <w:pPr>
        <w:pStyle w:val="ListBullet"/>
      </w:pPr>
      <w:r>
        <w:rPr>
          <w:b/>
        </w:rPr>
        <w:t xml:space="preserve">FR4 — Leakage-Free Target Synthesis: </w:t>
      </w:r>
      <w:r>
        <w:t>Classify each county-month as a shock (target_risk = 1) when monthly NDVI falls below the county's 2015–2023 historical 25th-percentile threshold.</w:t>
      </w:r>
    </w:p>
    <w:p>
      <w:pPr>
        <w:pStyle w:val="ListBullet"/>
      </w:pPr>
      <w:r>
        <w:rPr>
          <w:b/>
        </w:rPr>
        <w:t xml:space="preserve">FR5 — Four-Model Training &amp; Evaluation: </w:t>
      </w:r>
      <w:r>
        <w:t>Train and compare Logistic Regression (Baseline), Random Forest, XGBoost, and LightGBM on the 2015–2023 training split and evaluate on the 2024–2025 test split.</w:t>
      </w:r>
    </w:p>
    <w:p>
      <w:pPr>
        <w:pStyle w:val="ListBullet"/>
      </w:pPr>
      <w:r>
        <w:rPr>
          <w:b/>
        </w:rPr>
        <w:t xml:space="preserve">FR6 — Explainable AI (SHAP) &amp; Agentic Advisories: </w:t>
      </w:r>
      <w:r>
        <w:t>Compute local SHAP feature attributions and pass them to the NVIDIA NIM (Llama-3) agentic workflow to generate grounded crop and livestock advisories.</w:t>
      </w:r>
    </w:p>
    <w:p>
      <w:pPr>
        <w:pStyle w:val="ListBullet"/>
      </w:pPr>
      <w:r>
        <w:rPr>
          <w:b/>
        </w:rPr>
        <w:t xml:space="preserve">FR7 — Hierarchical Risk Rollup: </w:t>
      </w:r>
      <w:r>
        <w:t>Aggregate county risk predictions (47 counties) into regional (8 regions) and national food-security dashboards weighted by farming household exposure.</w:t>
      </w:r>
    </w:p>
    <w:p>
      <w:pPr>
        <w:pStyle w:val="Heading3"/>
      </w:pPr>
      <w:r>
        <w:t>4.2.2 Non-Functional Requirements</w:t>
      </w:r>
    </w:p>
    <w:p>
      <w:pPr>
        <w:pStyle w:val="ListBullet"/>
      </w:pPr>
      <w:r>
        <w:rPr>
          <w:b/>
        </w:rPr>
        <w:t xml:space="preserve">NFR1 — Zero Temporal Data Leakage: </w:t>
      </w:r>
      <w:r>
        <w:t>All historical thresholds, anomalies, and StandardScaler parameters are fit strictly on the 2015–2023 training partition.</w:t>
      </w:r>
    </w:p>
    <w:p>
      <w:pPr>
        <w:pStyle w:val="ListBullet"/>
      </w:pPr>
      <w:r>
        <w:rPr>
          <w:b/>
        </w:rPr>
        <w:t xml:space="preserve">NFR2 — Low Inference Latency: </w:t>
      </w:r>
      <w:r>
        <w:t>Single-county FastAPI prediction and SHAP attribution complete in under 300 milliseconds.</w:t>
      </w:r>
    </w:p>
    <w:p>
      <w:pPr>
        <w:pStyle w:val="ListBullet"/>
      </w:pPr>
      <w:r>
        <w:rPr>
          <w:b/>
        </w:rPr>
        <w:t xml:space="preserve">NFR3 — Offline Advisory Resilience: </w:t>
      </w:r>
      <w:r>
        <w:t>Automatic fallback from NVIDIA NIM LLM to a deterministic rule-based agronomic engine when external API connectivity is unavailable.</w:t>
      </w:r>
    </w:p>
    <w:p>
      <w:pPr>
        <w:pStyle w:val="ListBullet"/>
      </w:pPr>
      <w:r>
        <w:rPr>
          <w:b/>
        </w:rPr>
        <w:t xml:space="preserve">NFR4 — Role-Based Access Control (RBAC): </w:t>
      </w:r>
      <w:r>
        <w:t>JWT authentication supporting Farmer, County Extension Officer, Regional Coordinator, and Admin personas.</w:t>
      </w:r>
    </w:p>
    <w:p>
      <w:pPr>
        <w:pStyle w:val="Heading2"/>
      </w:pPr>
      <w:r>
        <w:t>4.3 High-Level Four-Tier System Architecture</w:t>
      </w:r>
    </w:p>
    <w:p>
      <w:r>
        <w:t>AgriShield is structured into four decoupled architectural tiers: (1) The Multi-Source Data Ingestion and Processing Pipeline (data_pipeline/), (2) The Predictive Machine Learning and SHAP Explainability Engine (ml-models/ and ml_artifacts/), (3) The FastAPI Backend and NVIDIA NIM Agentic Orchestrator (apps/backend/), and (4) The Multi-Role Streamlit Geospatial Frontend (apps/frontend/ with kenya_counties.geojson).</w:t>
      </w:r>
    </w:p>
    <w:p>
      <w:pPr>
        <w:pStyle w:val="Heading2"/>
      </w:pPr>
      <w:r>
        <w:t>4.4 Data Pipeline and Feature Engineering Design</w:t>
      </w:r>
    </w:p>
    <w:p>
      <w:r>
        <w:t>Dekadal NASA MODIS NDVI and CHIRPS rainfall feeds are aggregated to monthly county resolution and merged with ERA5-Land volumetric soil moisture (0–7 cm), MODIS surface temperature, and KNBS 2019 Census household profiles across all 47 counties from January 2015 to December 2025 (6,204 records). Binary shock labels (target_risk = 1) are synthesized whenever a county's monthly NDVI drops below its 2015–2023 25th percentile. Eighteen engineered features—highlighted by the 30-Day Rainfall Anomaly Index for crops and the Forage Dryness Index for livestock—capture seasonal memory, moisture deficits, and livelihood vulnerability.</w:t>
      </w:r>
    </w:p>
    <w:p>
      <w:pPr>
        <w:pStyle w:val="Heading2"/>
      </w:pPr>
      <w:r>
        <w:t>4.5 Machine Learning Subsystem Design (The 4 Candidate Models)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Model Name</w:t>
            </w:r>
          </w:p>
        </w:tc>
        <w:tc>
          <w:tcPr>
            <w:tcW w:type="dxa" w:w="2340"/>
          </w:tcPr>
          <w:p>
            <w:r>
              <w:t>Algorithm Type</w:t>
            </w:r>
          </w:p>
        </w:tc>
        <w:tc>
          <w:tcPr>
            <w:tcW w:type="dxa" w:w="2340"/>
          </w:tcPr>
          <w:p>
            <w:r>
              <w:t>Feature Scaling</w:t>
            </w:r>
          </w:p>
        </w:tc>
        <w:tc>
          <w:tcPr>
            <w:tcW w:type="dxa" w:w="2340"/>
          </w:tcPr>
          <w:p>
            <w:r>
              <w:t>Role in AgriShield</w:t>
            </w:r>
          </w:p>
        </w:tc>
      </w:tr>
      <w:tr>
        <w:tc>
          <w:tcPr>
            <w:tcW w:type="dxa" w:w="2340"/>
          </w:tcPr>
          <w:p>
            <w:r>
              <w:t>Logistic Regression</w:t>
            </w:r>
          </w:p>
        </w:tc>
        <w:tc>
          <w:tcPr>
            <w:tcW w:type="dxa" w:w="2340"/>
          </w:tcPr>
          <w:p>
            <w:r>
              <w:t>Linear Classifier</w:t>
            </w:r>
          </w:p>
        </w:tc>
        <w:tc>
          <w:tcPr>
            <w:tcW w:type="dxa" w:w="2340"/>
          </w:tcPr>
          <w:p>
            <w:r>
              <w:t>StandardScaler (Scaled)</w:t>
            </w:r>
          </w:p>
        </w:tc>
        <w:tc>
          <w:tcPr>
            <w:tcW w:type="dxa" w:w="2340"/>
          </w:tcPr>
          <w:p>
            <w:r>
              <w:t>Baseline probability benchmark</w:t>
            </w:r>
          </w:p>
        </w:tc>
      </w:tr>
      <w:tr>
        <w:tc>
          <w:tcPr>
            <w:tcW w:type="dxa" w:w="2340"/>
          </w:tcPr>
          <w:p>
            <w:r>
              <w:t>Random Forest</w:t>
            </w:r>
          </w:p>
        </w:tc>
        <w:tc>
          <w:tcPr>
            <w:tcW w:type="dxa" w:w="2340"/>
          </w:tcPr>
          <w:p>
            <w:r>
              <w:t>Bagged Decision Trees</w:t>
            </w:r>
          </w:p>
        </w:tc>
        <w:tc>
          <w:tcPr>
            <w:tcW w:type="dxa" w:w="2340"/>
          </w:tcPr>
          <w:p>
            <w:r>
              <w:t>Unscaled</w:t>
            </w:r>
          </w:p>
        </w:tc>
        <w:tc>
          <w:tcPr>
            <w:tcW w:type="dxa" w:w="2340"/>
          </w:tcPr>
          <w:p>
            <w:r>
              <w:t>Challenger ensemble model #1</w:t>
            </w:r>
          </w:p>
        </w:tc>
      </w:tr>
      <w:tr>
        <w:tc>
          <w:tcPr>
            <w:tcW w:type="dxa" w:w="2340"/>
          </w:tcPr>
          <w:p>
            <w:r>
              <w:t>XGBoost</w:t>
            </w:r>
          </w:p>
        </w:tc>
        <w:tc>
          <w:tcPr>
            <w:tcW w:type="dxa" w:w="2340"/>
          </w:tcPr>
          <w:p>
            <w:r>
              <w:t>Gradient-Boosted Trees</w:t>
            </w:r>
          </w:p>
        </w:tc>
        <w:tc>
          <w:tcPr>
            <w:tcW w:type="dxa" w:w="2340"/>
          </w:tcPr>
          <w:p>
            <w:r>
              <w:t>Unscaled</w:t>
            </w:r>
          </w:p>
        </w:tc>
        <w:tc>
          <w:tcPr>
            <w:tcW w:type="dxa" w:w="2340"/>
          </w:tcPr>
          <w:p>
            <w:r>
              <w:t>Primary Champion model + SHAP TreeExplainer</w:t>
            </w:r>
          </w:p>
        </w:tc>
      </w:tr>
      <w:tr>
        <w:tc>
          <w:tcPr>
            <w:tcW w:type="dxa" w:w="2340"/>
          </w:tcPr>
          <w:p>
            <w:r>
              <w:t>LightGBM</w:t>
            </w:r>
          </w:p>
        </w:tc>
        <w:tc>
          <w:tcPr>
            <w:tcW w:type="dxa" w:w="2340"/>
          </w:tcPr>
          <w:p>
            <w:r>
              <w:t>Histogram Boosted Trees</w:t>
            </w:r>
          </w:p>
        </w:tc>
        <w:tc>
          <w:tcPr>
            <w:tcW w:type="dxa" w:w="2340"/>
          </w:tcPr>
          <w:p>
            <w:r>
              <w:t>Unscaled</w:t>
            </w:r>
          </w:p>
        </w:tc>
        <w:tc>
          <w:tcPr>
            <w:tcW w:type="dxa" w:w="2340"/>
          </w:tcPr>
          <w:p>
            <w:r>
              <w:t>Fast leaf-wise Challenger model #2</w:t>
            </w:r>
          </w:p>
        </w:tc>
      </w:tr>
    </w:tbl>
    <w:p>
      <w:pPr>
        <w:pStyle w:val="Heading2"/>
      </w:pPr>
      <w:r>
        <w:t>4.6 Hierarchical Risk Aggregation and Agentic AI Advisory Design</w:t>
      </w:r>
    </w:p>
    <w:p>
      <w:r>
        <w:t>County predictions are aggregated into Kenya's 8 regions using farming-household exposure weights. For each county prediction, the top SHAP drivers, risk probability, and agro-climatic anomalies are injected into a grounded prompt for the NVIDIA NIM (Llama-3) Agentic AI service, generating tailored early-warning advisories for farmers and county extension officers with a deterministic offline fallback.</w:t>
      </w:r>
    </w:p>
    <w:p>
      <w:pPr>
        <w:pStyle w:val="Heading2"/>
      </w:pPr>
      <w:r>
        <w:t>4.7 Backend API and Geospatial User Interface Design</w:t>
      </w:r>
    </w:p>
    <w:p>
      <w:r>
        <w:t>The FastAPI backend exposes RESTful endpoints (/api/v1/predictions, /api/v1/alerts, /api/v1/reports, and /api/v1/chat) consumed by the Streamlit frontend. The frontend renders an interactive 47-county choropleth map using kenya_counties.geojson, displaying color-coded risk tiers (SAFE, MODERATE, HIGH, CRITICAL), historical 2015–2025 time-series charts, SHAP feature explanations, and AI-generated advisories.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