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body>
    <w:p>
      <w:pPr>
        <w:spacing w:before="720" w:after="120" w:line="300"/>
        <w:jc w:val="center"/>
      </w:pPr>
      <w:r>
        <w:rPr>
          <w:b/>
          <w:bCs/>
          <w:sz w:val="40"/>
          <w:szCs w:val="40"/>
          <w:rFonts w:ascii="Times New Roman" w:cs="Times New Roman" w:eastAsia="Times New Roman" w:hAnsi="Times New Roman"/>
        </w:rPr>
        <w:t xml:space="preserve">Fermion Mass Hierarchy from Pöschl–Teller Binding Energies:</w:t>
      </w:r>
    </w:p>
    <w:p>
      <w:pPr>
        <w:spacing w:before="0" w:after="400" w:line="300"/>
        <w:jc w:val="center"/>
      </w:pPr>
      <w:r>
        <w:rPr>
          <w:b/>
          <w:bCs/>
          <w:sz w:val="28"/>
          <w:szCs w:val="28"/>
          <w:rFonts w:ascii="Times New Roman" w:cs="Times New Roman" w:eastAsia="Times New Roman" w:hAnsi="Times New Roman"/>
        </w:rPr>
        <w:t xml:space="preserve">The Two-Body Heisenberg Picture, the AHS Exponential Formula,
and Complete Predictions for All Nine Fermion Mass Ratios</w:t>
      </w:r>
    </w:p>
    <w:p>
      <w:pPr>
        <w:spacing w:before="0" w:after="100" w:line="300"/>
        <w:jc w:val="center"/>
      </w:pPr>
      <w:r>
        <w:rPr>
          <w:i/>
          <w:iCs/>
          <w:sz w:val="22"/>
          <w:szCs w:val="22"/>
          <w:rFonts w:ascii="Times New Roman" w:cs="Times New Roman" w:eastAsia="Times New Roman" w:hAnsi="Times New Roman"/>
        </w:rPr>
        <w:t xml:space="preserve">Mathematical Physics — Paper VI (Final)</w:t>
      </w:r>
    </w:p>
    <w:p>
      <w:pPr>
        <w:spacing w:before="0" w:after="720" w:line="300"/>
        <w:jc w:val="center"/>
      </w:pPr>
      <w:r>
        <w:rPr>
          <w:sz w:val="22"/>
          <w:szCs w:val="22"/>
          <w:rFonts w:ascii="Times New Roman" w:cs="Times New Roman" w:eastAsia="Times New Roman" w:hAnsi="Times New Roman"/>
        </w:rPr>
        <w:t xml:space="preserve">2025</w:t>
      </w:r>
    </w:p>
    <w:p>
      <w:pPr>
        <w:pStyle w:val="Heading1"/>
        <w:spacing w:before="520" w:after="200" w:line="300"/>
      </w:pPr>
      <w:r>
        <w:rPr>
          <w:b/>
          <w:bCs/>
          <w:sz w:val="34"/>
          <w:szCs w:val="34"/>
          <w:rFonts w:ascii="Times New Roman" w:cs="Times New Roman" w:eastAsia="Times New Roman" w:hAnsi="Times New Roman"/>
        </w:rPr>
        <w:t xml:space="preserve">Abstract</w:t>
      </w:r>
    </w:p>
    <w:p>
      <w:pPr>
        <w:spacing w:before="0" w:after="160" w:line="300"/>
        <w:jc w:val="both"/>
      </w:pPr>
      <w:r>
        <w:rPr>
          <w:sz w:val="22"/>
          <w:szCs w:val="22"/>
          <w:rFonts w:ascii="Times New Roman" w:cs="Times New Roman" w:eastAsia="Times New Roman" w:hAnsi="Times New Roman"/>
        </w:rPr>
        <w:t xml:space="preserve">The remaining open problem in the seam framework is the fermion mass hierarchy: why are there twelve orders of magnitude between the top quark and the electron? This paper closes it. The mechanism has two parts, each forced by the prior framework. First, the two-body Heisenberg picture (Paper I) establishes that when a fermion-antifermion pair forms at the seam with P = 0 (sharp total momentum), the relative coordinate ρ = x_L − x_R between the left-handed and right-handed components of the fermion becomes the characteristic quantity encoding the chirality mixing rate (Paper II). Second, Paper V established that the three generations are the three bound states of the Pöschl–Teller potential with ℓ = 2, with binding energies |E_n| = (ℓ−n)² = (2−n)² = 4, 1, 0 for n = 0, 1, 2.</w:t>
      </w:r>
    </w:p>
    <w:p>
      <w:pPr>
        <w:spacing w:before="0" w:after="160" w:line="300"/>
        <w:jc w:val="both"/>
      </w:pPr>
      <w:r>
        <w:rPr>
          <w:sz w:val="22"/>
          <w:szCs w:val="22"/>
          <w:rFonts w:ascii="Times New Roman" w:cs="Times New Roman" w:eastAsia="Times New Roman" w:hAnsi="Times New Roman"/>
        </w:rPr>
        <w:t xml:space="preserve">The fermion mass is the overlap integral of the left-handed and right-handed wavefunctions with the Higgs kink. By the Arkani-Hamed–Schmaltz mechanism [AHS99], this equals exp(−μ²ρ₂_n/2) where ρ_n is the L–R separation. By the quantum uncertainty principle, the L–R separation satisfies ⟨ρ²⟩_n ∝ ħ/|E_n| (more tightly bound = more localized = smaller L–R separation = larger mass). Combining: m_n ∝ exp(−k_f/|E_n|) = exp(−k_f/(2−n)²). This is the universal fermion mass formula. It has one free parameter k_f per fermion type (charged lepton, up-quark, down-quark) and makes all inter-generation mass ratios computable from a single measurement.</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5AA0" w:sz="5"/>
              <w:left w:val="single" w:color="2B5AA0" w:sz="5"/>
              <w:bottom w:val="single" w:color="2B5AA0" w:sz="5"/>
              <w:right w:val="single" w:color="2B5AA0" w:sz="5"/>
            </w:tcBorders>
            <w:shd w:fill="EEF3FB" w:val="clear"/>
            <w:tcMar>
              <w:top w:type="dxa" w:w="110"/>
              <w:left w:type="dxa" w:w="200"/>
              <w:bottom w:type="dxa" w:w="110"/>
              <w:right w:type="dxa" w:w="200"/>
            </w:tcMar>
          </w:tcPr>
          <w:p>
            <w:pPr>
              <w:spacing w:before="0" w:after="60" w:line="300"/>
              <w:jc w:val="both"/>
            </w:pPr>
            <w:r>
              <w:rPr>
                <w:sz w:val="22"/>
                <w:szCs w:val="22"/>
                <w:rFonts w:ascii="Times New Roman" w:cs="Times New Roman" w:eastAsia="Times New Roman" w:hAnsi="Times New Roman"/>
              </w:rPr>
              <w:t xml:space="preserve">Universal Fermion Mass Formula:</w:t>
            </w:r>
          </w:p>
          <w:p>
            <w:pPr>
              <w:spacing w:before="0" w:after="60" w:line="300"/>
              <w:jc w:val="both"/>
            </w:pPr>
            <w:r>
              <w:rPr>
                <w:sz w:val="22"/>
                <w:szCs w:val="22"/>
                <w:rFonts w:ascii="Times New Roman" w:cs="Times New Roman" w:eastAsia="Times New Roman" w:hAnsi="Times New Roman"/>
              </w:rPr>
            </w:r>
          </w:p>
          <w:p>
            <w:pPr>
              <w:spacing w:before="0" w:after="60" w:line="300"/>
              <w:jc w:val="both"/>
            </w:pPr>
            <w:r>
              <w:rPr>
                <w:sz w:val="22"/>
                <w:szCs w:val="22"/>
                <w:rFonts w:ascii="Times New Roman" w:cs="Times New Roman" w:eastAsia="Times New Roman" w:hAnsi="Times New Roman"/>
              </w:rPr>
              <w:t xml:space="preserve">    m_n^{(f)} = M_f · exp(−k_f / (2−n)²)    n = 0, 1, 2  (generation index)</w:t>
            </w:r>
          </w:p>
          <w:p>
            <w:pPr>
              <w:spacing w:before="0" w:after="60" w:line="300"/>
              <w:jc w:val="both"/>
            </w:pPr>
            <w:r>
              <w:rPr>
                <w:sz w:val="22"/>
                <w:szCs w:val="22"/>
                <w:rFonts w:ascii="Times New Roman" w:cs="Times New Roman" w:eastAsia="Times New Roman" w:hAnsi="Times New Roman"/>
              </w:rPr>
            </w:r>
          </w:p>
          <w:p>
            <w:pPr>
              <w:spacing w:before="0" w:after="60" w:line="300"/>
              <w:jc w:val="both"/>
            </w:pPr>
            <w:r>
              <w:rPr>
                <w:sz w:val="22"/>
                <w:szCs w:val="22"/>
                <w:rFonts w:ascii="Times New Roman" w:cs="Times New Roman" w:eastAsia="Times New Roman" w:hAnsi="Times New Roman"/>
              </w:rPr>
              <w:t xml:space="preserve">    n=0: heaviest generation  (tau, top, bottom)      factor: exp(−k_f/4)</w:t>
            </w:r>
          </w:p>
          <w:p>
            <w:pPr>
              <w:spacing w:before="0" w:after="60" w:line="300"/>
              <w:jc w:val="both"/>
            </w:pPr>
            <w:r>
              <w:rPr>
                <w:sz w:val="22"/>
                <w:szCs w:val="22"/>
                <w:rFonts w:ascii="Times New Roman" w:cs="Times New Roman" w:eastAsia="Times New Roman" w:hAnsi="Times New Roman"/>
              </w:rPr>
              <w:t xml:space="preserve">    n=1: middle generation    (muon, charm, strange)  factor: exp(−k_f)</w:t>
            </w:r>
          </w:p>
          <w:p>
            <w:pPr>
              <w:spacing w:before="0" w:after="60" w:line="300"/>
              <w:jc w:val="both"/>
            </w:pPr>
            <w:r>
              <w:rPr>
                <w:sz w:val="22"/>
                <w:szCs w:val="22"/>
                <w:rFonts w:ascii="Times New Roman" w:cs="Times New Roman" w:eastAsia="Times New Roman" w:hAnsi="Times New Roman"/>
              </w:rPr>
              <w:t xml:space="preserve">    n=2: lightest generation  (electron, up, down)    factor: exp(−k_f/δ²)</w:t>
            </w:r>
          </w:p>
          <w:p>
            <w:pPr>
              <w:spacing w:before="0" w:after="60" w:line="300"/>
              <w:jc w:val="both"/>
            </w:pPr>
            <w:r>
              <w:rPr>
                <w:sz w:val="22"/>
                <w:szCs w:val="22"/>
                <w:rFonts w:ascii="Times New Roman" w:cs="Times New Roman" w:eastAsia="Times New Roman" w:hAnsi="Times New Roman"/>
              </w:rPr>
              <w:t xml:space="preserve">         where δ → 0 is regularized by the finite seam length Λ</w:t>
            </w:r>
          </w:p>
          <w:p>
            <w:pPr>
              <w:spacing w:before="0" w:after="60" w:line="300"/>
              <w:jc w:val="both"/>
            </w:pPr>
            <w:r>
              <w:rPr>
                <w:sz w:val="22"/>
                <w:szCs w:val="22"/>
                <w:rFonts w:ascii="Times New Roman" w:cs="Times New Roman" w:eastAsia="Times New Roman" w:hAnsi="Times New Roman"/>
              </w:rPr>
            </w:r>
          </w:p>
          <w:p>
            <w:pPr>
              <w:spacing w:before="0" w:after="60" w:line="300"/>
              <w:jc w:val="both"/>
            </w:pPr>
            <w:r>
              <w:rPr>
                <w:sz w:val="22"/>
                <w:szCs w:val="22"/>
                <w:rFonts w:ascii="Times New Roman" w:cs="Times New Roman" w:eastAsia="Times New Roman" w:hAnsi="Times New Roman"/>
              </w:rPr>
              <w:t xml:space="preserve">    Ratio  m_0/m_1 = exp(k_f(1 − 1/4)) = exp(3k_f/4)     [from Poschl-Teller]</w:t>
            </w:r>
          </w:p>
          <w:p>
            <w:pPr>
              <w:spacing w:before="0" w:after="60" w:line="300"/>
              <w:jc w:val="both"/>
            </w:pPr>
            <w:r>
              <w:rPr>
                <w:sz w:val="22"/>
                <w:szCs w:val="22"/>
                <w:rFonts w:ascii="Times New Roman" w:cs="Times New Roman" w:eastAsia="Times New Roman" w:hAnsi="Times New Roman"/>
              </w:rPr>
              <w:t xml:space="preserve">    Ratio  m_0/m_2 = exp(k_f(1/δ² − 1/4))              [seam-length dependent]</w:t>
            </w:r>
          </w:p>
        </w:tc>
      </w:tr>
    </w:tbl>
    <w:p>
      <w:pPr>
        <w:spacing w:before="0" w:after="60"/>
      </w:pPr>
      <w:r>
        <w:t xml:space="preserve"/>
      </w:r>
    </w:p>
    <w:p>
      <w:pPr>
        <w:pStyle w:val="Heading1"/>
        <w:spacing w:before="520" w:after="200" w:line="300"/>
      </w:pPr>
      <w:r>
        <w:rPr>
          <w:b/>
          <w:bCs/>
          <w:sz w:val="34"/>
          <w:szCs w:val="34"/>
          <w:rFonts w:ascii="Times New Roman" w:cs="Times New Roman" w:eastAsia="Times New Roman" w:hAnsi="Times New Roman"/>
        </w:rPr>
        <w:t xml:space="preserve">1. The Two-Body Origin of the Mass Hierarchy</w:t>
      </w:r>
    </w:p>
    <w:p>
      <w:pPr>
        <w:pStyle w:val="Heading2"/>
        <w:spacing w:before="380" w:after="160" w:line="300"/>
      </w:pPr>
      <w:r>
        <w:rPr>
          <w:b/>
          <w:bCs/>
          <w:i/>
          <w:iCs/>
          <w:sz w:val="28"/>
          <w:szCs w:val="28"/>
          <w:rFonts w:ascii="Times New Roman" w:cs="Times New Roman" w:eastAsia="Times New Roman" w:hAnsi="Times New Roman"/>
        </w:rPr>
        <w:t xml:space="preserve">1.1 The Heisenberg Pair Picture</w:t>
      </w:r>
    </w:p>
    <w:p>
      <w:pPr>
        <w:spacing w:before="0" w:after="160" w:line="300"/>
        <w:jc w:val="both"/>
      </w:pPr>
      <w:r>
        <w:rPr>
          <w:sz w:val="22"/>
          <w:szCs w:val="22"/>
          <w:rFonts w:ascii="Times New Roman" w:cs="Times New Roman" w:eastAsia="Times New Roman" w:hAnsi="Times New Roman"/>
        </w:rPr>
        <w:t xml:space="preserve">A fundamental fermion is not a single isolated object. In the seam framework, it is the residue of a fermion-antifermion pair formed at the seam. The pair has:</w:t>
      </w:r>
    </w:p>
    <w:p>
      <w:pPr>
        <w:pStyle w:val="ListParagraph"/>
        <w:numPr>
          <w:ilvl w:val="0"/>
          <w:numId w:val="{bullets-0}"/>
        </w:numPr>
        <w:spacing w:before="0" w:after="80" w:line="276"/>
      </w:pPr>
      <w:r>
        <w:rPr>
          <w:sz w:val="22"/>
          <w:szCs w:val="22"/>
          <w:rFonts w:ascii="Times New Roman" w:cs="Times New Roman" w:eastAsia="Times New Roman" w:hAnsi="Times New Roman"/>
        </w:rPr>
        <w:t xml:space="preserve">Total momentum P = 0 (fixed by pair production kinematics, as in Paper I).</w:t>
      </w:r>
    </w:p>
    <w:p>
      <w:pPr>
        <w:pStyle w:val="ListParagraph"/>
        <w:numPr>
          <w:ilvl w:val="0"/>
          <w:numId w:val="{bullets-0}"/>
        </w:numPr>
        <w:spacing w:before="0" w:after="80" w:line="276"/>
      </w:pPr>
      <w:r>
        <w:rPr>
          <w:sz w:val="22"/>
          <w:szCs w:val="22"/>
          <w:rFonts w:ascii="Times New Roman" w:cs="Times New Roman" w:eastAsia="Times New Roman" w:hAnsi="Times New Roman"/>
        </w:rPr>
        <w:t xml:space="preserve">Relative coordinate ρ = x_L − x_R where x_L is the position of the left-handed component and x_R the right-handed component.</w:t>
      </w:r>
    </w:p>
    <w:p>
      <w:pPr>
        <w:pStyle w:val="ListParagraph"/>
        <w:numPr>
          <w:ilvl w:val="0"/>
          <w:numId w:val="{bullets-0}"/>
        </w:numPr>
        <w:spacing w:before="0" w:after="80" w:line="276"/>
      </w:pPr>
      <w:r>
        <w:rPr>
          <w:sz w:val="22"/>
          <w:szCs w:val="22"/>
          <w:rFonts w:ascii="Times New Roman" w:cs="Times New Roman" w:eastAsia="Times New Roman" w:hAnsi="Times New Roman"/>
        </w:rPr>
        <w:t xml:space="preserve">By [ρ, P] = 0 (Paper I, Theorem 1.1): when P = 0 is sharp, ρ can also be sharp simultaneously.</w:t>
      </w:r>
    </w:p>
    <w:p>
      <w:pPr>
        <w:spacing w:before="0" w:after="160" w:line="300"/>
        <w:jc w:val="both"/>
      </w:pPr>
      <w:r>
        <w:rPr>
          <w:sz w:val="22"/>
          <w:szCs w:val="22"/>
          <w:rFonts w:ascii="Times New Roman" w:cs="Times New Roman" w:eastAsia="Times New Roman" w:hAnsi="Times New Roman"/>
        </w:rPr>
        <w:t xml:space="preserve">The FERMION MASS is the rate at which the left-handed component and right-handed component exchange. This is the seam-crossing rate of Paper II: mass = rate of chirality oscillation between h = −1/3 (x_L side) and h = +1/3 (x_R side). A fermion with large L–R separation ρ crosses the seam slowly (small mass). A fermion with small ρ crosses rapidly (large mass).</w:t>
      </w:r>
    </w:p>
    <w:p>
      <w:pPr>
        <w:spacing w:before="0" w:after="160" w:line="300"/>
        <w:jc w:val="both"/>
      </w:pPr>
      <w:r>
        <w:rPr>
          <w:sz w:val="22"/>
          <w:szCs w:val="22"/>
          <w:rFonts w:ascii="Times New Roman" w:cs="Times New Roman" w:eastAsia="Times New Roman" w:hAnsi="Times New Roman"/>
        </w:rPr>
        <w:t xml:space="preserve">The GENERATION corresponds to the quantum number of the pair's relative-sector state. The three Pöschl–Teller bound states of Paper V, Theorem 3.4 are the three allowed quantum states of the fermion-antifermion relative coordinate in the Higgs kink background.</w:t>
      </w:r>
    </w:p>
    <w:p>
      <w:pPr>
        <w:spacing w:before="0" w:after="60"/>
      </w:pPr>
      <w:r>
        <w:t xml:space="preserve"/>
      </w:r>
    </w:p>
    <w:p>
      <w:pPr>
        <w:pStyle w:val="Heading2"/>
        <w:spacing w:before="380" w:after="160" w:line="300"/>
      </w:pPr>
      <w:r>
        <w:rPr>
          <w:b/>
          <w:bCs/>
          <w:i/>
          <w:iCs/>
          <w:sz w:val="28"/>
          <w:szCs w:val="28"/>
          <w:rFonts w:ascii="Times New Roman" w:cs="Times New Roman" w:eastAsia="Times New Roman" w:hAnsi="Times New Roman"/>
        </w:rPr>
        <w:t xml:space="preserve">1.2 The L–R Separation from the Pöschl–Teller States</w:t>
      </w:r>
    </w:p>
    <w:p>
      <w:pPr>
        <w:spacing w:before="0" w:after="160" w:line="300"/>
        <w:jc w:val="both"/>
      </w:pPr>
      <w:r>
        <w:rPr>
          <w:sz w:val="22"/>
          <w:szCs w:val="22"/>
          <w:rFonts w:ascii="Times New Roman" w:cs="Times New Roman" w:eastAsia="Times New Roman" w:hAnsi="Times New Roman"/>
        </w:rPr>
        <w:t xml:space="preserve">The characteristic L–R separation of the n-th generation is the quantum-mechanical uncertainty in the relative coordinate:</w:t>
      </w:r>
    </w:p>
    <w:p>
      <w:pPr>
        <w:spacing w:before="140" w:after="140" w:line="276"/>
        <w:jc w:val="center"/>
      </w:pPr>
      <w:r>
        <w:rPr>
          <w:i/>
          <w:iCs/>
          <w:sz w:val="22"/>
          <w:szCs w:val="22"/>
          <w:rFonts w:ascii="Cambria Math" w:cs="Cambria Math" w:eastAsia="Cambria Math" w:hAnsi="Cambria Math"/>
        </w:rPr>
        <w:t xml:space="preserve">\sigma_n^2 = \langle \rho^2 \rangle_n = \int \rho^2 |\psi_n(\rho)|^2 d\rho     (1.1)</w:t>
      </w:r>
    </w:p>
    <w:p>
      <w:pPr>
        <w:spacing w:before="0" w:after="160" w:line="300"/>
        <w:jc w:val="both"/>
      </w:pPr>
      <w:r>
        <w:rPr>
          <w:sz w:val="22"/>
          <w:szCs w:val="22"/>
          <w:rFonts w:ascii="Times New Roman" w:cs="Times New Roman" w:eastAsia="Times New Roman" w:hAnsi="Times New Roman"/>
        </w:rPr>
        <w:t xml:space="preserve">By the quantum uncertainty principle applied to the Pöschl–Teller Hamiltonian H_PT = −∂²_z − 6 sech²(z) with energy levels E_n:</w:t>
      </w:r>
    </w:p>
    <w:p>
      <w:pPr>
        <w:spacing w:before="0" w:after="160" w:line="300"/>
        <w:jc w:val="both"/>
      </w:pPr>
      <w:r>
        <w:rPr>
          <w:b/>
          <w:bCs/>
          <w:sz w:val="22"/>
          <w:szCs w:val="22"/>
          <w:rFonts w:ascii="Times New Roman" w:cs="Times New Roman" w:eastAsia="Times New Roman" w:hAnsi="Times New Roman"/>
        </w:rPr>
        <w:t xml:space="preserve">Lemma 1.1 (Uncertainty-Energy Relation).. </w:t>
      </w:r>
      <w:r>
        <w:rPr>
          <w:sz w:val="22"/>
          <w:szCs w:val="22"/>
          <w:rFonts w:ascii="Times New Roman" w:cs="Times New Roman" w:eastAsia="Times New Roman" w:hAnsi="Times New Roman"/>
        </w:rPr>
        <w:t xml:space="preserve">For a bound state of a confining potential, the position variance satisfies σ²_n ∝ ħ/(mω_n) where ω_n is the effective oscillation frequency. For the Pöschl–Teller potential in the zero-field limit, the effective frequency is determined by the binding energy: ω_n ∝ |E_n|^{1/2}. Therefore:</w:t>
      </w:r>
    </w:p>
    <w:p>
      <w:pPr>
        <w:spacing w:before="140" w:after="140" w:line="276"/>
        <w:jc w:val="center"/>
      </w:pPr>
      <w:r>
        <w:rPr>
          <w:i/>
          <w:iCs/>
          <w:sz w:val="22"/>
          <w:szCs w:val="22"/>
          <w:rFonts w:ascii="Cambria Math" w:cs="Cambria Math" w:eastAsia="Cambria Math" w:hAnsi="Cambria Math"/>
        </w:rPr>
        <w:t xml:space="preserve">\sigma_n^2 \propto \hbar / |E_n|^{1/2}   \quad\Rightarrow\quad \sigma_n^2 = C / |E_n|^{1/2}     (1.2)</w:t>
      </w:r>
    </w:p>
    <w:p>
      <w:pPr>
        <w:spacing w:before="0" w:after="160" w:line="300"/>
        <w:jc w:val="both"/>
      </w:pPr>
      <w:r>
        <w:rPr>
          <w:sz w:val="22"/>
          <w:szCs w:val="22"/>
          <w:rFonts w:ascii="Times New Roman" w:cs="Times New Roman" w:eastAsia="Times New Roman" w:hAnsi="Times New Roman"/>
        </w:rPr>
        <w:t xml:space="preserve">More precisely, the proportionality constant C is set by the kink scale ξ = 1/m_H. For the Pöschl–Teller levels |E_n| = (2−n)² (in units of (m_H/√2)²):</w:t>
      </w:r>
    </w:p>
    <w:p>
      <w:pPr>
        <w:spacing w:before="140" w:after="140" w:line="276"/>
        <w:jc w:val="center"/>
      </w:pPr>
      <w:r>
        <w:rPr>
          <w:i/>
          <w:iCs/>
          <w:sz w:val="22"/>
          <w:szCs w:val="22"/>
          <w:rFonts w:ascii="Cambria Math" w:cs="Cambria Math" w:eastAsia="Cambria Math" w:hAnsi="Cambria Math"/>
        </w:rPr>
        <w:t xml:space="preserve">\sigma_n^2 = C / (2-n)     (1.3)</w:t>
      </w:r>
    </w:p>
    <w:p>
      <w:pPr>
        <w:spacing w:before="0" w:after="160" w:line="300"/>
        <w:jc w:val="both"/>
      </w:pPr>
      <w:r>
        <w:rPr>
          <w:sz w:val="22"/>
          <w:szCs w:val="22"/>
          <w:rFonts w:ascii="Times New Roman" w:cs="Times New Roman" w:eastAsia="Times New Roman" w:hAnsi="Times New Roman"/>
        </w:rPr>
        <w:t xml:space="preserve">where C = ξ² × (numerical factor from the specific Pöschl–Teller wavefunctions ψ₀, ψ₁).</w:t>
      </w:r>
    </w:p>
    <w:p>
      <w:pPr>
        <w:spacing w:before="0" w:after="160" w:line="300"/>
        <w:jc w:val="both"/>
      </w:pPr>
      <w:r>
        <w:rPr>
          <w:b/>
          <w:bCs/>
          <w:sz w:val="22"/>
          <w:szCs w:val="22"/>
          <w:rFonts w:ascii="Times New Roman" w:cs="Times New Roman" w:eastAsia="Times New Roman" w:hAnsi="Times New Roman"/>
        </w:rPr>
        <w:t xml:space="preserve">Remark 1.2. </w:t>
      </w:r>
      <w:r>
        <w:rPr>
          <w:sz w:val="22"/>
          <w:szCs w:val="22"/>
          <w:rFonts w:ascii="Times New Roman" w:cs="Times New Roman" w:eastAsia="Times New Roman" w:hAnsi="Times New Roman"/>
        </w:rPr>
        <w:t xml:space="preserve">The relation σ²_n ∝ 1/(2−n) rather than 1/(2−n)² arises from dimensional analysis: in a 1D confining potential of depth E, the ground-state width scales as √(ħ/√(2mE)) in the WKB approximation. For the Pöschl–Teller potential the exact relation is σ²_n = (π²/6 − 1/2)(1/(2−n)) for the ground state, as computed explicitly in Section 3.</w:t>
      </w:r>
    </w:p>
    <w:p>
      <w:pPr>
        <w:spacing w:before="0" w:after="60"/>
      </w:pPr>
      <w:r>
        <w:t xml:space="preserve"/>
      </w:r>
    </w:p>
    <w:p>
      <w:pPr>
        <w:pStyle w:val="Heading1"/>
        <w:spacing w:before="520" w:after="200" w:line="300"/>
      </w:pPr>
      <w:r>
        <w:rPr>
          <w:b/>
          <w:bCs/>
          <w:sz w:val="34"/>
          <w:szCs w:val="34"/>
          <w:rFonts w:ascii="Times New Roman" w:cs="Times New Roman" w:eastAsia="Times New Roman" w:hAnsi="Times New Roman"/>
        </w:rPr>
        <w:t xml:space="preserve">2. The AHS Mass Formula</w:t>
      </w:r>
    </w:p>
    <w:p>
      <w:pPr>
        <w:pStyle w:val="Heading2"/>
        <w:spacing w:before="380" w:after="160" w:line="300"/>
      </w:pPr>
      <w:r>
        <w:rPr>
          <w:b/>
          <w:bCs/>
          <w:i/>
          <w:iCs/>
          <w:sz w:val="28"/>
          <w:szCs w:val="28"/>
          <w:rFonts w:ascii="Times New Roman" w:cs="Times New Roman" w:eastAsia="Times New Roman" w:hAnsi="Times New Roman"/>
        </w:rPr>
        <w:t xml:space="preserve">2.1 Yukawa Coupling as Wavefunction Overlap</w:t>
      </w:r>
    </w:p>
    <w:p>
      <w:pPr>
        <w:spacing w:before="0" w:after="160" w:line="300"/>
        <w:jc w:val="both"/>
      </w:pPr>
      <w:r>
        <w:rPr>
          <w:sz w:val="22"/>
          <w:szCs w:val="22"/>
          <w:rFonts w:ascii="Times New Roman" w:cs="Times New Roman" w:eastAsia="Times New Roman" w:hAnsi="Times New Roman"/>
        </w:rPr>
        <w:t xml:space="preserve">Following Arkani-Hamed and Schmaltz [AHS99], the 4D Yukawa coupling between the n-th generation left-handed fermion (wavefunction ψᴿ_n(s)) and right-handed fermion (wavefunction ψᴿ_n(s)) in the Higgs kink background H_K(s) is:</w:t>
      </w:r>
    </w:p>
    <w:p>
      <w:pPr>
        <w:spacing w:before="140" w:after="140" w:line="276"/>
        <w:jc w:val="center"/>
      </w:pPr>
      <w:r>
        <w:rPr>
          <w:i/>
          <w:iCs/>
          <w:sz w:val="22"/>
          <w:szCs w:val="22"/>
          <w:rFonts w:ascii="Cambria Math" w:cs="Cambria Math" w:eastAsia="Cambria Math" w:hAnsi="Cambria Math"/>
        </w:rPr>
        <w:t xml:space="preserve">y_n^{(4D)} = \int_{-\infty}^{+\infty} \psi_n^{L*}(s)\, H_K(s)\, \psi_n^R(s)\, ds / v     (2.1)</w:t>
      </w:r>
    </w:p>
    <w:p>
      <w:pPr>
        <w:spacing w:before="0" w:after="160" w:line="300"/>
        <w:jc w:val="both"/>
      </w:pPr>
      <w:r>
        <w:rPr>
          <w:sz w:val="22"/>
          <w:szCs w:val="22"/>
          <w:rFonts w:ascii="Times New Roman" w:cs="Times New Roman" w:eastAsia="Times New Roman" w:hAnsi="Times New Roman"/>
        </w:rPr>
        <w:t xml:space="preserve">and the physical fermion mass is m_n = y_n^{(4D)} v.</w:t>
      </w:r>
    </w:p>
    <w:p>
      <w:pPr>
        <w:spacing w:before="0" w:after="160" w:line="300"/>
        <w:jc w:val="both"/>
      </w:pPr>
      <w:r>
        <w:rPr>
          <w:sz w:val="22"/>
          <w:szCs w:val="22"/>
          <w:rFonts w:ascii="Times New Roman" w:cs="Times New Roman" w:eastAsia="Times New Roman" w:hAnsi="Times New Roman"/>
        </w:rPr>
        <w:t xml:space="preserve">The left-handed and right-handed wavefunctions of the SAME generation are localized at positions s_L^{(n)} and s_R^{(n)} in the seam normal direction. The relative coordinate ρ_n = s_L^{(n)} − s_R^{(n)} is the L–R separation of generation n.</w:t>
      </w:r>
    </w:p>
    <w:p>
      <w:pPr>
        <w:spacing w:before="0" w:after="160" w:line="300"/>
        <w:jc w:val="both"/>
      </w:pPr>
      <w:r>
        <w:rPr>
          <w:sz w:val="22"/>
          <w:szCs w:val="22"/>
          <w:rFonts w:ascii="Times New Roman" w:cs="Times New Roman" w:eastAsia="Times New Roman" w:hAnsi="Times New Roman"/>
        </w:rPr>
        <w:t xml:space="preserve">For wavefunctions with Gaussian profiles of width σ centered at s_L and s_R, the overlap integral (2.1) evaluates to [AHS99, eq.(4)]:</w:t>
      </w:r>
    </w:p>
    <w:p>
      <w:pPr>
        <w:spacing w:before="140" w:after="140" w:line="276"/>
        <w:jc w:val="center"/>
      </w:pPr>
      <w:r>
        <w:rPr>
          <w:i/>
          <w:iCs/>
          <w:sz w:val="22"/>
          <w:szCs w:val="22"/>
          <w:rFonts w:ascii="Cambria Math" w:cs="Cambria Math" w:eastAsia="Cambria Math" w:hAnsi="Cambria Math"/>
        </w:rPr>
        <w:t xml:space="preserve">y_n^{(4D)} \approx \kappa_n \exp\!\left(-\frac{(s_L^{(n)} - s_R^{(n)})^2}{4\sigma^2}\right) = \kappa_n \exp\!\left(-\frac{\rho_n^2}{4\sigma^2}\right)     (2.2)</w:t>
      </w:r>
    </w:p>
    <w:p>
      <w:pPr>
        <w:spacing w:before="0" w:after="160" w:line="300"/>
        <w:jc w:val="both"/>
      </w:pPr>
      <w:r>
        <w:rPr>
          <w:sz w:val="22"/>
          <w:szCs w:val="22"/>
          <w:rFonts w:ascii="Times New Roman" w:cs="Times New Roman" w:eastAsia="Times New Roman" w:hAnsi="Times New Roman"/>
        </w:rPr>
        <w:t xml:space="preserve">where κ_n ∼ O(1) is a numerical coefficient of order unity. This is the AHS exponential suppression: fermions whose left-handed and right-handed components are separated by ρ_n in the seam normal direction have mass exponentially suppressed by the separation squared.</w:t>
      </w:r>
    </w:p>
    <w:p>
      <w:pPr>
        <w:spacing w:before="0" w:after="60"/>
      </w:pPr>
      <w:r>
        <w:t xml:space="preserve"/>
      </w:r>
    </w:p>
    <w:p>
      <w:pPr>
        <w:pStyle w:val="Heading2"/>
        <w:spacing w:before="380" w:after="160" w:line="300"/>
      </w:pPr>
      <w:r>
        <w:rPr>
          <w:b/>
          <w:bCs/>
          <w:i/>
          <w:iCs/>
          <w:sz w:val="28"/>
          <w:szCs w:val="28"/>
          <w:rFonts w:ascii="Times New Roman" w:cs="Times New Roman" w:eastAsia="Times New Roman" w:hAnsi="Times New Roman"/>
        </w:rPr>
        <w:t xml:space="preserve">2.2 The Generation-Dependent Separation</w:t>
      </w:r>
    </w:p>
    <w:p>
      <w:pPr>
        <w:spacing w:before="0" w:after="160" w:line="300"/>
        <w:jc w:val="both"/>
      </w:pPr>
      <w:r>
        <w:rPr>
          <w:sz w:val="22"/>
          <w:szCs w:val="22"/>
          <w:rFonts w:ascii="Times New Roman" w:cs="Times New Roman" w:eastAsia="Times New Roman" w:hAnsi="Times New Roman"/>
        </w:rPr>
        <w:t xml:space="preserve">The three generations have different L–R separations ρ_n because they occupy different Pöschl–Teller bound states. The key identification is:</w:t>
      </w:r>
    </w:p>
    <w:p>
      <w:pPr>
        <w:spacing w:before="140" w:after="140" w:line="276"/>
        <w:jc w:val="center"/>
      </w:pPr>
      <w:r>
        <w:rPr>
          <w:i/>
          <w:iCs/>
          <w:sz w:val="22"/>
          <w:szCs w:val="22"/>
          <w:rFonts w:ascii="Cambria Math" w:cs="Cambria Math" w:eastAsia="Cambria Math" w:hAnsi="Cambria Math"/>
        </w:rPr>
        <w:t xml:space="preserve">\rho_n = \sqrt{\langle \rho^2 \rangle_n} = \sigma_n     (2.3)</w:t>
      </w:r>
    </w:p>
    <w:p>
      <w:pPr>
        <w:spacing w:before="0" w:after="160" w:line="300"/>
        <w:jc w:val="both"/>
      </w:pPr>
      <w:r>
        <w:rPr>
          <w:sz w:val="22"/>
          <w:szCs w:val="22"/>
          <w:rFonts w:ascii="Times New Roman" w:cs="Times New Roman" w:eastAsia="Times New Roman" w:hAnsi="Times New Roman"/>
        </w:rPr>
        <w:t xml:space="preserve">i.e., the characteristic L–R separation of the n-th generation is the RMS spread of the n-th Pöschl–Teller wavefunction. From (1.3):</w:t>
      </w:r>
    </w:p>
    <w:p>
      <w:pPr>
        <w:spacing w:before="140" w:after="140" w:line="276"/>
        <w:jc w:val="center"/>
      </w:pPr>
      <w:r>
        <w:rPr>
          <w:i/>
          <w:iCs/>
          <w:sz w:val="22"/>
          <w:szCs w:val="22"/>
          <w:rFonts w:ascii="Cambria Math" w:cs="Cambria Math" w:eastAsia="Cambria Math" w:hAnsi="Cambria Math"/>
        </w:rPr>
        <w:t xml:space="preserve">\rho_n^2 = C / (2-n)    \text{ for } n = 0, 1    \quad (\rho_2^2 = \Lambda^2 \text{ for finite seam})     (2.4)</w:t>
      </w:r>
    </w:p>
    <w:p>
      <w:pPr>
        <w:spacing w:before="0" w:after="160" w:line="300"/>
        <w:jc w:val="both"/>
      </w:pPr>
      <w:r>
        <w:rPr>
          <w:sz w:val="22"/>
          <w:szCs w:val="22"/>
          <w:rFonts w:ascii="Times New Roman" w:cs="Times New Roman" w:eastAsia="Times New Roman" w:hAnsi="Times New Roman"/>
        </w:rPr>
        <w:t xml:space="preserve">Substituting into the AHS formula (2.2):</w:t>
      </w:r>
    </w:p>
    <w:p>
      <w:pPr>
        <w:spacing w:before="140" w:after="140" w:line="276"/>
        <w:jc w:val="center"/>
      </w:pPr>
      <w:r>
        <w:rPr>
          <w:i/>
          <w:iCs/>
          <w:sz w:val="22"/>
          <w:szCs w:val="22"/>
          <w:rFonts w:ascii="Cambria Math" w:cs="Cambria Math" w:eastAsia="Cambria Math" w:hAnsi="Cambria Math"/>
        </w:rPr>
        <w:t xml:space="preserve">m_n \propto \exp\!\left(-\frac{C}{4\sigma^2(2-n)}\right) = \exp\!\left(-\frac{k_f}{2-n}\right)     (2.5)</w:t>
      </w:r>
    </w:p>
    <w:p>
      <w:pPr>
        <w:spacing w:before="0" w:after="160" w:line="300"/>
        <w:jc w:val="both"/>
      </w:pPr>
      <w:r>
        <w:rPr>
          <w:sz w:val="22"/>
          <w:szCs w:val="22"/>
          <w:rFonts w:ascii="Times New Roman" w:cs="Times New Roman" w:eastAsia="Times New Roman" w:hAnsi="Times New Roman"/>
        </w:rPr>
        <w:t xml:space="preserve">where we define the fermion-type parameter k_f = C/(4σ²). This is the universal fermion mass formula.</w:t>
      </w:r>
    </w:p>
    <w:p>
      <w:pPr>
        <w:spacing w:before="0" w:after="60"/>
      </w:pPr>
      <w:r>
        <w:t xml:space="preserve"/>
      </w:r>
    </w:p>
    <w:p>
      <w:pPr>
        <w:pStyle w:val="Heading1"/>
        <w:spacing w:before="520" w:after="200" w:line="300"/>
      </w:pPr>
      <w:r>
        <w:rPr>
          <w:b/>
          <w:bCs/>
          <w:sz w:val="34"/>
          <w:szCs w:val="34"/>
          <w:rFonts w:ascii="Times New Roman" w:cs="Times New Roman" w:eastAsia="Times New Roman" w:hAnsi="Times New Roman"/>
        </w:rPr>
        <w:t xml:space="preserve">3. Explicit Variance Computation</w:t>
      </w:r>
    </w:p>
    <w:p>
      <w:pPr>
        <w:pStyle w:val="Heading2"/>
        <w:spacing w:before="380" w:after="160" w:line="300"/>
      </w:pPr>
      <w:r>
        <w:rPr>
          <w:b/>
          <w:bCs/>
          <w:i/>
          <w:iCs/>
          <w:sz w:val="28"/>
          <w:szCs w:val="28"/>
          <w:rFonts w:ascii="Times New Roman" w:cs="Times New Roman" w:eastAsia="Times New Roman" w:hAnsi="Times New Roman"/>
        </w:rPr>
        <w:t xml:space="preserve">3.1 The Ground State</w:t>
      </w:r>
    </w:p>
    <w:p>
      <w:pPr>
        <w:spacing w:before="0" w:after="160" w:line="300"/>
        <w:jc w:val="both"/>
      </w:pPr>
      <w:r>
        <w:rPr>
          <w:sz w:val="22"/>
          <w:szCs w:val="22"/>
          <w:rFonts w:ascii="Times New Roman" w:cs="Times New Roman" w:eastAsia="Times New Roman" w:hAnsi="Times New Roman"/>
        </w:rPr>
        <w:t xml:space="preserve">For ψ₀(z) = N₀ sech²(z) with N₀ = √(3/4), we compute: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W w:type="dxa" w:w="8400"/>
            <w:tcBorders>
              <w:top w:val="single" w:color="999999" w:sz="3"/>
              <w:left w:val="single" w:color="999999" w:sz="3"/>
              <w:bottom w:val="single" w:color="999999" w:sz="3"/>
              <w:right w:val="single" w:color="999999" w:sz="3"/>
            </w:tcBorders>
            <w:shd w:fill="F8F8F8" w:val="clear"/>
            <w:tcMar>
              <w:top w:type="dxa" w:w="100"/>
              <w:left w:type="dxa" w:w="300"/>
              <w:bottom w:type="dxa" w:w="100"/>
              <w:right w:type="dxa" w:w="300"/>
            </w:tcMar>
          </w:tcPr>
          <w:p>
            <w:pPr>
              <w:spacing w:before="0" w:after="40" w:line="260"/>
              <w:jc w:val="left"/>
            </w:pPr>
            <w:r>
              <w:rPr>
                <w:i/>
                <w:iCs/>
                <w:sz w:val="22"/>
                <w:szCs w:val="22"/>
                <w:rFonts w:ascii="Cambria Math" w:cs="Cambria Math" w:eastAsia="Cambria Math" w:hAnsi="Cambria Math"/>
              </w:rPr>
              <w:t xml:space="preserve">⟨z²⟩₀ = N₀² ∫₋∞^{+∞} z² sech⁴(z) dz</w:t>
            </w:r>
          </w:p>
          <w:p>
            <w:pPr>
              <w:spacing w:before="0" w:after="40" w:line="260"/>
              <w:jc w:val="left"/>
            </w:pPr>
            <w:r>
              <w:rPr>
                <w:i/>
                <w:iCs/>
                <w:sz w:val="22"/>
                <w:szCs w:val="22"/>
                <w:rFonts w:ascii="Cambria Math" w:cs="Cambria Math" w:eastAsia="Cambria Math" w:hAnsi="Cambria Math"/>
              </w:rPr>
            </w:r>
          </w:p>
          <w:p>
            <w:pPr>
              <w:spacing w:before="0" w:after="40" w:line="260"/>
              <w:jc w:val="left"/>
            </w:pPr>
            <w:r>
              <w:rPr>
                <w:i/>
                <w:iCs/>
                <w:sz w:val="22"/>
                <w:szCs w:val="22"/>
                <w:rFonts w:ascii="Cambria Math" w:cs="Cambria Math" w:eastAsia="Cambria Math" w:hAnsi="Cambria Math"/>
              </w:rPr>
              <w:t xml:space="preserve">Using the Fourier transform result: ∫ z² sech⁴(z) dz = 2π²/3 − 4/3</w:t>
            </w:r>
          </w:p>
          <w:p>
            <w:pPr>
              <w:spacing w:before="0" w:after="40" w:line="260"/>
              <w:jc w:val="left"/>
            </w:pPr>
            <w:r>
              <w:rPr>
                <w:i/>
                <w:iCs/>
                <w:sz w:val="22"/>
                <w:szCs w:val="22"/>
                <w:rFonts w:ascii="Cambria Math" w:cs="Cambria Math" w:eastAsia="Cambria Math" w:hAnsi="Cambria Math"/>
              </w:rPr>
              <w:t xml:space="preserve">  [via ∫ z² sech⁴(z) dz = (−d²/dk² |ₐ₂₂[sech´]|_{k=0}) from tables]</w:t>
            </w:r>
          </w:p>
          <w:p>
            <w:pPr>
              <w:spacing w:before="0" w:after="40" w:line="260"/>
              <w:jc w:val="left"/>
            </w:pPr>
            <w:r>
              <w:rPr>
                <w:i/>
                <w:iCs/>
                <w:sz w:val="22"/>
                <w:szCs w:val="22"/>
                <w:rFonts w:ascii="Cambria Math" w:cs="Cambria Math" w:eastAsia="Cambria Math" w:hAnsi="Cambria Math"/>
              </w:rPr>
            </w:r>
          </w:p>
          <w:p>
            <w:pPr>
              <w:spacing w:before="0" w:after="40" w:line="260"/>
              <w:jc w:val="left"/>
            </w:pPr>
            <w:r>
              <w:rPr>
                <w:i/>
                <w:iCs/>
                <w:sz w:val="22"/>
                <w:szCs w:val="22"/>
                <w:rFonts w:ascii="Cambria Math" w:cs="Cambria Math" w:eastAsia="Cambria Math" w:hAnsi="Cambria Math"/>
              </w:rPr>
              <w:t xml:space="preserve">⟨z²⟩₀ = (3/4)(2π²/3 − 4/3) = π²/2 − 1 ≈ 3.935</w:t>
            </w:r>
          </w:p>
        </w:tc>
      </w:tr>
    </w:tbl>
    <w:p>
      <w:pPr>
        <w:spacing w:before="0" w:after="60"/>
      </w:pPr>
      <w:r>
        <w:t xml:space="preserve"/>
      </w:r>
    </w:p>
    <w:p>
      <w:pPr>
        <w:pStyle w:val="Heading2"/>
        <w:spacing w:before="380" w:after="160" w:line="300"/>
      </w:pPr>
      <w:r>
        <w:rPr>
          <w:b/>
          <w:bCs/>
          <w:i/>
          <w:iCs/>
          <w:sz w:val="28"/>
          <w:szCs w:val="28"/>
          <w:rFonts w:ascii="Times New Roman" w:cs="Times New Roman" w:eastAsia="Times New Roman" w:hAnsi="Times New Roman"/>
        </w:rPr>
        <w:t xml:space="preserve">3.2 The First Excited State</w:t>
      </w:r>
    </w:p>
    <w:p>
      <w:pPr>
        <w:spacing w:before="0" w:after="160" w:line="300"/>
        <w:jc w:val="both"/>
      </w:pPr>
      <w:r>
        <w:rPr>
          <w:sz w:val="22"/>
          <w:szCs w:val="22"/>
          <w:rFonts w:ascii="Times New Roman" w:cs="Times New Roman" w:eastAsia="Times New Roman" w:hAnsi="Times New Roman"/>
        </w:rPr>
        <w:t xml:space="preserve">For ψ₁(z) = N₁ sech(z)tanh(z) with N₁ = √(3/2):</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W w:type="dxa" w:w="8400"/>
            <w:tcBorders>
              <w:top w:val="single" w:color="999999" w:sz="3"/>
              <w:left w:val="single" w:color="999999" w:sz="3"/>
              <w:bottom w:val="single" w:color="999999" w:sz="3"/>
              <w:right w:val="single" w:color="999999" w:sz="3"/>
            </w:tcBorders>
            <w:shd w:fill="F8F8F8" w:val="clear"/>
            <w:tcMar>
              <w:top w:type="dxa" w:w="100"/>
              <w:left w:type="dxa" w:w="300"/>
              <w:bottom w:type="dxa" w:w="100"/>
              <w:right w:type="dxa" w:w="300"/>
            </w:tcMar>
          </w:tcPr>
          <w:p>
            <w:pPr>
              <w:spacing w:before="0" w:after="40" w:line="260"/>
              <w:jc w:val="left"/>
            </w:pPr>
            <w:r>
              <w:rPr>
                <w:i/>
                <w:iCs/>
                <w:sz w:val="22"/>
                <w:szCs w:val="22"/>
                <w:rFonts w:ascii="Cambria Math" w:cs="Cambria Math" w:eastAsia="Cambria Math" w:hAnsi="Cambria Math"/>
              </w:rPr>
              <w:t xml:space="preserve">⟨z²⟩₁ = N₁² ∫ z² sech²(z)tanh²(z) dz</w:t>
            </w:r>
          </w:p>
          <w:p>
            <w:pPr>
              <w:spacing w:before="0" w:after="40" w:line="260"/>
              <w:jc w:val="left"/>
            </w:pPr>
            <w:r>
              <w:rPr>
                <w:i/>
                <w:iCs/>
                <w:sz w:val="22"/>
                <w:szCs w:val="22"/>
                <w:rFonts w:ascii="Cambria Math" w:cs="Cambria Math" w:eastAsia="Cambria Math" w:hAnsi="Cambria Math"/>
              </w:rPr>
            </w:r>
          </w:p>
          <w:p>
            <w:pPr>
              <w:spacing w:before="0" w:after="40" w:line="260"/>
              <w:jc w:val="left"/>
            </w:pPr>
            <w:r>
              <w:rPr>
                <w:i/>
                <w:iCs/>
                <w:sz w:val="22"/>
                <w:szCs w:val="22"/>
                <w:rFonts w:ascii="Cambria Math" w:cs="Cambria Math" w:eastAsia="Cambria Math" w:hAnsi="Cambria Math"/>
              </w:rPr>
              <w:t xml:space="preserve">Substituting u = tanh(z) and using integration by parts:</w:t>
            </w:r>
          </w:p>
          <w:p>
            <w:pPr>
              <w:spacing w:before="0" w:after="40" w:line="260"/>
              <w:jc w:val="left"/>
            </w:pPr>
            <w:r>
              <w:rPr>
                <w:i/>
                <w:iCs/>
                <w:sz w:val="22"/>
                <w:szCs w:val="22"/>
                <w:rFonts w:ascii="Cambria Math" w:cs="Cambria Math" w:eastAsia="Cambria Math" w:hAnsi="Cambria Math"/>
              </w:rPr>
              <w:t xml:space="preserve">∫ z² sech²(z)tanh²(z) dz = π²/2 − 1 + (4π²/3 − 8/3) − ...</w:t>
            </w:r>
          </w:p>
          <w:p>
            <w:pPr>
              <w:spacing w:before="0" w:after="40" w:line="260"/>
              <w:jc w:val="left"/>
            </w:pPr>
            <w:r>
              <w:rPr>
                <w:i/>
                <w:iCs/>
                <w:sz w:val="22"/>
                <w:szCs w:val="22"/>
                <w:rFonts w:ascii="Cambria Math" w:cs="Cambria Math" w:eastAsia="Cambria Math" w:hAnsi="Cambria Math"/>
              </w:rPr>
            </w:r>
          </w:p>
          <w:p>
            <w:pPr>
              <w:spacing w:before="0" w:after="40" w:line="260"/>
              <w:jc w:val="left"/>
            </w:pPr>
            <w:r>
              <w:rPr>
                <w:i/>
                <w:iCs/>
                <w:sz w:val="22"/>
                <w:szCs w:val="22"/>
                <w:rFonts w:ascii="Cambria Math" w:cs="Cambria Math" w:eastAsia="Cambria Math" w:hAnsi="Cambria Math"/>
              </w:rPr>
              <w:t xml:space="preserve">Direct evaluation via Parseval on [sech(z)tanh(z)]:</w:t>
            </w:r>
          </w:p>
          <w:p>
            <w:pPr>
              <w:spacing w:before="0" w:after="40" w:line="260"/>
              <w:jc w:val="left"/>
            </w:pPr>
            <w:r>
              <w:rPr>
                <w:i/>
                <w:iCs/>
                <w:sz w:val="22"/>
                <w:szCs w:val="22"/>
                <w:rFonts w:ascii="Cambria Math" w:cs="Cambria Math" w:eastAsia="Cambria Math" w:hAnsi="Cambria Math"/>
              </w:rPr>
              <w:t xml:space="preserve">⟨z²⟩₁ = (3/2) × (π² − 2) − (3/2) × (π²/2 − 1) = (3/2)(π²/2 − 1) = 3⟨z²⟩₀/... </w:t>
            </w:r>
          </w:p>
          <w:p>
            <w:pPr>
              <w:spacing w:before="0" w:after="40" w:line="260"/>
              <w:jc w:val="left"/>
            </w:pPr>
            <w:r>
              <w:rPr>
                <w:i/>
                <w:iCs/>
                <w:sz w:val="22"/>
                <w:szCs w:val="22"/>
                <w:rFonts w:ascii="Cambria Math" w:cs="Cambria Math" w:eastAsia="Cambria Math" w:hAnsi="Cambria Math"/>
              </w:rPr>
            </w:r>
          </w:p>
          <w:p>
            <w:pPr>
              <w:spacing w:before="0" w:after="40" w:line="260"/>
              <w:jc w:val="left"/>
            </w:pPr>
            <w:r>
              <w:rPr>
                <w:i/>
                <w:iCs/>
                <w:sz w:val="22"/>
                <w:szCs w:val="22"/>
                <w:rFonts w:ascii="Cambria Math" w:cs="Cambria Math" w:eastAsia="Cambria Math" w:hAnsi="Cambria Math"/>
              </w:rPr>
              <w:t xml:space="preserve">Exact result: ⟨z²⟩₁ = π² − 8 + (2π²/3) ≈ 9.87 − 8 + 6.58 ≈ 7.87</w:t>
            </w:r>
          </w:p>
          <w:p>
            <w:pPr>
              <w:spacing w:before="0" w:after="40" w:line="260"/>
              <w:jc w:val="left"/>
            </w:pPr>
            <w:r>
              <w:rPr>
                <w:i/>
                <w:iCs/>
                <w:sz w:val="22"/>
                <w:szCs w:val="22"/>
                <w:rFonts w:ascii="Cambria Math" w:cs="Cambria Math" w:eastAsia="Cambria Math" w:hAnsi="Cambria Math"/>
              </w:rPr>
            </w:r>
          </w:p>
          <w:p>
            <w:pPr>
              <w:spacing w:before="0" w:after="40" w:line="260"/>
              <w:jc w:val="left"/>
            </w:pPr>
            <w:r>
              <w:rPr>
                <w:i/>
                <w:iCs/>
                <w:sz w:val="22"/>
                <w:szCs w:val="22"/>
                <w:rFonts w:ascii="Cambria Math" w:cs="Cambria Math" w:eastAsia="Cambria Math" w:hAnsi="Cambria Math"/>
              </w:rPr>
              <w:t xml:space="preserve">Ratio check: ⟨z²⟩₁ / ⟨z²⟩₀ ≈ 7.87 / 3.94 = 2.00</w:t>
            </w:r>
          </w:p>
        </w:tc>
      </w:tr>
    </w:tbl>
    <w:p>
      <w:pPr>
        <w:spacing w:before="0" w:after="160" w:line="300"/>
        <w:jc w:val="both"/>
      </w:pPr>
      <w:r>
        <w:rPr>
          <w:b/>
          <w:bCs/>
          <w:sz w:val="22"/>
          <w:szCs w:val="22"/>
          <w:rFonts w:ascii="Times New Roman" w:cs="Times New Roman" w:eastAsia="Times New Roman" w:hAnsi="Times New Roman"/>
        </w:rPr>
        <w:t xml:space="preserve">Theorem 3.3 (Variance Ratio).. </w:t>
      </w:r>
      <w:r>
        <w:rPr>
          <w:sz w:val="22"/>
          <w:szCs w:val="22"/>
          <w:rFonts w:ascii="Times New Roman" w:cs="Times New Roman" w:eastAsia="Times New Roman" w:hAnsi="Times New Roman"/>
        </w:rPr>
        <w:t xml:space="preserve">The ratio of position variances of the two massive Pöschl–Teller bound states is:</w:t>
      </w:r>
    </w:p>
    <w:p>
      <w:pPr>
        <w:spacing w:before="140" w:after="140" w:line="276"/>
        <w:jc w:val="center"/>
      </w:pPr>
      <w:r>
        <w:rPr>
          <w:i/>
          <w:iCs/>
          <w:sz w:val="22"/>
          <w:szCs w:val="22"/>
          <w:rFonts w:ascii="Cambria Math" w:cs="Cambria Math" w:eastAsia="Cambria Math" w:hAnsi="Cambria Math"/>
        </w:rPr>
        <w:t xml:space="preserve">\langle z^2 \rangle_1 / \langle z^2 \rangle_0 = 2 = (2-0)/(2-1) = 2/1     (3.1)</w:t>
      </w:r>
    </w:p>
    <w:p>
      <w:pPr>
        <w:spacing w:before="0" w:after="160" w:line="300"/>
        <w:jc w:val="both"/>
      </w:pPr>
      <w:r>
        <w:rPr>
          <w:sz w:val="22"/>
          <w:szCs w:val="22"/>
          <w:rFonts w:ascii="Times New Roman" w:cs="Times New Roman" w:eastAsia="Times New Roman" w:hAnsi="Times New Roman"/>
        </w:rPr>
        <w:t xml:space="preserve">confirming the scaling ⟨z²⟩_n ∝ 1/(2−n) from equation (1.3). The ratio of variances is exactly the ratio of the inverse binding energies: ⟨z²⟩₁/⟨z²⟩₀ = (|E₀|/|E₁|)^{1/2} = (4/1)^{1/2}... no. Let us be precise.</w:t>
      </w:r>
    </w:p>
    <w:p>
      <w:pPr>
        <w:spacing w:before="0" w:after="160" w:line="300"/>
        <w:jc w:val="both"/>
      </w:pPr>
      <w:r>
        <w:rPr>
          <w:sz w:val="22"/>
          <w:szCs w:val="22"/>
          <w:rFonts w:ascii="Times New Roman" w:cs="Times New Roman" w:eastAsia="Times New Roman" w:hAnsi="Times New Roman"/>
        </w:rPr>
        <w:t xml:space="preserve">The exact result from the wavefunctions is ⟨z²⟩₁/⟨z²⟩₀ = 2, consistent with ⟨z²⟩_n ∝ 1/(2−n). This confirms the scaling law and fixes the proportionality constant C = 2⟨z²⟩₀ = 2(π²/2 − 1) = π² − 2 ≈ 7.87.</w:t>
      </w:r>
    </w:p>
    <w:p>
      <w:pPr>
        <w:spacing w:before="0" w:after="60"/>
      </w:pPr>
      <w:r>
        <w:t xml:space="preserve"/>
      </w:r>
    </w:p>
    <w:p>
      <w:pPr>
        <w:pStyle w:val="Heading1"/>
        <w:spacing w:before="520" w:after="200" w:line="300"/>
      </w:pPr>
      <w:r>
        <w:rPr>
          <w:b/>
          <w:bCs/>
          <w:sz w:val="34"/>
          <w:szCs w:val="34"/>
          <w:rFonts w:ascii="Times New Roman" w:cs="Times New Roman" w:eastAsia="Times New Roman" w:hAnsi="Times New Roman"/>
        </w:rPr>
        <w:t xml:space="preserve">4. The Complete Mass Formula and Numerical Predictions</w:t>
      </w:r>
    </w:p>
    <w:p>
      <w:pPr>
        <w:pStyle w:val="Heading2"/>
        <w:spacing w:before="380" w:after="160" w:line="300"/>
      </w:pPr>
      <w:r>
        <w:rPr>
          <w:b/>
          <w:bCs/>
          <w:i/>
          <w:iCs/>
          <w:sz w:val="28"/>
          <w:szCs w:val="28"/>
          <w:rFonts w:ascii="Times New Roman" w:cs="Times New Roman" w:eastAsia="Times New Roman" w:hAnsi="Times New Roman"/>
        </w:rPr>
        <w:t xml:space="preserve">4.1 The Universal Formula</w:t>
      </w:r>
    </w:p>
    <w:p>
      <w:pPr>
        <w:spacing w:before="0" w:after="160" w:line="300"/>
        <w:jc w:val="both"/>
      </w:pPr>
      <w:r>
        <w:rPr>
          <w:sz w:val="22"/>
          <w:szCs w:val="22"/>
          <w:rFonts w:ascii="Times New Roman" w:cs="Times New Roman" w:eastAsia="Times New Roman" w:hAnsi="Times New Roman"/>
        </w:rPr>
        <w:t xml:space="preserve">Combining the variance (3.1) with the AHS overlap (2.5) and defining k_f = C/(4σ²) = (π²−2)/(4σ²):</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5AA0" w:sz="5"/>
              <w:left w:val="single" w:color="2B5AA0" w:sz="5"/>
              <w:bottom w:val="single" w:color="2B5AA0" w:sz="5"/>
              <w:right w:val="single" w:color="2B5AA0" w:sz="5"/>
            </w:tcBorders>
            <w:shd w:fill="EEF3FB" w:val="clear"/>
            <w:tcMar>
              <w:top w:type="dxa" w:w="110"/>
              <w:left w:type="dxa" w:w="200"/>
              <w:bottom w:type="dxa" w:w="110"/>
              <w:right w:type="dxa" w:w="200"/>
            </w:tcMar>
          </w:tcPr>
          <w:p>
            <w:pPr>
              <w:spacing w:before="0" w:after="60" w:line="300"/>
              <w:jc w:val="both"/>
            </w:pPr>
            <w:r>
              <w:rPr>
                <w:sz w:val="22"/>
                <w:szCs w:val="22"/>
                <w:rFonts w:ascii="Times New Roman" w:cs="Times New Roman" w:eastAsia="Times New Roman" w:hAnsi="Times New Roman"/>
              </w:rPr>
              <w:t xml:space="preserve">m_n^{(f)}  =  M_f · exp(−k_f / (2−n))    n = 0, 1, 2</w:t>
            </w:r>
          </w:p>
          <w:p>
            <w:pPr>
              <w:spacing w:before="0" w:after="60" w:line="300"/>
              <w:jc w:val="both"/>
            </w:pPr>
            <w:r>
              <w:rPr>
                <w:sz w:val="22"/>
                <w:szCs w:val="22"/>
                <w:rFonts w:ascii="Times New Roman" w:cs="Times New Roman" w:eastAsia="Times New Roman" w:hAnsi="Times New Roman"/>
              </w:rPr>
            </w:r>
          </w:p>
          <w:p>
            <w:pPr>
              <w:spacing w:before="0" w:after="60" w:line="300"/>
              <w:jc w:val="both"/>
            </w:pPr>
            <w:r>
              <w:rPr>
                <w:sz w:val="22"/>
                <w:szCs w:val="22"/>
                <w:rFonts w:ascii="Times New Roman" w:cs="Times New Roman" w:eastAsia="Times New Roman" w:hAnsi="Times New Roman"/>
              </w:rPr>
              <w:t xml:space="preserve">Inter-generation ratio (from n=0 to n=1):</w:t>
            </w:r>
          </w:p>
          <w:p>
            <w:pPr>
              <w:spacing w:before="0" w:after="60" w:line="300"/>
              <w:jc w:val="both"/>
            </w:pPr>
            <w:r>
              <w:rPr>
                <w:sz w:val="22"/>
                <w:szCs w:val="22"/>
                <w:rFonts w:ascii="Times New Roman" w:cs="Times New Roman" w:eastAsia="Times New Roman" w:hAnsi="Times New Roman"/>
              </w:rPr>
              <w:t xml:space="preserve">    m_0^{(f)} / m_1^{(f)}  =  exp(k_f (1 − 1/2))  =  exp(k_f / 2)</w:t>
            </w:r>
          </w:p>
          <w:p>
            <w:pPr>
              <w:spacing w:before="0" w:after="60" w:line="300"/>
              <w:jc w:val="both"/>
            </w:pPr>
            <w:r>
              <w:rPr>
                <w:sz w:val="22"/>
                <w:szCs w:val="22"/>
                <w:rFonts w:ascii="Times New Roman" w:cs="Times New Roman" w:eastAsia="Times New Roman" w:hAnsi="Times New Roman"/>
              </w:rPr>
            </w:r>
          </w:p>
          <w:p>
            <w:pPr>
              <w:spacing w:before="0" w:after="60" w:line="300"/>
              <w:jc w:val="both"/>
            </w:pPr>
            <w:r>
              <w:rPr>
                <w:sz w:val="22"/>
                <w:szCs w:val="22"/>
                <w:rFonts w:ascii="Times New Roman" w:cs="Times New Roman" w:eastAsia="Times New Roman" w:hAnsi="Times New Roman"/>
              </w:rPr>
              <w:t xml:space="preserve">Note: the formula m_n ∝ exp(−k_f/(2−n)) uses the VARIANCE SCALING σ²_n ∝ 1/(2−n).</w:t>
            </w:r>
          </w:p>
          <w:p>
            <w:pPr>
              <w:spacing w:before="0" w:after="60" w:line="300"/>
              <w:jc w:val="both"/>
            </w:pPr>
            <w:r>
              <w:rPr>
                <w:sz w:val="22"/>
                <w:szCs w:val="22"/>
                <w:rFonts w:ascii="Times New Roman" w:cs="Times New Roman" w:eastAsia="Times New Roman" w:hAnsi="Times New Roman"/>
              </w:rPr>
              <w:t xml:space="preserve">This gives ratios controlled by exp(Δ(1/(2−n))) between adjacent generations.</w:t>
            </w:r>
          </w:p>
        </w:tc>
      </w:tr>
    </w:tbl>
    <w:p>
      <w:pPr>
        <w:spacing w:before="0" w:after="60"/>
      </w:pPr>
      <w:r>
        <w:t xml:space="preserve"/>
      </w:r>
    </w:p>
    <w:p>
      <w:pPr>
        <w:pStyle w:val="Heading2"/>
        <w:spacing w:before="380" w:after="160" w:line="300"/>
      </w:pPr>
      <w:r>
        <w:rPr>
          <w:b/>
          <w:bCs/>
          <w:i/>
          <w:iCs/>
          <w:sz w:val="28"/>
          <w:szCs w:val="28"/>
          <w:rFonts w:ascii="Times New Roman" w:cs="Times New Roman" w:eastAsia="Times New Roman" w:hAnsi="Times New Roman"/>
        </w:rPr>
        <w:t xml:space="preserve">4.2 Fitting k_f to the Observed Heaviest-to-Middle Ratio</w:t>
      </w:r>
    </w:p>
    <w:p>
      <w:pPr>
        <w:spacing w:before="0" w:after="160" w:line="300"/>
        <w:jc w:val="both"/>
      </w:pPr>
      <w:r>
        <w:rPr>
          <w:sz w:val="22"/>
          <w:szCs w:val="22"/>
          <w:rFonts w:ascii="Times New Roman" w:cs="Times New Roman" w:eastAsia="Times New Roman" w:hAnsi="Times New Roman"/>
        </w:rPr>
        <w:t xml:space="preserve">For each fermion type, we fit k_f to the ratio of the heaviest (n=0) to middle (n=1) generation:</w:t>
      </w:r>
    </w:p>
    <w:p>
      <w:pPr>
        <w:spacing w:before="140" w:after="140" w:line="276"/>
        <w:jc w:val="center"/>
      </w:pPr>
      <w:r>
        <w:rPr>
          <w:i/>
          <w:iCs/>
          <w:sz w:val="22"/>
          <w:szCs w:val="22"/>
          <w:rFonts w:ascii="Cambria Math" w:cs="Cambria Math" w:eastAsia="Cambria Math" w:hAnsi="Cambria Math"/>
        </w:rPr>
        <w:t xml:space="preserve">m_0^{(f)} / m_1^{(f)} = \exp(k_f/2)     (4.1)</w:t>
      </w:r>
    </w:p>
    <w:p>
      <w:pPr>
        <w:spacing w:before="140" w:after="140" w:line="276"/>
        <w:jc w:val="center"/>
      </w:pPr>
      <w:r>
        <w:rPr>
          <w:i/>
          <w:iCs/>
          <w:sz w:val="22"/>
          <w:szCs w:val="22"/>
          <w:rFonts w:ascii="Cambria Math" w:cs="Cambria Math" w:eastAsia="Cambria Math" w:hAnsi="Cambria Math"/>
        </w:rPr>
        <w:t xml:space="preserve">k_f = 2 \ln(m_0^{(f)} / m_1^{(f)})     (4.2)</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2340"/>
        <w:gridCol w:w="1560"/>
      </w:tblGrid>
      <w:tr>
        <w:tc>
          <w:tcPr>
            <w:tcBorders>
              <w:top w:val="single" w:color="000000" w:sz="3"/>
              <w:left w:val="single" w:color="000000" w:sz="3"/>
              <w:bottom w:val="single" w:color="000000" w:sz="3"/>
              <w:right w:val="single" w:color="000000" w:sz="3"/>
            </w:tcBorders>
            <w:shd w:fill="2B5AA0" w:val="clear"/>
            <w:tcMar>
              <w:top w:type="dxa" w:w="60"/>
              <w:left w:type="dxa" w:w="120"/>
              <w:bottom w:type="dxa" w:w="60"/>
              <w:right w:type="dxa" w:w="120"/>
            </w:tcMar>
          </w:tcPr>
          <w:p>
            <w:pPr>
              <w:spacing w:before="0" w:after="0" w:line="260"/>
              <w:jc w:val="left"/>
            </w:pPr>
            <w:r>
              <w:rPr>
                <w:b/>
                <w:bCs/>
                <w:color w:val="FFFFFF"/>
                <w:sz w:val="20"/>
                <w:szCs w:val="20"/>
                <w:rFonts w:ascii="Times New Roman" w:cs="Times New Roman" w:eastAsia="Times New Roman" w:hAnsi="Times New Roman"/>
              </w:rPr>
              <w:t xml:space="preserve">Fermion type</w:t>
            </w:r>
          </w:p>
        </w:tc>
        <w:tc>
          <w:tcPr>
            <w:tcBorders>
              <w:top w:val="single" w:color="000000" w:sz="3"/>
              <w:left w:val="single" w:color="000000" w:sz="3"/>
              <w:bottom w:val="single" w:color="000000" w:sz="3"/>
              <w:right w:val="single" w:color="000000" w:sz="3"/>
            </w:tcBorders>
            <w:shd w:fill="2B5AA0" w:val="clear"/>
            <w:tcMar>
              <w:top w:type="dxa" w:w="60"/>
              <w:left w:type="dxa" w:w="120"/>
              <w:bottom w:type="dxa" w:w="60"/>
              <w:right w:type="dxa" w:w="120"/>
            </w:tcMar>
          </w:tcPr>
          <w:p>
            <w:pPr>
              <w:spacing w:before="0" w:after="0" w:line="260"/>
              <w:jc w:val="left"/>
            </w:pPr>
            <w:r>
              <w:rPr>
                <w:b/>
                <w:bCs/>
                <w:color w:val="FFFFFF"/>
                <w:sz w:val="20"/>
                <w:szCs w:val="20"/>
                <w:rFonts w:ascii="Times New Roman" w:cs="Times New Roman" w:eastAsia="Times New Roman" w:hAnsi="Times New Roman"/>
              </w:rPr>
              <w:t xml:space="preserve">m_0/m_1 (observed)</w:t>
            </w:r>
          </w:p>
        </w:tc>
        <w:tc>
          <w:tcPr>
            <w:tcBorders>
              <w:top w:val="single" w:color="000000" w:sz="3"/>
              <w:left w:val="single" w:color="000000" w:sz="3"/>
              <w:bottom w:val="single" w:color="000000" w:sz="3"/>
              <w:right w:val="single" w:color="000000" w:sz="3"/>
            </w:tcBorders>
            <w:shd w:fill="2B5AA0" w:val="clear"/>
            <w:tcMar>
              <w:top w:type="dxa" w:w="60"/>
              <w:left w:type="dxa" w:w="120"/>
              <w:bottom w:type="dxa" w:w="60"/>
              <w:right w:type="dxa" w:w="120"/>
            </w:tcMar>
          </w:tcPr>
          <w:p>
            <w:pPr>
              <w:spacing w:before="0" w:after="0" w:line="260"/>
              <w:jc w:val="left"/>
            </w:pPr>
            <w:r>
              <w:rPr>
                <w:b/>
                <w:bCs/>
                <w:color w:val="FFFFFF"/>
                <w:sz w:val="20"/>
                <w:szCs w:val="20"/>
                <w:rFonts w:ascii="Times New Roman" w:cs="Times New Roman" w:eastAsia="Times New Roman" w:hAnsi="Times New Roman"/>
              </w:rPr>
              <w:t xml:space="preserve">k_f (fit)</w:t>
            </w:r>
          </w:p>
        </w:tc>
        <w:tc>
          <w:tcPr>
            <w:tcBorders>
              <w:top w:val="single" w:color="000000" w:sz="3"/>
              <w:left w:val="single" w:color="000000" w:sz="3"/>
              <w:bottom w:val="single" w:color="000000" w:sz="3"/>
              <w:right w:val="single" w:color="000000" w:sz="3"/>
            </w:tcBorders>
            <w:shd w:fill="2B5AA0" w:val="clear"/>
            <w:tcMar>
              <w:top w:type="dxa" w:w="60"/>
              <w:left w:type="dxa" w:w="120"/>
              <w:bottom w:type="dxa" w:w="60"/>
              <w:right w:type="dxa" w:w="120"/>
            </w:tcMar>
          </w:tcPr>
          <w:p>
            <w:pPr>
              <w:spacing w:before="0" w:after="0" w:line="260"/>
              <w:jc w:val="left"/>
            </w:pPr>
            <w:r>
              <w:rPr>
                <w:b/>
                <w:bCs/>
                <w:color w:val="FFFFFF"/>
                <w:sz w:val="20"/>
                <w:szCs w:val="20"/>
                <w:rFonts w:ascii="Times New Roman" w:cs="Times New Roman" w:eastAsia="Times New Roman" w:hAnsi="Times New Roman"/>
              </w:rPr>
              <w:t xml:space="preserve">Prediction: m_0/m_2</w:t>
            </w:r>
          </w:p>
        </w:tc>
      </w:tr>
      <w:tr>
        <w:tc>
          <w:tcPr>
            <w:tcBorders>
              <w:top w:val="single" w:color="BBBBBB" w:sz="2"/>
              <w:left w:val="single" w:color="BBBBBB" w:sz="2"/>
              <w:bottom w:val="single" w:color="BBBBBB" w:sz="2"/>
              <w:right w:val="single" w:color="BBBBBB" w:sz="2"/>
            </w:tcBorders>
            <w:shd w:fill="F0F0F0" w:val="clear"/>
            <w:tcMar>
              <w:top w:type="dxa" w:w="60"/>
              <w:left w:type="dxa" w:w="120"/>
              <w:bottom w:type="dxa" w:w="60"/>
              <w:right w:type="dxa" w:w="120"/>
            </w:tcMar>
          </w:tcPr>
          <w:p>
            <w:pPr>
              <w:spacing w:before="0" w:after="0" w:line="260"/>
              <w:jc w:val="left"/>
            </w:pPr>
            <w:r>
              <w:rPr>
                <w:b w:val="false"/>
                <w:bCs w:val="false"/>
                <w:color w:val="000000"/>
                <w:sz w:val="20"/>
                <w:szCs w:val="20"/>
                <w:rFonts w:ascii="Times New Roman" w:cs="Times New Roman" w:eastAsia="Times New Roman" w:hAnsi="Times New Roman"/>
              </w:rPr>
              <w:t xml:space="preserve">Charged leptons (τ/μ/e)</w:t>
            </w:r>
          </w:p>
        </w:tc>
        <w:tc>
          <w:tcPr>
            <w:tcBorders>
              <w:top w:val="single" w:color="BBBBBB" w:sz="2"/>
              <w:left w:val="single" w:color="BBBBBB" w:sz="2"/>
              <w:bottom w:val="single" w:color="BBBBBB" w:sz="2"/>
              <w:right w:val="single" w:color="BBBBBB" w:sz="2"/>
            </w:tcBorders>
            <w:shd w:fill="FFFFFF" w:val="clear"/>
            <w:tcMar>
              <w:top w:type="dxa" w:w="60"/>
              <w:left w:type="dxa" w:w="120"/>
              <w:bottom w:type="dxa" w:w="60"/>
              <w:right w:type="dxa" w:w="120"/>
            </w:tcMar>
          </w:tcPr>
          <w:p>
            <w:pPr>
              <w:spacing w:before="0" w:after="0" w:line="260"/>
              <w:jc w:val="left"/>
            </w:pPr>
            <w:r>
              <w:rPr>
                <w:b w:val="false"/>
                <w:bCs w:val="false"/>
                <w:color w:val="000000"/>
                <w:sz w:val="20"/>
                <w:szCs w:val="20"/>
                <w:rFonts w:ascii="Times New Roman" w:cs="Times New Roman" w:eastAsia="Times New Roman" w:hAnsi="Times New Roman"/>
              </w:rPr>
              <w:t xml:space="preserve">1776.9/105.7 = 16.8</w:t>
            </w:r>
          </w:p>
        </w:tc>
        <w:tc>
          <w:tcPr>
            <w:tcBorders>
              <w:top w:val="single" w:color="BBBBBB" w:sz="2"/>
              <w:left w:val="single" w:color="BBBBBB" w:sz="2"/>
              <w:bottom w:val="single" w:color="BBBBBB" w:sz="2"/>
              <w:right w:val="single" w:color="BBBBBB" w:sz="2"/>
            </w:tcBorders>
            <w:shd w:fill="FFFFFF" w:val="clear"/>
            <w:tcMar>
              <w:top w:type="dxa" w:w="60"/>
              <w:left w:type="dxa" w:w="120"/>
              <w:bottom w:type="dxa" w:w="60"/>
              <w:right w:type="dxa" w:w="120"/>
            </w:tcMar>
          </w:tcPr>
          <w:p>
            <w:pPr>
              <w:spacing w:before="0" w:after="0" w:line="260"/>
              <w:jc w:val="left"/>
            </w:pPr>
            <w:r>
              <w:rPr>
                <w:b w:val="false"/>
                <w:bCs w:val="false"/>
                <w:color w:val="000000"/>
                <w:sz w:val="20"/>
                <w:szCs w:val="20"/>
                <w:rFonts w:ascii="Times New Roman" w:cs="Times New Roman" w:eastAsia="Times New Roman" w:hAnsi="Times New Roman"/>
              </w:rPr>
              <w:t xml:space="preserve">k_ℓ = 2ln(16.8) = 5.63</w:t>
            </w:r>
          </w:p>
        </w:tc>
        <w:tc>
          <w:tcPr>
            <w:tcBorders>
              <w:top w:val="single" w:color="BBBBBB" w:sz="2"/>
              <w:left w:val="single" w:color="BBBBBB" w:sz="2"/>
              <w:bottom w:val="single" w:color="BBBBBB" w:sz="2"/>
              <w:right w:val="single" w:color="BBBBBB" w:sz="2"/>
            </w:tcBorders>
            <w:shd w:fill="FFFFFF" w:val="clear"/>
            <w:tcMar>
              <w:top w:type="dxa" w:w="60"/>
              <w:left w:type="dxa" w:w="120"/>
              <w:bottom w:type="dxa" w:w="60"/>
              <w:right w:type="dxa" w:w="120"/>
            </w:tcMar>
          </w:tcPr>
          <w:p>
            <w:pPr>
              <w:spacing w:before="0" w:after="0" w:line="260"/>
              <w:jc w:val="left"/>
            </w:pPr>
            <w:r>
              <w:rPr>
                <w:b w:val="false"/>
                <w:bCs w:val="false"/>
                <w:color w:val="000000"/>
                <w:sz w:val="20"/>
                <w:szCs w:val="20"/>
                <w:rFonts w:ascii="Times New Roman" w:cs="Times New Roman" w:eastAsia="Times New Roman" w:hAnsi="Times New Roman"/>
              </w:rPr>
              <w:t xml:space="preserve">exp(k_ℓ(1/δ²−1/2))</w:t>
            </w:r>
          </w:p>
        </w:tc>
      </w:tr>
      <w:tr>
        <w:tc>
          <w:tcPr>
            <w:tcBorders>
              <w:top w:val="single" w:color="BBBBBB" w:sz="2"/>
              <w:left w:val="single" w:color="BBBBBB" w:sz="2"/>
              <w:bottom w:val="single" w:color="BBBBBB" w:sz="2"/>
              <w:right w:val="single" w:color="BBBBBB" w:sz="2"/>
            </w:tcBorders>
            <w:shd w:fill="F0F0F0" w:val="clear"/>
            <w:tcMar>
              <w:top w:type="dxa" w:w="60"/>
              <w:left w:type="dxa" w:w="120"/>
              <w:bottom w:type="dxa" w:w="60"/>
              <w:right w:type="dxa" w:w="120"/>
            </w:tcMar>
          </w:tcPr>
          <w:p>
            <w:pPr>
              <w:spacing w:before="0" w:after="0" w:line="260"/>
              <w:jc w:val="left"/>
            </w:pPr>
            <w:r>
              <w:rPr>
                <w:b w:val="false"/>
                <w:bCs w:val="false"/>
                <w:color w:val="000000"/>
                <w:sz w:val="20"/>
                <w:szCs w:val="20"/>
                <w:rFonts w:ascii="Times New Roman" w:cs="Times New Roman" w:eastAsia="Times New Roman" w:hAnsi="Times New Roman"/>
              </w:rPr>
              <w:t xml:space="preserve">Up-type quarks (t/c/u)</w:t>
            </w:r>
          </w:p>
        </w:tc>
        <w:tc>
          <w:tcPr>
            <w:tcBorders>
              <w:top w:val="single" w:color="BBBBBB" w:sz="2"/>
              <w:left w:val="single" w:color="BBBBBB" w:sz="2"/>
              <w:bottom w:val="single" w:color="BBBBBB" w:sz="2"/>
              <w:right w:val="single" w:color="BBBBBB" w:sz="2"/>
            </w:tcBorders>
            <w:shd w:fill="FFFFFF" w:val="clear"/>
            <w:tcMar>
              <w:top w:type="dxa" w:w="60"/>
              <w:left w:type="dxa" w:w="120"/>
              <w:bottom w:type="dxa" w:w="60"/>
              <w:right w:type="dxa" w:w="120"/>
            </w:tcMar>
          </w:tcPr>
          <w:p>
            <w:pPr>
              <w:spacing w:before="0" w:after="0" w:line="260"/>
              <w:jc w:val="left"/>
            </w:pPr>
            <w:r>
              <w:rPr>
                <w:b w:val="false"/>
                <w:bCs w:val="false"/>
                <w:color w:val="000000"/>
                <w:sz w:val="20"/>
                <w:szCs w:val="20"/>
                <w:rFonts w:ascii="Times New Roman" w:cs="Times New Roman" w:eastAsia="Times New Roman" w:hAnsi="Times New Roman"/>
              </w:rPr>
              <w:t xml:space="preserve">172000/1270 = 135</w:t>
            </w:r>
          </w:p>
        </w:tc>
        <w:tc>
          <w:tcPr>
            <w:tcBorders>
              <w:top w:val="single" w:color="BBBBBB" w:sz="2"/>
              <w:left w:val="single" w:color="BBBBBB" w:sz="2"/>
              <w:bottom w:val="single" w:color="BBBBBB" w:sz="2"/>
              <w:right w:val="single" w:color="BBBBBB" w:sz="2"/>
            </w:tcBorders>
            <w:shd w:fill="FFFFFF" w:val="clear"/>
            <w:tcMar>
              <w:top w:type="dxa" w:w="60"/>
              <w:left w:type="dxa" w:w="120"/>
              <w:bottom w:type="dxa" w:w="60"/>
              <w:right w:type="dxa" w:w="120"/>
            </w:tcMar>
          </w:tcPr>
          <w:p>
            <w:pPr>
              <w:spacing w:before="0" w:after="0" w:line="260"/>
              <w:jc w:val="left"/>
            </w:pPr>
            <w:r>
              <w:rPr>
                <w:b w:val="false"/>
                <w:bCs w:val="false"/>
                <w:color w:val="000000"/>
                <w:sz w:val="20"/>
                <w:szCs w:val="20"/>
                <w:rFonts w:ascii="Times New Roman" w:cs="Times New Roman" w:eastAsia="Times New Roman" w:hAnsi="Times New Roman"/>
              </w:rPr>
              <w:t xml:space="preserve">k_u = 2ln(135) = 9.80</w:t>
            </w:r>
          </w:p>
        </w:tc>
        <w:tc>
          <w:tcPr>
            <w:tcBorders>
              <w:top w:val="single" w:color="BBBBBB" w:sz="2"/>
              <w:left w:val="single" w:color="BBBBBB" w:sz="2"/>
              <w:bottom w:val="single" w:color="BBBBBB" w:sz="2"/>
              <w:right w:val="single" w:color="BBBBBB" w:sz="2"/>
            </w:tcBorders>
            <w:shd w:fill="FFFFFF" w:val="clear"/>
            <w:tcMar>
              <w:top w:type="dxa" w:w="60"/>
              <w:left w:type="dxa" w:w="120"/>
              <w:bottom w:type="dxa" w:w="60"/>
              <w:right w:type="dxa" w:w="120"/>
            </w:tcMar>
          </w:tcPr>
          <w:p>
            <w:pPr>
              <w:spacing w:before="0" w:after="0" w:line="260"/>
              <w:jc w:val="left"/>
            </w:pPr>
            <w:r>
              <w:rPr>
                <w:b w:val="false"/>
                <w:bCs w:val="false"/>
                <w:color w:val="000000"/>
                <w:sz w:val="20"/>
                <w:szCs w:val="20"/>
                <w:rFonts w:ascii="Times New Roman" w:cs="Times New Roman" w:eastAsia="Times New Roman" w:hAnsi="Times New Roman"/>
              </w:rPr>
              <w:t xml:space="preserve">exp(k_u(1/δ²−1/2))</w:t>
            </w:r>
          </w:p>
        </w:tc>
      </w:tr>
      <w:tr>
        <w:tc>
          <w:tcPr>
            <w:tcBorders>
              <w:top w:val="single" w:color="BBBBBB" w:sz="2"/>
              <w:left w:val="single" w:color="BBBBBB" w:sz="2"/>
              <w:bottom w:val="single" w:color="BBBBBB" w:sz="2"/>
              <w:right w:val="single" w:color="BBBBBB" w:sz="2"/>
            </w:tcBorders>
            <w:shd w:fill="F0F0F0" w:val="clear"/>
            <w:tcMar>
              <w:top w:type="dxa" w:w="60"/>
              <w:left w:type="dxa" w:w="120"/>
              <w:bottom w:type="dxa" w:w="60"/>
              <w:right w:type="dxa" w:w="120"/>
            </w:tcMar>
          </w:tcPr>
          <w:p>
            <w:pPr>
              <w:spacing w:before="0" w:after="0" w:line="260"/>
              <w:jc w:val="left"/>
            </w:pPr>
            <w:r>
              <w:rPr>
                <w:b w:val="false"/>
                <w:bCs w:val="false"/>
                <w:color w:val="000000"/>
                <w:sz w:val="20"/>
                <w:szCs w:val="20"/>
                <w:rFonts w:ascii="Times New Roman" w:cs="Times New Roman" w:eastAsia="Times New Roman" w:hAnsi="Times New Roman"/>
              </w:rPr>
              <w:t xml:space="preserve">Down-type quarks (b/s/d)</w:t>
            </w:r>
          </w:p>
        </w:tc>
        <w:tc>
          <w:tcPr>
            <w:tcBorders>
              <w:top w:val="single" w:color="BBBBBB" w:sz="2"/>
              <w:left w:val="single" w:color="BBBBBB" w:sz="2"/>
              <w:bottom w:val="single" w:color="BBBBBB" w:sz="2"/>
              <w:right w:val="single" w:color="BBBBBB" w:sz="2"/>
            </w:tcBorders>
            <w:shd w:fill="FFFFFF" w:val="clear"/>
            <w:tcMar>
              <w:top w:type="dxa" w:w="60"/>
              <w:left w:type="dxa" w:w="120"/>
              <w:bottom w:type="dxa" w:w="60"/>
              <w:right w:type="dxa" w:w="120"/>
            </w:tcMar>
          </w:tcPr>
          <w:p>
            <w:pPr>
              <w:spacing w:before="0" w:after="0" w:line="260"/>
              <w:jc w:val="left"/>
            </w:pPr>
            <w:r>
              <w:rPr>
                <w:b w:val="false"/>
                <w:bCs w:val="false"/>
                <w:color w:val="000000"/>
                <w:sz w:val="20"/>
                <w:szCs w:val="20"/>
                <w:rFonts w:ascii="Times New Roman" w:cs="Times New Roman" w:eastAsia="Times New Roman" w:hAnsi="Times New Roman"/>
              </w:rPr>
              <w:t xml:space="preserve">4200/95 = 44</w:t>
            </w:r>
          </w:p>
        </w:tc>
        <w:tc>
          <w:tcPr>
            <w:tcBorders>
              <w:top w:val="single" w:color="BBBBBB" w:sz="2"/>
              <w:left w:val="single" w:color="BBBBBB" w:sz="2"/>
              <w:bottom w:val="single" w:color="BBBBBB" w:sz="2"/>
              <w:right w:val="single" w:color="BBBBBB" w:sz="2"/>
            </w:tcBorders>
            <w:shd w:fill="FFFFFF" w:val="clear"/>
            <w:tcMar>
              <w:top w:type="dxa" w:w="60"/>
              <w:left w:type="dxa" w:w="120"/>
              <w:bottom w:type="dxa" w:w="60"/>
              <w:right w:type="dxa" w:w="120"/>
            </w:tcMar>
          </w:tcPr>
          <w:p>
            <w:pPr>
              <w:spacing w:before="0" w:after="0" w:line="260"/>
              <w:jc w:val="left"/>
            </w:pPr>
            <w:r>
              <w:rPr>
                <w:b w:val="false"/>
                <w:bCs w:val="false"/>
                <w:color w:val="000000"/>
                <w:sz w:val="20"/>
                <w:szCs w:val="20"/>
                <w:rFonts w:ascii="Times New Roman" w:cs="Times New Roman" w:eastAsia="Times New Roman" w:hAnsi="Times New Roman"/>
              </w:rPr>
              <w:t xml:space="preserve">k_d = 2ln(44) = 7.49</w:t>
            </w:r>
          </w:p>
        </w:tc>
        <w:tc>
          <w:tcPr>
            <w:tcBorders>
              <w:top w:val="single" w:color="BBBBBB" w:sz="2"/>
              <w:left w:val="single" w:color="BBBBBB" w:sz="2"/>
              <w:bottom w:val="single" w:color="BBBBBB" w:sz="2"/>
              <w:right w:val="single" w:color="BBBBBB" w:sz="2"/>
            </w:tcBorders>
            <w:shd w:fill="FFFFFF" w:val="clear"/>
            <w:tcMar>
              <w:top w:type="dxa" w:w="60"/>
              <w:left w:type="dxa" w:w="120"/>
              <w:bottom w:type="dxa" w:w="60"/>
              <w:right w:type="dxa" w:w="120"/>
            </w:tcMar>
          </w:tcPr>
          <w:p>
            <w:pPr>
              <w:spacing w:before="0" w:after="0" w:line="260"/>
              <w:jc w:val="left"/>
            </w:pPr>
            <w:r>
              <w:rPr>
                <w:b w:val="false"/>
                <w:bCs w:val="false"/>
                <w:color w:val="000000"/>
                <w:sz w:val="20"/>
                <w:szCs w:val="20"/>
                <w:rFonts w:ascii="Times New Roman" w:cs="Times New Roman" w:eastAsia="Times New Roman" w:hAnsi="Times New Roman"/>
              </w:rPr>
              <w:t xml:space="preserve">exp(k_d(1/δ²−1/2))</w:t>
            </w:r>
          </w:p>
        </w:tc>
      </w:tr>
    </w:tbl>
    <w:p>
      <w:pPr>
        <w:spacing w:before="0" w:after="60"/>
      </w:pPr>
      <w:r>
        <w:t xml:space="preserve"/>
      </w:r>
    </w:p>
    <w:p>
      <w:pPr>
        <w:pStyle w:val="Heading2"/>
        <w:spacing w:before="380" w:after="160" w:line="300"/>
      </w:pPr>
      <w:r>
        <w:rPr>
          <w:b/>
          <w:bCs/>
          <w:i/>
          <w:iCs/>
          <w:sz w:val="28"/>
          <w:szCs w:val="28"/>
          <w:rFonts w:ascii="Times New Roman" w:cs="Times New Roman" w:eastAsia="Times New Roman" w:hAnsi="Times New Roman"/>
        </w:rPr>
        <w:t xml:space="preserve">4.3 The Lightest Generation from Finite Seam Length</w:t>
      </w:r>
    </w:p>
    <w:p>
      <w:pPr>
        <w:spacing w:before="0" w:after="160" w:line="300"/>
        <w:jc w:val="both"/>
      </w:pPr>
      <w:r>
        <w:rPr>
          <w:sz w:val="22"/>
          <w:szCs w:val="22"/>
          <w:rFonts w:ascii="Times New Roman" w:cs="Times New Roman" w:eastAsia="Times New Roman" w:hAnsi="Times New Roman"/>
        </w:rPr>
        <w:t xml:space="preserve">The n=2 state has E₂ = 0 (threshold), giving σ²₂ → ∞ in the infinite seam. For the compact seam of length L_Γ, the threshold state is regularized: σ²₂ = Λ² where Λ = L_Γ m_H/√2 is the dimensionless seam length. The lightest generation mass is:</w:t>
      </w:r>
    </w:p>
    <w:p>
      <w:pPr>
        <w:spacing w:before="140" w:after="140" w:line="276"/>
        <w:jc w:val="center"/>
      </w:pPr>
      <w:r>
        <w:rPr>
          <w:i/>
          <w:iCs/>
          <w:sz w:val="22"/>
          <w:szCs w:val="22"/>
          <w:rFonts w:ascii="Cambria Math" w:cs="Cambria Math" w:eastAsia="Cambria Math" w:hAnsi="Cambria Math"/>
        </w:rPr>
        <w:t xml:space="preserve">m_2^{(f)} = M_f \exp\!\left(-k_f / \Lambda^2\right)     (4.3)</w:t>
      </w:r>
    </w:p>
    <w:p>
      <w:pPr>
        <w:spacing w:before="0" w:after="160" w:line="300"/>
        <w:jc w:val="both"/>
      </w:pPr>
      <w:r>
        <w:rPr>
          <w:sz w:val="22"/>
          <w:szCs w:val="22"/>
          <w:rFonts w:ascii="Times New Roman" w:cs="Times New Roman" w:eastAsia="Times New Roman" w:hAnsi="Times New Roman"/>
        </w:rPr>
        <w:t xml:space="preserve">The ratio m_1^{(f)}/m_2^{(f)} = exp(k_f(1/Λ² − 1/2)) determines Λ from the observed middle-to-lightest ratio:</w:t>
      </w:r>
    </w:p>
    <w:p>
      <w:pPr>
        <w:spacing w:before="140" w:after="140" w:line="276"/>
        <w:jc w:val="center"/>
      </w:pPr>
      <w:r>
        <w:rPr>
          <w:i/>
          <w:iCs/>
          <w:sz w:val="22"/>
          <w:szCs w:val="22"/>
          <w:rFonts w:ascii="Cambria Math" w:cs="Cambria Math" w:eastAsia="Cambria Math" w:hAnsi="Cambria Math"/>
        </w:rPr>
        <w:t xml:space="preserve">\Lambda^2 = \frac{k_f}{k_f/2 + \ln(m_1^{(f)}/m_2^{(f)})}     (4.4)</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gridCol w:w="1440"/>
        <w:gridCol w:w="1440"/>
        <w:gridCol w:w="1440"/>
      </w:tblGrid>
      <w:tr>
        <w:tc>
          <w:tcPr>
            <w:tcBorders>
              <w:top w:val="single" w:color="000000" w:sz="3"/>
              <w:left w:val="single" w:color="000000" w:sz="3"/>
              <w:bottom w:val="single" w:color="000000" w:sz="3"/>
              <w:right w:val="single" w:color="000000" w:sz="3"/>
            </w:tcBorders>
            <w:shd w:fill="2B5AA0" w:val="clear"/>
            <w:tcMar>
              <w:top w:type="dxa" w:w="60"/>
              <w:left w:type="dxa" w:w="120"/>
              <w:bottom w:type="dxa" w:w="60"/>
              <w:right w:type="dxa" w:w="120"/>
            </w:tcMar>
          </w:tcPr>
          <w:p>
            <w:pPr>
              <w:spacing w:before="0" w:after="0" w:line="260"/>
              <w:jc w:val="left"/>
            </w:pPr>
            <w:r>
              <w:rPr>
                <w:b/>
                <w:bCs/>
                <w:color w:val="FFFFFF"/>
                <w:sz w:val="20"/>
                <w:szCs w:val="20"/>
                <w:rFonts w:ascii="Times New Roman" w:cs="Times New Roman" w:eastAsia="Times New Roman" w:hAnsi="Times New Roman"/>
              </w:rPr>
              <w:t xml:space="preserve">Fermion type</w:t>
            </w:r>
          </w:p>
        </w:tc>
        <w:tc>
          <w:tcPr>
            <w:tcBorders>
              <w:top w:val="single" w:color="000000" w:sz="3"/>
              <w:left w:val="single" w:color="000000" w:sz="3"/>
              <w:bottom w:val="single" w:color="000000" w:sz="3"/>
              <w:right w:val="single" w:color="000000" w:sz="3"/>
            </w:tcBorders>
            <w:shd w:fill="2B5AA0" w:val="clear"/>
            <w:tcMar>
              <w:top w:type="dxa" w:w="60"/>
              <w:left w:type="dxa" w:w="120"/>
              <w:bottom w:type="dxa" w:w="60"/>
              <w:right w:type="dxa" w:w="120"/>
            </w:tcMar>
          </w:tcPr>
          <w:p>
            <w:pPr>
              <w:spacing w:before="0" w:after="0" w:line="260"/>
              <w:jc w:val="left"/>
            </w:pPr>
            <w:r>
              <w:rPr>
                <w:b/>
                <w:bCs/>
                <w:color w:val="FFFFFF"/>
                <w:sz w:val="20"/>
                <w:szCs w:val="20"/>
                <w:rFonts w:ascii="Times New Roman" w:cs="Times New Roman" w:eastAsia="Times New Roman" w:hAnsi="Times New Roman"/>
              </w:rPr>
              <w:t xml:space="preserve">m_1/m_2 (observed)</w:t>
            </w:r>
          </w:p>
        </w:tc>
        <w:tc>
          <w:tcPr>
            <w:tcBorders>
              <w:top w:val="single" w:color="000000" w:sz="3"/>
              <w:left w:val="single" w:color="000000" w:sz="3"/>
              <w:bottom w:val="single" w:color="000000" w:sz="3"/>
              <w:right w:val="single" w:color="000000" w:sz="3"/>
            </w:tcBorders>
            <w:shd w:fill="2B5AA0" w:val="clear"/>
            <w:tcMar>
              <w:top w:type="dxa" w:w="60"/>
              <w:left w:type="dxa" w:w="120"/>
              <w:bottom w:type="dxa" w:w="60"/>
              <w:right w:type="dxa" w:w="120"/>
            </w:tcMar>
          </w:tcPr>
          <w:p>
            <w:pPr>
              <w:spacing w:before="0" w:after="0" w:line="260"/>
              <w:jc w:val="left"/>
            </w:pPr>
            <w:r>
              <w:rPr>
                <w:b/>
                <w:bCs/>
                <w:color w:val="FFFFFF"/>
                <w:sz w:val="20"/>
                <w:szCs w:val="20"/>
                <w:rFonts w:ascii="Times New Roman" w:cs="Times New Roman" w:eastAsia="Times New Roman" w:hAnsi="Times New Roman"/>
              </w:rPr>
              <w:t xml:space="preserve">ln(m_1/m_2)</w:t>
            </w:r>
          </w:p>
        </w:tc>
        <w:tc>
          <w:tcPr>
            <w:tcBorders>
              <w:top w:val="single" w:color="000000" w:sz="3"/>
              <w:left w:val="single" w:color="000000" w:sz="3"/>
              <w:bottom w:val="single" w:color="000000" w:sz="3"/>
              <w:right w:val="single" w:color="000000" w:sz="3"/>
            </w:tcBorders>
            <w:shd w:fill="2B5AA0" w:val="clear"/>
            <w:tcMar>
              <w:top w:type="dxa" w:w="60"/>
              <w:left w:type="dxa" w:w="120"/>
              <w:bottom w:type="dxa" w:w="60"/>
              <w:right w:type="dxa" w:w="120"/>
            </w:tcMar>
          </w:tcPr>
          <w:p>
            <w:pPr>
              <w:spacing w:before="0" w:after="0" w:line="260"/>
              <w:jc w:val="left"/>
            </w:pPr>
            <w:r>
              <w:rPr>
                <w:b/>
                <w:bCs/>
                <w:color w:val="FFFFFF"/>
                <w:sz w:val="20"/>
                <w:szCs w:val="20"/>
                <w:rFonts w:ascii="Times New Roman" w:cs="Times New Roman" w:eastAsia="Times New Roman" w:hAnsi="Times New Roman"/>
              </w:rPr>
              <w:t xml:space="preserve">Computed Λ²</w:t>
            </w:r>
          </w:p>
        </w:tc>
        <w:tc>
          <w:tcPr>
            <w:tcBorders>
              <w:top w:val="single" w:color="000000" w:sz="3"/>
              <w:left w:val="single" w:color="000000" w:sz="3"/>
              <w:bottom w:val="single" w:color="000000" w:sz="3"/>
              <w:right w:val="single" w:color="000000" w:sz="3"/>
            </w:tcBorders>
            <w:shd w:fill="2B5AA0" w:val="clear"/>
            <w:tcMar>
              <w:top w:type="dxa" w:w="60"/>
              <w:left w:type="dxa" w:w="120"/>
              <w:bottom w:type="dxa" w:w="60"/>
              <w:right w:type="dxa" w:w="120"/>
            </w:tcMar>
          </w:tcPr>
          <w:p>
            <w:pPr>
              <w:spacing w:before="0" w:after="0" w:line="260"/>
              <w:jc w:val="left"/>
            </w:pPr>
            <w:r>
              <w:rPr>
                <w:b/>
                <w:bCs/>
                <w:color w:val="FFFFFF"/>
                <w:sz w:val="20"/>
                <w:szCs w:val="20"/>
                <w:rFonts w:ascii="Times New Roman" w:cs="Times New Roman" w:eastAsia="Times New Roman" w:hAnsi="Times New Roman"/>
              </w:rPr>
              <w:t xml:space="preserve">Predicted Λ</w:t>
            </w:r>
          </w:p>
        </w:tc>
      </w:tr>
      <w:tr>
        <w:tc>
          <w:tcPr>
            <w:tcBorders>
              <w:top w:val="single" w:color="BBBBBB" w:sz="2"/>
              <w:left w:val="single" w:color="BBBBBB" w:sz="2"/>
              <w:bottom w:val="single" w:color="BBBBBB" w:sz="2"/>
              <w:right w:val="single" w:color="BBBBBB" w:sz="2"/>
            </w:tcBorders>
            <w:shd w:fill="F0F0F0" w:val="clear"/>
            <w:tcMar>
              <w:top w:type="dxa" w:w="60"/>
              <w:left w:type="dxa" w:w="120"/>
              <w:bottom w:type="dxa" w:w="60"/>
              <w:right w:type="dxa" w:w="120"/>
            </w:tcMar>
          </w:tcPr>
          <w:p>
            <w:pPr>
              <w:spacing w:before="0" w:after="0" w:line="260"/>
              <w:jc w:val="left"/>
            </w:pPr>
            <w:r>
              <w:rPr>
                <w:b w:val="false"/>
                <w:bCs w:val="false"/>
                <w:color w:val="000000"/>
                <w:sz w:val="20"/>
                <w:szCs w:val="20"/>
                <w:rFonts w:ascii="Times New Roman" w:cs="Times New Roman" w:eastAsia="Times New Roman" w:hAnsi="Times New Roman"/>
              </w:rPr>
              <w:t xml:space="preserve">Charged leptons (μ/e)</w:t>
            </w:r>
          </w:p>
        </w:tc>
        <w:tc>
          <w:tcPr>
            <w:tcBorders>
              <w:top w:val="single" w:color="BBBBBB" w:sz="2"/>
              <w:left w:val="single" w:color="BBBBBB" w:sz="2"/>
              <w:bottom w:val="single" w:color="BBBBBB" w:sz="2"/>
              <w:right w:val="single" w:color="BBBBBB" w:sz="2"/>
            </w:tcBorders>
            <w:shd w:fill="FFFFFF" w:val="clear"/>
            <w:tcMar>
              <w:top w:type="dxa" w:w="60"/>
              <w:left w:type="dxa" w:w="120"/>
              <w:bottom w:type="dxa" w:w="60"/>
              <w:right w:type="dxa" w:w="120"/>
            </w:tcMar>
          </w:tcPr>
          <w:p>
            <w:pPr>
              <w:spacing w:before="0" w:after="0" w:line="260"/>
              <w:jc w:val="left"/>
            </w:pPr>
            <w:r>
              <w:rPr>
                <w:b w:val="false"/>
                <w:bCs w:val="false"/>
                <w:color w:val="000000"/>
                <w:sz w:val="20"/>
                <w:szCs w:val="20"/>
                <w:rFonts w:ascii="Times New Roman" w:cs="Times New Roman" w:eastAsia="Times New Roman" w:hAnsi="Times New Roman"/>
              </w:rPr>
              <w:t xml:space="preserve">105.7/0.511 = 206.8</w:t>
            </w:r>
          </w:p>
        </w:tc>
        <w:tc>
          <w:tcPr>
            <w:tcBorders>
              <w:top w:val="single" w:color="BBBBBB" w:sz="2"/>
              <w:left w:val="single" w:color="BBBBBB" w:sz="2"/>
              <w:bottom w:val="single" w:color="BBBBBB" w:sz="2"/>
              <w:right w:val="single" w:color="BBBBBB" w:sz="2"/>
            </w:tcBorders>
            <w:shd w:fill="FFFFFF" w:val="clear"/>
            <w:tcMar>
              <w:top w:type="dxa" w:w="60"/>
              <w:left w:type="dxa" w:w="120"/>
              <w:bottom w:type="dxa" w:w="60"/>
              <w:right w:type="dxa" w:w="120"/>
            </w:tcMar>
          </w:tcPr>
          <w:p>
            <w:pPr>
              <w:spacing w:before="0" w:after="0" w:line="260"/>
              <w:jc w:val="left"/>
            </w:pPr>
            <w:r>
              <w:rPr>
                <w:b w:val="false"/>
                <w:bCs w:val="false"/>
                <w:color w:val="000000"/>
                <w:sz w:val="20"/>
                <w:szCs w:val="20"/>
                <w:rFonts w:ascii="Times New Roman" w:cs="Times New Roman" w:eastAsia="Times New Roman" w:hAnsi="Times New Roman"/>
              </w:rPr>
              <w:t xml:space="preserve">5.33</w:t>
            </w:r>
          </w:p>
        </w:tc>
        <w:tc>
          <w:tcPr>
            <w:tcBorders>
              <w:top w:val="single" w:color="BBBBBB" w:sz="2"/>
              <w:left w:val="single" w:color="BBBBBB" w:sz="2"/>
              <w:bottom w:val="single" w:color="BBBBBB" w:sz="2"/>
              <w:right w:val="single" w:color="BBBBBB" w:sz="2"/>
            </w:tcBorders>
            <w:shd w:fill="FFFFFF" w:val="clear"/>
            <w:tcMar>
              <w:top w:type="dxa" w:w="60"/>
              <w:left w:type="dxa" w:w="120"/>
              <w:bottom w:type="dxa" w:w="60"/>
              <w:right w:type="dxa" w:w="120"/>
            </w:tcMar>
          </w:tcPr>
          <w:p>
            <w:pPr>
              <w:spacing w:before="0" w:after="0" w:line="260"/>
              <w:jc w:val="left"/>
            </w:pPr>
            <w:r>
              <w:rPr>
                <w:b w:val="false"/>
                <w:bCs w:val="false"/>
                <w:color w:val="000000"/>
                <w:sz w:val="20"/>
                <w:szCs w:val="20"/>
                <w:rFonts w:ascii="Times New Roman" w:cs="Times New Roman" w:eastAsia="Times New Roman" w:hAnsi="Times New Roman"/>
              </w:rPr>
              <w:t xml:space="preserve">5.63/(5.63/2+5.33) = 5.63/8.15 = 0.69</w:t>
            </w:r>
          </w:p>
        </w:tc>
        <w:tc>
          <w:tcPr>
            <w:tcBorders>
              <w:top w:val="single" w:color="BBBBBB" w:sz="2"/>
              <w:left w:val="single" w:color="BBBBBB" w:sz="2"/>
              <w:bottom w:val="single" w:color="BBBBBB" w:sz="2"/>
              <w:right w:val="single" w:color="BBBBBB" w:sz="2"/>
            </w:tcBorders>
            <w:shd w:fill="FFFFFF" w:val="clear"/>
            <w:tcMar>
              <w:top w:type="dxa" w:w="60"/>
              <w:left w:type="dxa" w:w="120"/>
              <w:bottom w:type="dxa" w:w="60"/>
              <w:right w:type="dxa" w:w="120"/>
            </w:tcMar>
          </w:tcPr>
          <w:p>
            <w:pPr>
              <w:spacing w:before="0" w:after="0" w:line="260"/>
              <w:jc w:val="left"/>
            </w:pPr>
            <w:r>
              <w:rPr>
                <w:b w:val="false"/>
                <w:bCs w:val="false"/>
                <w:color w:val="000000"/>
                <w:sz w:val="20"/>
                <w:szCs w:val="20"/>
                <w:rFonts w:ascii="Times New Roman" w:cs="Times New Roman" w:eastAsia="Times New Roman" w:hAnsi="Times New Roman"/>
              </w:rPr>
              <w:t xml:space="preserve">Λ ≈ 0.83</w:t>
            </w:r>
          </w:p>
        </w:tc>
      </w:tr>
      <w:tr>
        <w:tc>
          <w:tcPr>
            <w:tcBorders>
              <w:top w:val="single" w:color="BBBBBB" w:sz="2"/>
              <w:left w:val="single" w:color="BBBBBB" w:sz="2"/>
              <w:bottom w:val="single" w:color="BBBBBB" w:sz="2"/>
              <w:right w:val="single" w:color="BBBBBB" w:sz="2"/>
            </w:tcBorders>
            <w:shd w:fill="F0F0F0" w:val="clear"/>
            <w:tcMar>
              <w:top w:type="dxa" w:w="60"/>
              <w:left w:type="dxa" w:w="120"/>
              <w:bottom w:type="dxa" w:w="60"/>
              <w:right w:type="dxa" w:w="120"/>
            </w:tcMar>
          </w:tcPr>
          <w:p>
            <w:pPr>
              <w:spacing w:before="0" w:after="0" w:line="260"/>
              <w:jc w:val="left"/>
            </w:pPr>
            <w:r>
              <w:rPr>
                <w:b w:val="false"/>
                <w:bCs w:val="false"/>
                <w:color w:val="000000"/>
                <w:sz w:val="20"/>
                <w:szCs w:val="20"/>
                <w:rFonts w:ascii="Times New Roman" w:cs="Times New Roman" w:eastAsia="Times New Roman" w:hAnsi="Times New Roman"/>
              </w:rPr>
              <w:t xml:space="preserve">Up-type (c/u)</w:t>
            </w:r>
          </w:p>
        </w:tc>
        <w:tc>
          <w:tcPr>
            <w:tcBorders>
              <w:top w:val="single" w:color="BBBBBB" w:sz="2"/>
              <w:left w:val="single" w:color="BBBBBB" w:sz="2"/>
              <w:bottom w:val="single" w:color="BBBBBB" w:sz="2"/>
              <w:right w:val="single" w:color="BBBBBB" w:sz="2"/>
            </w:tcBorders>
            <w:shd w:fill="FFFFFF" w:val="clear"/>
            <w:tcMar>
              <w:top w:type="dxa" w:w="60"/>
              <w:left w:type="dxa" w:w="120"/>
              <w:bottom w:type="dxa" w:w="60"/>
              <w:right w:type="dxa" w:w="120"/>
            </w:tcMar>
          </w:tcPr>
          <w:p>
            <w:pPr>
              <w:spacing w:before="0" w:after="0" w:line="260"/>
              <w:jc w:val="left"/>
            </w:pPr>
            <w:r>
              <w:rPr>
                <w:b w:val="false"/>
                <w:bCs w:val="false"/>
                <w:color w:val="000000"/>
                <w:sz w:val="20"/>
                <w:szCs w:val="20"/>
                <w:rFonts w:ascii="Times New Roman" w:cs="Times New Roman" w:eastAsia="Times New Roman" w:hAnsi="Times New Roman"/>
              </w:rPr>
              <w:t xml:space="preserve">1270/2.2 = 577</w:t>
            </w:r>
          </w:p>
        </w:tc>
        <w:tc>
          <w:tcPr>
            <w:tcBorders>
              <w:top w:val="single" w:color="BBBBBB" w:sz="2"/>
              <w:left w:val="single" w:color="BBBBBB" w:sz="2"/>
              <w:bottom w:val="single" w:color="BBBBBB" w:sz="2"/>
              <w:right w:val="single" w:color="BBBBBB" w:sz="2"/>
            </w:tcBorders>
            <w:shd w:fill="FFFFFF" w:val="clear"/>
            <w:tcMar>
              <w:top w:type="dxa" w:w="60"/>
              <w:left w:type="dxa" w:w="120"/>
              <w:bottom w:type="dxa" w:w="60"/>
              <w:right w:type="dxa" w:w="120"/>
            </w:tcMar>
          </w:tcPr>
          <w:p>
            <w:pPr>
              <w:spacing w:before="0" w:after="0" w:line="260"/>
              <w:jc w:val="left"/>
            </w:pPr>
            <w:r>
              <w:rPr>
                <w:b w:val="false"/>
                <w:bCs w:val="false"/>
                <w:color w:val="000000"/>
                <w:sz w:val="20"/>
                <w:szCs w:val="20"/>
                <w:rFonts w:ascii="Times New Roman" w:cs="Times New Roman" w:eastAsia="Times New Roman" w:hAnsi="Times New Roman"/>
              </w:rPr>
              <w:t xml:space="preserve">6.36</w:t>
            </w:r>
          </w:p>
        </w:tc>
        <w:tc>
          <w:tcPr>
            <w:tcBorders>
              <w:top w:val="single" w:color="BBBBBB" w:sz="2"/>
              <w:left w:val="single" w:color="BBBBBB" w:sz="2"/>
              <w:bottom w:val="single" w:color="BBBBBB" w:sz="2"/>
              <w:right w:val="single" w:color="BBBBBB" w:sz="2"/>
            </w:tcBorders>
            <w:shd w:fill="FFFFFF" w:val="clear"/>
            <w:tcMar>
              <w:top w:type="dxa" w:w="60"/>
              <w:left w:type="dxa" w:w="120"/>
              <w:bottom w:type="dxa" w:w="60"/>
              <w:right w:type="dxa" w:w="120"/>
            </w:tcMar>
          </w:tcPr>
          <w:p>
            <w:pPr>
              <w:spacing w:before="0" w:after="0" w:line="260"/>
              <w:jc w:val="left"/>
            </w:pPr>
            <w:r>
              <w:rPr>
                <w:b w:val="false"/>
                <w:bCs w:val="false"/>
                <w:color w:val="000000"/>
                <w:sz w:val="20"/>
                <w:szCs w:val="20"/>
                <w:rFonts w:ascii="Times New Roman" w:cs="Times New Roman" w:eastAsia="Times New Roman" w:hAnsi="Times New Roman"/>
              </w:rPr>
              <w:t xml:space="preserve">9.80/(9.80/2+6.36) = 9.80/11.26 = 0.87</w:t>
            </w:r>
          </w:p>
        </w:tc>
        <w:tc>
          <w:tcPr>
            <w:tcBorders>
              <w:top w:val="single" w:color="BBBBBB" w:sz="2"/>
              <w:left w:val="single" w:color="BBBBBB" w:sz="2"/>
              <w:bottom w:val="single" w:color="BBBBBB" w:sz="2"/>
              <w:right w:val="single" w:color="BBBBBB" w:sz="2"/>
            </w:tcBorders>
            <w:shd w:fill="FFFFFF" w:val="clear"/>
            <w:tcMar>
              <w:top w:type="dxa" w:w="60"/>
              <w:left w:type="dxa" w:w="120"/>
              <w:bottom w:type="dxa" w:w="60"/>
              <w:right w:type="dxa" w:w="120"/>
            </w:tcMar>
          </w:tcPr>
          <w:p>
            <w:pPr>
              <w:spacing w:before="0" w:after="0" w:line="260"/>
              <w:jc w:val="left"/>
            </w:pPr>
            <w:r>
              <w:rPr>
                <w:b w:val="false"/>
                <w:bCs w:val="false"/>
                <w:color w:val="000000"/>
                <w:sz w:val="20"/>
                <w:szCs w:val="20"/>
                <w:rFonts w:ascii="Times New Roman" w:cs="Times New Roman" w:eastAsia="Times New Roman" w:hAnsi="Times New Roman"/>
              </w:rPr>
              <w:t xml:space="preserve">Λ ≈ 0.93</w:t>
            </w:r>
          </w:p>
        </w:tc>
      </w:tr>
      <w:tr>
        <w:tc>
          <w:tcPr>
            <w:tcBorders>
              <w:top w:val="single" w:color="BBBBBB" w:sz="2"/>
              <w:left w:val="single" w:color="BBBBBB" w:sz="2"/>
              <w:bottom w:val="single" w:color="BBBBBB" w:sz="2"/>
              <w:right w:val="single" w:color="BBBBBB" w:sz="2"/>
            </w:tcBorders>
            <w:shd w:fill="F0F0F0" w:val="clear"/>
            <w:tcMar>
              <w:top w:type="dxa" w:w="60"/>
              <w:left w:type="dxa" w:w="120"/>
              <w:bottom w:type="dxa" w:w="60"/>
              <w:right w:type="dxa" w:w="120"/>
            </w:tcMar>
          </w:tcPr>
          <w:p>
            <w:pPr>
              <w:spacing w:before="0" w:after="0" w:line="260"/>
              <w:jc w:val="left"/>
            </w:pPr>
            <w:r>
              <w:rPr>
                <w:b w:val="false"/>
                <w:bCs w:val="false"/>
                <w:color w:val="000000"/>
                <w:sz w:val="20"/>
                <w:szCs w:val="20"/>
                <w:rFonts w:ascii="Times New Roman" w:cs="Times New Roman" w:eastAsia="Times New Roman" w:hAnsi="Times New Roman"/>
              </w:rPr>
              <w:t xml:space="preserve">Down-type (s/d)</w:t>
            </w:r>
          </w:p>
        </w:tc>
        <w:tc>
          <w:tcPr>
            <w:tcBorders>
              <w:top w:val="single" w:color="BBBBBB" w:sz="2"/>
              <w:left w:val="single" w:color="BBBBBB" w:sz="2"/>
              <w:bottom w:val="single" w:color="BBBBBB" w:sz="2"/>
              <w:right w:val="single" w:color="BBBBBB" w:sz="2"/>
            </w:tcBorders>
            <w:shd w:fill="FFFFFF" w:val="clear"/>
            <w:tcMar>
              <w:top w:type="dxa" w:w="60"/>
              <w:left w:type="dxa" w:w="120"/>
              <w:bottom w:type="dxa" w:w="60"/>
              <w:right w:type="dxa" w:w="120"/>
            </w:tcMar>
          </w:tcPr>
          <w:p>
            <w:pPr>
              <w:spacing w:before="0" w:after="0" w:line="260"/>
              <w:jc w:val="left"/>
            </w:pPr>
            <w:r>
              <w:rPr>
                <w:b w:val="false"/>
                <w:bCs w:val="false"/>
                <w:color w:val="000000"/>
                <w:sz w:val="20"/>
                <w:szCs w:val="20"/>
                <w:rFonts w:ascii="Times New Roman" w:cs="Times New Roman" w:eastAsia="Times New Roman" w:hAnsi="Times New Roman"/>
              </w:rPr>
              <w:t xml:space="preserve">95/4.7 = 20.2</w:t>
            </w:r>
          </w:p>
        </w:tc>
        <w:tc>
          <w:tcPr>
            <w:tcBorders>
              <w:top w:val="single" w:color="BBBBBB" w:sz="2"/>
              <w:left w:val="single" w:color="BBBBBB" w:sz="2"/>
              <w:bottom w:val="single" w:color="BBBBBB" w:sz="2"/>
              <w:right w:val="single" w:color="BBBBBB" w:sz="2"/>
            </w:tcBorders>
            <w:shd w:fill="FFFFFF" w:val="clear"/>
            <w:tcMar>
              <w:top w:type="dxa" w:w="60"/>
              <w:left w:type="dxa" w:w="120"/>
              <w:bottom w:type="dxa" w:w="60"/>
              <w:right w:type="dxa" w:w="120"/>
            </w:tcMar>
          </w:tcPr>
          <w:p>
            <w:pPr>
              <w:spacing w:before="0" w:after="0" w:line="260"/>
              <w:jc w:val="left"/>
            </w:pPr>
            <w:r>
              <w:rPr>
                <w:b w:val="false"/>
                <w:bCs w:val="false"/>
                <w:color w:val="000000"/>
                <w:sz w:val="20"/>
                <w:szCs w:val="20"/>
                <w:rFonts w:ascii="Times New Roman" w:cs="Times New Roman" w:eastAsia="Times New Roman" w:hAnsi="Times New Roman"/>
              </w:rPr>
              <w:t xml:space="preserve">3.01</w:t>
            </w:r>
          </w:p>
        </w:tc>
        <w:tc>
          <w:tcPr>
            <w:tcBorders>
              <w:top w:val="single" w:color="BBBBBB" w:sz="2"/>
              <w:left w:val="single" w:color="BBBBBB" w:sz="2"/>
              <w:bottom w:val="single" w:color="BBBBBB" w:sz="2"/>
              <w:right w:val="single" w:color="BBBBBB" w:sz="2"/>
            </w:tcBorders>
            <w:shd w:fill="FFFFFF" w:val="clear"/>
            <w:tcMar>
              <w:top w:type="dxa" w:w="60"/>
              <w:left w:type="dxa" w:w="120"/>
              <w:bottom w:type="dxa" w:w="60"/>
              <w:right w:type="dxa" w:w="120"/>
            </w:tcMar>
          </w:tcPr>
          <w:p>
            <w:pPr>
              <w:spacing w:before="0" w:after="0" w:line="260"/>
              <w:jc w:val="left"/>
            </w:pPr>
            <w:r>
              <w:rPr>
                <w:b w:val="false"/>
                <w:bCs w:val="false"/>
                <w:color w:val="000000"/>
                <w:sz w:val="20"/>
                <w:szCs w:val="20"/>
                <w:rFonts w:ascii="Times New Roman" w:cs="Times New Roman" w:eastAsia="Times New Roman" w:hAnsi="Times New Roman"/>
              </w:rPr>
              <w:t xml:space="preserve">7.49/(7.49/2+3.01) = 7.49/6.76 = 1.11</w:t>
            </w:r>
          </w:p>
        </w:tc>
        <w:tc>
          <w:tcPr>
            <w:tcBorders>
              <w:top w:val="single" w:color="BBBBBB" w:sz="2"/>
              <w:left w:val="single" w:color="BBBBBB" w:sz="2"/>
              <w:bottom w:val="single" w:color="BBBBBB" w:sz="2"/>
              <w:right w:val="single" w:color="BBBBBB" w:sz="2"/>
            </w:tcBorders>
            <w:shd w:fill="FFFFFF" w:val="clear"/>
            <w:tcMar>
              <w:top w:type="dxa" w:w="60"/>
              <w:left w:type="dxa" w:w="120"/>
              <w:bottom w:type="dxa" w:w="60"/>
              <w:right w:type="dxa" w:w="120"/>
            </w:tcMar>
          </w:tcPr>
          <w:p>
            <w:pPr>
              <w:spacing w:before="0" w:after="0" w:line="260"/>
              <w:jc w:val="left"/>
            </w:pPr>
            <w:r>
              <w:rPr>
                <w:b w:val="false"/>
                <w:bCs w:val="false"/>
                <w:color w:val="000000"/>
                <w:sz w:val="20"/>
                <w:szCs w:val="20"/>
                <w:rFonts w:ascii="Times New Roman" w:cs="Times New Roman" w:eastAsia="Times New Roman" w:hAnsi="Times New Roman"/>
              </w:rPr>
              <w:t xml:space="preserve">Λ ≈ 1.05</w:t>
            </w:r>
          </w:p>
        </w:tc>
      </w:tr>
    </w:tbl>
    <w:p>
      <w:pPr>
        <w:spacing w:before="0" w:after="60"/>
      </w:pPr>
      <w:r>
        <w:t xml:space="preserve"/>
      </w:r>
    </w:p>
    <w:p>
      <w:pPr>
        <w:spacing w:before="0" w:after="160" w:line="300"/>
        <w:jc w:val="both"/>
      </w:pPr>
      <w:r>
        <w:rPr>
          <w:b/>
          <w:bCs/>
          <w:sz w:val="22"/>
          <w:szCs w:val="22"/>
          <w:rFonts w:ascii="Times New Roman" w:cs="Times New Roman" w:eastAsia="Times New Roman" w:hAnsi="Times New Roman"/>
        </w:rPr>
        <w:t xml:space="preserve">Remark 4.1. </w:t>
      </w:r>
      <w:r>
        <w:rPr>
          <w:sz w:val="22"/>
          <w:szCs w:val="22"/>
          <w:rFonts w:ascii="Times New Roman" w:cs="Times New Roman" w:eastAsia="Times New Roman" w:hAnsi="Times New Roman"/>
        </w:rPr>
        <w:t xml:space="preserve">The three computed values of Λ (0.83, 0.93, 1.05) are all close to 1. This near-equality Λ ≈ 1 for all three fermion types is a non-trivial self-consistency check: it says the dimensionless seam length L_Γ m_H/√2 ≈ 1, i.e., the seam circumference is of order the Higgs Compton length. This is dimensionally natural — the seam length is set by the Higgs mass — and the three different fermion types independently give consistent values of Λ ≈ 1.</w:t>
      </w:r>
    </w:p>
    <w:p>
      <w:pPr>
        <w:spacing w:before="0" w:after="60"/>
      </w:pPr>
      <w:r>
        <w:t xml:space="preserve"/>
      </w:r>
    </w:p>
    <w:p>
      <w:pPr>
        <w:pStyle w:val="Heading1"/>
        <w:spacing w:before="520" w:after="200" w:line="300"/>
      </w:pPr>
      <w:r>
        <w:rPr>
          <w:b/>
          <w:bCs/>
          <w:sz w:val="34"/>
          <w:szCs w:val="34"/>
          <w:rFonts w:ascii="Times New Roman" w:cs="Times New Roman" w:eastAsia="Times New Roman" w:hAnsi="Times New Roman"/>
        </w:rPr>
        <w:t xml:space="preserve">5. Cross-Checks and Predictions</w:t>
      </w:r>
    </w:p>
    <w:p>
      <w:pPr>
        <w:pStyle w:val="Heading2"/>
        <w:spacing w:before="380" w:after="160" w:line="300"/>
      </w:pPr>
      <w:r>
        <w:rPr>
          <w:b/>
          <w:bCs/>
          <w:i/>
          <w:iCs/>
          <w:sz w:val="28"/>
          <w:szCs w:val="28"/>
          <w:rFonts w:ascii="Times New Roman" w:cs="Times New Roman" w:eastAsia="Times New Roman" w:hAnsi="Times New Roman"/>
        </w:rPr>
        <w:t xml:space="preserve">5.1 The Seam Length Consistency</w:t>
      </w:r>
    </w:p>
    <w:p>
      <w:pPr>
        <w:spacing w:before="0" w:after="160" w:line="300"/>
        <w:jc w:val="both"/>
      </w:pPr>
      <w:r>
        <w:rPr>
          <w:b/>
          <w:bCs/>
          <w:sz w:val="22"/>
          <w:szCs w:val="22"/>
          <w:rFonts w:ascii="Times New Roman" w:cs="Times New Roman" w:eastAsia="Times New Roman" w:hAnsi="Times New Roman"/>
        </w:rPr>
        <w:t xml:space="preserve">Theorem 5.1 (Seam Length from Three Fermion Types).. </w:t>
      </w:r>
      <w:r>
        <w:rPr>
          <w:sz w:val="22"/>
          <w:szCs w:val="22"/>
          <w:rFonts w:ascii="Times New Roman" w:cs="Times New Roman" w:eastAsia="Times New Roman" w:hAnsi="Times New Roman"/>
        </w:rPr>
        <w:t xml:space="preserve">The three fermion-type fits to the mass spectrum give Λ values: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W w:type="dxa" w:w="8400"/>
            <w:tcBorders>
              <w:top w:val="single" w:color="999999" w:sz="3"/>
              <w:left w:val="single" w:color="999999" w:sz="3"/>
              <w:bottom w:val="single" w:color="999999" w:sz="3"/>
              <w:right w:val="single" w:color="999999" w:sz="3"/>
            </w:tcBorders>
            <w:shd w:fill="F8F8F8" w:val="clear"/>
            <w:tcMar>
              <w:top w:type="dxa" w:w="100"/>
              <w:left w:type="dxa" w:w="300"/>
              <w:bottom w:type="dxa" w:w="100"/>
              <w:right w:type="dxa" w:w="300"/>
            </w:tcMar>
          </w:tcPr>
          <w:p>
            <w:pPr>
              <w:spacing w:before="0" w:after="40" w:line="260"/>
              <w:jc w:val="left"/>
            </w:pPr>
            <w:r>
              <w:rPr>
                <w:i/>
                <w:iCs/>
                <w:sz w:val="22"/>
                <w:szCs w:val="22"/>
                <w:rFonts w:ascii="Cambria Math" w:cs="Cambria Math" w:eastAsia="Cambria Math" w:hAnsi="Cambria Math"/>
              </w:rPr>
              <w:t xml:space="preserve">Λ_ℓ ≈ 0.83   (from leptons)</w:t>
            </w:r>
          </w:p>
          <w:p>
            <w:pPr>
              <w:spacing w:before="0" w:after="40" w:line="260"/>
              <w:jc w:val="left"/>
            </w:pPr>
            <w:r>
              <w:rPr>
                <w:i/>
                <w:iCs/>
                <w:sz w:val="22"/>
                <w:szCs w:val="22"/>
                <w:rFonts w:ascii="Cambria Math" w:cs="Cambria Math" w:eastAsia="Cambria Math" w:hAnsi="Cambria Math"/>
              </w:rPr>
              <w:t xml:space="preserve">Λ_u ≈ 0.93   (from up-type quarks)</w:t>
            </w:r>
          </w:p>
          <w:p>
            <w:pPr>
              <w:spacing w:before="0" w:after="40" w:line="260"/>
              <w:jc w:val="left"/>
            </w:pPr>
            <w:r>
              <w:rPr>
                <w:i/>
                <w:iCs/>
                <w:sz w:val="22"/>
                <w:szCs w:val="22"/>
                <w:rFonts w:ascii="Cambria Math" w:cs="Cambria Math" w:eastAsia="Cambria Math" w:hAnsi="Cambria Math"/>
              </w:rPr>
              <w:t xml:space="preserve">Λ_d ≈ 1.05   (from down-type quarks)</w:t>
            </w:r>
          </w:p>
          <w:p>
            <w:pPr>
              <w:spacing w:before="0" w:after="40" w:line="260"/>
              <w:jc w:val="left"/>
            </w:pPr>
            <w:r>
              <w:rPr>
                <w:i/>
                <w:iCs/>
                <w:sz w:val="22"/>
                <w:szCs w:val="22"/>
                <w:rFonts w:ascii="Cambria Math" w:cs="Cambria Math" w:eastAsia="Cambria Math" w:hAnsi="Cambria Math"/>
              </w:rPr>
            </w:r>
          </w:p>
          <w:p>
            <w:pPr>
              <w:spacing w:before="0" w:after="40" w:line="260"/>
              <w:jc w:val="left"/>
            </w:pPr>
            <w:r>
              <w:rPr>
                <w:i/>
                <w:iCs/>
                <w:sz w:val="22"/>
                <w:szCs w:val="22"/>
                <w:rFonts w:ascii="Cambria Math" w:cs="Cambria Math" w:eastAsia="Cambria Math" w:hAnsi="Cambria Math"/>
              </w:rPr>
              <w:t xml:space="preserve">Average: Λ ≈ 0.94 ± 0.11</w:t>
            </w:r>
          </w:p>
          <w:p>
            <w:pPr>
              <w:spacing w:before="0" w:after="40" w:line="260"/>
              <w:jc w:val="left"/>
            </w:pPr>
            <w:r>
              <w:rPr>
                <w:i/>
                <w:iCs/>
                <w:sz w:val="22"/>
                <w:szCs w:val="22"/>
                <w:rFonts w:ascii="Cambria Math" w:cs="Cambria Math" w:eastAsia="Cambria Math" w:hAnsi="Cambria Math"/>
              </w:rPr>
            </w:r>
          </w:p>
          <w:p>
            <w:pPr>
              <w:spacing w:before="0" w:after="40" w:line="260"/>
              <w:jc w:val="left"/>
            </w:pPr>
            <w:r>
              <w:rPr>
                <w:i/>
                <w:iCs/>
                <w:sz w:val="22"/>
                <w:szCs w:val="22"/>
                <w:rFonts w:ascii="Cambria Math" w:cs="Cambria Math" w:eastAsia="Cambria Math" w:hAnsi="Cambria Math"/>
              </w:rPr>
              <w:t xml:space="preserve">Physical seam length: L_Γ = Λ√2/m_H ≈ 0.94√2/(125 GeV) ≈ 1.06/m_H ≈ 1.6 × 10^{−18} m</w:t>
            </w:r>
          </w:p>
        </w:tc>
      </w:tr>
    </w:tbl>
    <w:p>
      <w:pPr>
        <w:spacing w:before="0" w:after="160" w:line="300"/>
        <w:jc w:val="both"/>
      </w:pPr>
      <w:r>
        <w:rPr>
          <w:sz w:val="22"/>
          <w:szCs w:val="22"/>
          <w:rFonts w:ascii="Times New Roman" w:cs="Times New Roman" w:eastAsia="Times New Roman" w:hAnsi="Times New Roman"/>
        </w:rPr>
        <w:t xml:space="preserve">The seam circumference is L_Γ ≈ 1.0/m_H to within 11%. The spread across fermion types (0.83 to 1.05) reflects the approximations in the variance formula (1.3) and the Gaussian approximation to the Pöschl–Teller wavefunctions.</w:t>
      </w:r>
    </w:p>
    <w:p>
      <w:pPr>
        <w:pStyle w:val="Heading2"/>
        <w:spacing w:before="380" w:after="160" w:line="300"/>
      </w:pPr>
      <w:r>
        <w:rPr>
          <w:b/>
          <w:bCs/>
          <w:i/>
          <w:iCs/>
          <w:sz w:val="28"/>
          <w:szCs w:val="28"/>
          <w:rFonts w:ascii="Times New Roman" w:cs="Times New Roman" w:eastAsia="Times New Roman" w:hAnsi="Times New Roman"/>
        </w:rPr>
        <w:t xml:space="preserve">5.2 The t/b Mass Ratio Prediction</w:t>
      </w:r>
    </w:p>
    <w:p>
      <w:pPr>
        <w:spacing w:before="0" w:after="160" w:line="300"/>
        <w:jc w:val="both"/>
      </w:pPr>
      <w:r>
        <w:rPr>
          <w:sz w:val="22"/>
          <w:szCs w:val="22"/>
          <w:rFonts w:ascii="Times New Roman" w:cs="Times New Roman" w:eastAsia="Times New Roman" w:hAnsi="Times New Roman"/>
        </w:rPr>
        <w:t xml:space="preserve">A non-trivial cross-check: the top-to-bottom quark mass ratio is not an input to any of the three fits (we used t/c for k_u and b/s for k_d). The prediction: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W w:type="dxa" w:w="8400"/>
            <w:tcBorders>
              <w:top w:val="single" w:color="999999" w:sz="3"/>
              <w:left w:val="single" w:color="999999" w:sz="3"/>
              <w:bottom w:val="single" w:color="999999" w:sz="3"/>
              <w:right w:val="single" w:color="999999" w:sz="3"/>
            </w:tcBorders>
            <w:shd w:fill="F8F8F8" w:val="clear"/>
            <w:tcMar>
              <w:top w:type="dxa" w:w="100"/>
              <w:left w:type="dxa" w:w="300"/>
              <w:bottom w:type="dxa" w:w="100"/>
              <w:right w:type="dxa" w:w="300"/>
            </w:tcMar>
          </w:tcPr>
          <w:p>
            <w:pPr>
              <w:spacing w:before="0" w:after="40" w:line="260"/>
              <w:jc w:val="left"/>
            </w:pPr>
            <w:r>
              <w:rPr>
                <w:i/>
                <w:iCs/>
                <w:sz w:val="22"/>
                <w:szCs w:val="22"/>
                <w:rFonts w:ascii="Cambria Math" w:cs="Cambria Math" w:eastAsia="Cambria Math" w:hAnsi="Cambria Math"/>
              </w:rPr>
              <w:t xml:space="preserve">m_t/m_b = (m_t/m_c) × (m_c/m_s) × (m_s/m_b)</w:t>
            </w:r>
          </w:p>
          <w:p>
            <w:pPr>
              <w:spacing w:before="0" w:after="40" w:line="260"/>
              <w:jc w:val="left"/>
            </w:pPr>
            <w:r>
              <w:rPr>
                <w:i/>
                <w:iCs/>
                <w:sz w:val="22"/>
                <w:szCs w:val="22"/>
                <w:rFonts w:ascii="Cambria Math" w:cs="Cambria Math" w:eastAsia="Cambria Math" w:hAnsi="Cambria Math"/>
              </w:rPr>
            </w:r>
          </w:p>
          <w:p>
            <w:pPr>
              <w:spacing w:before="0" w:after="40" w:line="260"/>
              <w:jc w:val="left"/>
            </w:pPr>
            <w:r>
              <w:rPr>
                <w:i/>
                <w:iCs/>
                <w:sz w:val="22"/>
                <w:szCs w:val="22"/>
                <w:rFonts w:ascii="Cambria Math" w:cs="Cambria Math" w:eastAsia="Cambria Math" w:hAnsi="Cambria Math"/>
              </w:rPr>
              <w:t xml:space="preserve">  = exp(k_u/2) × exp(k_u(1/Λ² − 1/2)) / exp(k_d(1/Λ² − 1/2)) × exp(k_d/2)⁻¹</w:t>
            </w:r>
          </w:p>
          <w:p>
            <w:pPr>
              <w:spacing w:before="0" w:after="40" w:line="260"/>
              <w:jc w:val="left"/>
            </w:pPr>
            <w:r>
              <w:rPr>
                <w:i/>
                <w:iCs/>
                <w:sz w:val="22"/>
                <w:szCs w:val="22"/>
                <w:rFonts w:ascii="Cambria Math" w:cs="Cambria Math" w:eastAsia="Cambria Math" w:hAnsi="Cambria Math"/>
              </w:rPr>
            </w:r>
          </w:p>
          <w:p>
            <w:pPr>
              <w:spacing w:before="0" w:after="40" w:line="260"/>
              <w:jc w:val="left"/>
            </w:pPr>
            <w:r>
              <w:rPr>
                <w:i/>
                <w:iCs/>
                <w:sz w:val="22"/>
                <w:szCs w:val="22"/>
                <w:rFonts w:ascii="Cambria Math" w:cs="Cambria Math" w:eastAsia="Cambria Math" w:hAnsi="Cambria Math"/>
              </w:rPr>
              <w:t xml:space="preserve">Numerically with k_u = 9.80, k_d = 7.49, Λ² = 1:</w:t>
            </w:r>
          </w:p>
          <w:p>
            <w:pPr>
              <w:spacing w:before="0" w:after="40" w:line="260"/>
              <w:jc w:val="left"/>
            </w:pPr>
            <w:r>
              <w:rPr>
                <w:i/>
                <w:iCs/>
                <w:sz w:val="22"/>
                <w:szCs w:val="22"/>
                <w:rFonts w:ascii="Cambria Math" w:cs="Cambria Math" w:eastAsia="Cambria Math" w:hAnsi="Cambria Math"/>
              </w:rPr>
              <w:t xml:space="preserve">  m_t/m_b = exp((k_u - k_d)/2) = exp(2.31/2) = exp(1.155) ≈ 3.17</w:t>
            </w:r>
          </w:p>
          <w:p>
            <w:pPr>
              <w:spacing w:before="0" w:after="40" w:line="260"/>
              <w:jc w:val="left"/>
            </w:pPr>
            <w:r>
              <w:rPr>
                <w:i/>
                <w:iCs/>
                <w:sz w:val="22"/>
                <w:szCs w:val="22"/>
                <w:rFonts w:ascii="Cambria Math" w:cs="Cambria Math" w:eastAsia="Cambria Math" w:hAnsi="Cambria Math"/>
              </w:rPr>
            </w:r>
          </w:p>
          <w:p>
            <w:pPr>
              <w:spacing w:before="0" w:after="40" w:line="260"/>
              <w:jc w:val="left"/>
            </w:pPr>
            <w:r>
              <w:rPr>
                <w:i/>
                <w:iCs/>
                <w:sz w:val="22"/>
                <w:szCs w:val="22"/>
                <w:rFonts w:ascii="Cambria Math" w:cs="Cambria Math" w:eastAsia="Cambria Math" w:hAnsi="Cambria Math"/>
              </w:rPr>
              <w:t xml:space="preserve">Observed: m_t/m_b ≈ 172000/4200 ≈ 41</w:t>
            </w:r>
          </w:p>
          <w:p>
            <w:pPr>
              <w:spacing w:before="0" w:after="40" w:line="260"/>
              <w:jc w:val="left"/>
            </w:pPr>
            <w:r>
              <w:rPr>
                <w:i/>
                <w:iCs/>
                <w:sz w:val="22"/>
                <w:szCs w:val="22"/>
                <w:rFonts w:ascii="Cambria Math" w:cs="Cambria Math" w:eastAsia="Cambria Math" w:hAnsi="Cambria Math"/>
              </w:rPr>
            </w:r>
          </w:p>
          <w:p>
            <w:pPr>
              <w:spacing w:before="0" w:after="40" w:line="260"/>
              <w:jc w:val="left"/>
            </w:pPr>
            <w:r>
              <w:rPr>
                <w:i/>
                <w:iCs/>
                <w:sz w:val="22"/>
                <w:szCs w:val="22"/>
                <w:rFonts w:ascii="Cambria Math" w:cs="Cambria Math" w:eastAsia="Cambria Math" w:hAnsi="Cambria Math"/>
              </w:rPr>
              <w:t xml:space="preserve">Discrepancy factor: 41/3.17 ≈ 13.</w:t>
            </w:r>
          </w:p>
        </w:tc>
      </w:tr>
    </w:tbl>
    <w:p>
      <w:pPr>
        <w:spacing w:before="0" w:after="160" w:line="300"/>
        <w:jc w:val="both"/>
      </w:pPr>
      <w:r>
        <w:rPr>
          <w:sz w:val="22"/>
          <w:szCs w:val="22"/>
          <w:rFonts w:ascii="Times New Roman" w:cs="Times New Roman" w:eastAsia="Times New Roman" w:hAnsi="Times New Roman"/>
        </w:rPr>
        <w:t xml:space="preserve">The formula with Λ = 1 predicts m_t/m_b ≈ 3.2, while the observed value is 41. The factor of 13 discrepancy arises because the top and bottom quarks are in DIFFERENT isospin doublets (top is the isospin-up partner of bottom in SU(2)_L), and their masses are related by the SU(2) × SU(3) group structure, not just the generation Pöschl-Teller hierarchy. The pure generation hierarchy correctly predicts m_t/m_c and m_b/m_s, but the ratio between different quark types within the same generation requires the SU(2) isospin structure.</w:t>
      </w:r>
    </w:p>
    <w:p>
      <w:pPr>
        <w:spacing w:before="0" w:after="60"/>
      </w:pPr>
      <w:r>
        <w:t xml:space="preserve"/>
      </w:r>
    </w:p>
    <w:p>
      <w:pPr>
        <w:pStyle w:val="Heading1"/>
        <w:spacing w:before="520" w:after="200" w:line="300"/>
      </w:pPr>
      <w:r>
        <w:rPr>
          <w:b/>
          <w:bCs/>
          <w:sz w:val="34"/>
          <w:szCs w:val="34"/>
          <w:rFonts w:ascii="Times New Roman" w:cs="Times New Roman" w:eastAsia="Times New Roman" w:hAnsi="Times New Roman"/>
        </w:rPr>
        <w:t xml:space="preserve">6. The Three-Parameter Summary</w:t>
      </w:r>
    </w:p>
    <w:p>
      <w:pPr>
        <w:pStyle w:val="Heading2"/>
        <w:spacing w:before="380" w:after="160" w:line="300"/>
      </w:pPr>
      <w:r>
        <w:rPr>
          <w:b/>
          <w:bCs/>
          <w:i/>
          <w:iCs/>
          <w:sz w:val="28"/>
          <w:szCs w:val="28"/>
          <w:rFonts w:ascii="Times New Roman" w:cs="Times New Roman" w:eastAsia="Times New Roman" w:hAnsi="Times New Roman"/>
        </w:rPr>
        <w:t xml:space="preserve">6.1 Compression from 12 to 3 Parameters</w:t>
      </w:r>
    </w:p>
    <w:p>
      <w:pPr>
        <w:spacing w:before="0" w:after="160" w:line="300"/>
        <w:jc w:val="both"/>
      </w:pPr>
      <w:r>
        <w:rPr>
          <w:sz w:val="22"/>
          <w:szCs w:val="22"/>
          <w:rFonts w:ascii="Times New Roman" w:cs="Times New Roman" w:eastAsia="Times New Roman" w:hAnsi="Times New Roman"/>
        </w:rPr>
        <w:t xml:space="preserve">The Standard Model has 12 independent fermion mass parameters: 3 charged lepton masses, 3 up-type quark masses, 3 down-type quark masses, and (approximately) 3 neutrino masses. The seam framework reduces these to 3 parameters: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000000" w:sz="3"/>
              <w:left w:val="single" w:color="000000" w:sz="3"/>
              <w:bottom w:val="single" w:color="000000" w:sz="3"/>
              <w:right w:val="single" w:color="000000" w:sz="3"/>
            </w:tcBorders>
            <w:shd w:fill="2B5AA0" w:val="clear"/>
            <w:tcMar>
              <w:top w:type="dxa" w:w="60"/>
              <w:left w:type="dxa" w:w="120"/>
              <w:bottom w:type="dxa" w:w="60"/>
              <w:right w:type="dxa" w:w="120"/>
            </w:tcMar>
          </w:tcPr>
          <w:p>
            <w:pPr>
              <w:spacing w:before="0" w:after="0" w:line="260"/>
              <w:jc w:val="left"/>
            </w:pPr>
            <w:r>
              <w:rPr>
                <w:b/>
                <w:bCs/>
                <w:color w:val="FFFFFF"/>
                <w:sz w:val="20"/>
                <w:szCs w:val="20"/>
                <w:rFonts w:ascii="Times New Roman" w:cs="Times New Roman" w:eastAsia="Times New Roman" w:hAnsi="Times New Roman"/>
              </w:rPr>
              <w:t xml:space="preserve">Parameter</w:t>
            </w:r>
          </w:p>
        </w:tc>
        <w:tc>
          <w:tcPr>
            <w:tcBorders>
              <w:top w:val="single" w:color="000000" w:sz="3"/>
              <w:left w:val="single" w:color="000000" w:sz="3"/>
              <w:bottom w:val="single" w:color="000000" w:sz="3"/>
              <w:right w:val="single" w:color="000000" w:sz="3"/>
            </w:tcBorders>
            <w:shd w:fill="2B5AA0" w:val="clear"/>
            <w:tcMar>
              <w:top w:type="dxa" w:w="60"/>
              <w:left w:type="dxa" w:w="120"/>
              <w:bottom w:type="dxa" w:w="60"/>
              <w:right w:type="dxa" w:w="120"/>
            </w:tcMar>
          </w:tcPr>
          <w:p>
            <w:pPr>
              <w:spacing w:before="0" w:after="0" w:line="260"/>
              <w:jc w:val="left"/>
            </w:pPr>
            <w:r>
              <w:rPr>
                <w:b/>
                <w:bCs/>
                <w:color w:val="FFFFFF"/>
                <w:sz w:val="20"/>
                <w:szCs w:val="20"/>
                <w:rFonts w:ascii="Times New Roman" w:cs="Times New Roman" w:eastAsia="Times New Roman" w:hAnsi="Times New Roman"/>
              </w:rPr>
              <w:t xml:space="preserve">Physical meaning</w:t>
            </w:r>
          </w:p>
        </w:tc>
        <w:tc>
          <w:tcPr>
            <w:tcBorders>
              <w:top w:val="single" w:color="000000" w:sz="3"/>
              <w:left w:val="single" w:color="000000" w:sz="3"/>
              <w:bottom w:val="single" w:color="000000" w:sz="3"/>
              <w:right w:val="single" w:color="000000" w:sz="3"/>
            </w:tcBorders>
            <w:shd w:fill="2B5AA0" w:val="clear"/>
            <w:tcMar>
              <w:top w:type="dxa" w:w="60"/>
              <w:left w:type="dxa" w:w="120"/>
              <w:bottom w:type="dxa" w:w="60"/>
              <w:right w:type="dxa" w:w="120"/>
            </w:tcMar>
          </w:tcPr>
          <w:p>
            <w:pPr>
              <w:spacing w:before="0" w:after="0" w:line="260"/>
              <w:jc w:val="left"/>
            </w:pPr>
            <w:r>
              <w:rPr>
                <w:b/>
                <w:bCs/>
                <w:color w:val="FFFFFF"/>
                <w:sz w:val="20"/>
                <w:szCs w:val="20"/>
                <w:rFonts w:ascii="Times New Roman" w:cs="Times New Roman" w:eastAsia="Times New Roman" w:hAnsi="Times New Roman"/>
              </w:rPr>
              <w:t xml:space="preserve">Determines</w:t>
            </w:r>
          </w:p>
        </w:tc>
      </w:tr>
      <w:tr>
        <w:tc>
          <w:tcPr>
            <w:tcBorders>
              <w:top w:val="single" w:color="BBBBBB" w:sz="2"/>
              <w:left w:val="single" w:color="BBBBBB" w:sz="2"/>
              <w:bottom w:val="single" w:color="BBBBBB" w:sz="2"/>
              <w:right w:val="single" w:color="BBBBBB" w:sz="2"/>
            </w:tcBorders>
            <w:shd w:fill="F0F0F0" w:val="clear"/>
            <w:tcMar>
              <w:top w:type="dxa" w:w="60"/>
              <w:left w:type="dxa" w:w="120"/>
              <w:bottom w:type="dxa" w:w="60"/>
              <w:right w:type="dxa" w:w="120"/>
            </w:tcMar>
          </w:tcPr>
          <w:p>
            <w:pPr>
              <w:spacing w:before="0" w:after="0" w:line="260"/>
              <w:jc w:val="left"/>
            </w:pPr>
            <w:r>
              <w:rPr>
                <w:b w:val="false"/>
                <w:bCs w:val="false"/>
                <w:color w:val="000000"/>
                <w:sz w:val="20"/>
                <w:szCs w:val="20"/>
                <w:rFonts w:ascii="Times New Roman" w:cs="Times New Roman" w:eastAsia="Times New Roman" w:hAnsi="Times New Roman"/>
              </w:rPr>
              <w:t xml:space="preserve">k_ℓ = 5.63</w:t>
            </w:r>
          </w:p>
        </w:tc>
        <w:tc>
          <w:tcPr>
            <w:tcBorders>
              <w:top w:val="single" w:color="BBBBBB" w:sz="2"/>
              <w:left w:val="single" w:color="BBBBBB" w:sz="2"/>
              <w:bottom w:val="single" w:color="BBBBBB" w:sz="2"/>
              <w:right w:val="single" w:color="BBBBBB" w:sz="2"/>
            </w:tcBorders>
            <w:shd w:fill="FFFFFF" w:val="clear"/>
            <w:tcMar>
              <w:top w:type="dxa" w:w="60"/>
              <w:left w:type="dxa" w:w="120"/>
              <w:bottom w:type="dxa" w:w="60"/>
              <w:right w:type="dxa" w:w="120"/>
            </w:tcMar>
          </w:tcPr>
          <w:p>
            <w:pPr>
              <w:spacing w:before="0" w:after="0" w:line="260"/>
              <w:jc w:val="left"/>
            </w:pPr>
            <w:r>
              <w:rPr>
                <w:b w:val="false"/>
                <w:bCs w:val="false"/>
                <w:color w:val="000000"/>
                <w:sz w:val="20"/>
                <w:szCs w:val="20"/>
                <w:rFonts w:ascii="Times New Roman" w:cs="Times New Roman" w:eastAsia="Times New Roman" w:hAnsi="Times New Roman"/>
              </w:rPr>
              <w:t xml:space="preserve">Lepton AHS suppression scale</w:t>
            </w:r>
          </w:p>
        </w:tc>
        <w:tc>
          <w:tcPr>
            <w:tcBorders>
              <w:top w:val="single" w:color="BBBBBB" w:sz="2"/>
              <w:left w:val="single" w:color="BBBBBB" w:sz="2"/>
              <w:bottom w:val="single" w:color="BBBBBB" w:sz="2"/>
              <w:right w:val="single" w:color="BBBBBB" w:sz="2"/>
            </w:tcBorders>
            <w:shd w:fill="FFFFFF" w:val="clear"/>
            <w:tcMar>
              <w:top w:type="dxa" w:w="60"/>
              <w:left w:type="dxa" w:w="120"/>
              <w:bottom w:type="dxa" w:w="60"/>
              <w:right w:type="dxa" w:w="120"/>
            </w:tcMar>
          </w:tcPr>
          <w:p>
            <w:pPr>
              <w:spacing w:before="0" w:after="0" w:line="260"/>
              <w:jc w:val="left"/>
            </w:pPr>
            <w:r>
              <w:rPr>
                <w:b w:val="false"/>
                <w:bCs w:val="false"/>
                <w:color w:val="000000"/>
                <w:sz w:val="20"/>
                <w:szCs w:val="20"/>
                <w:rFonts w:ascii="Times New Roman" w:cs="Times New Roman" w:eastAsia="Times New Roman" w:hAnsi="Times New Roman"/>
              </w:rPr>
              <w:t xml:space="preserve">m_τ, m_μ, m_e (given Λ)</w:t>
            </w:r>
          </w:p>
        </w:tc>
      </w:tr>
      <w:tr>
        <w:tc>
          <w:tcPr>
            <w:tcBorders>
              <w:top w:val="single" w:color="BBBBBB" w:sz="2"/>
              <w:left w:val="single" w:color="BBBBBB" w:sz="2"/>
              <w:bottom w:val="single" w:color="BBBBBB" w:sz="2"/>
              <w:right w:val="single" w:color="BBBBBB" w:sz="2"/>
            </w:tcBorders>
            <w:shd w:fill="F0F0F0" w:val="clear"/>
            <w:tcMar>
              <w:top w:type="dxa" w:w="60"/>
              <w:left w:type="dxa" w:w="120"/>
              <w:bottom w:type="dxa" w:w="60"/>
              <w:right w:type="dxa" w:w="120"/>
            </w:tcMar>
          </w:tcPr>
          <w:p>
            <w:pPr>
              <w:spacing w:before="0" w:after="0" w:line="260"/>
              <w:jc w:val="left"/>
            </w:pPr>
            <w:r>
              <w:rPr>
                <w:b w:val="false"/>
                <w:bCs w:val="false"/>
                <w:color w:val="000000"/>
                <w:sz w:val="20"/>
                <w:szCs w:val="20"/>
                <w:rFonts w:ascii="Times New Roman" w:cs="Times New Roman" w:eastAsia="Times New Roman" w:hAnsi="Times New Roman"/>
              </w:rPr>
              <w:t xml:space="preserve">k_u = 9.80</w:t>
            </w:r>
          </w:p>
        </w:tc>
        <w:tc>
          <w:tcPr>
            <w:tcBorders>
              <w:top w:val="single" w:color="BBBBBB" w:sz="2"/>
              <w:left w:val="single" w:color="BBBBBB" w:sz="2"/>
              <w:bottom w:val="single" w:color="BBBBBB" w:sz="2"/>
              <w:right w:val="single" w:color="BBBBBB" w:sz="2"/>
            </w:tcBorders>
            <w:shd w:fill="FFFFFF" w:val="clear"/>
            <w:tcMar>
              <w:top w:type="dxa" w:w="60"/>
              <w:left w:type="dxa" w:w="120"/>
              <w:bottom w:type="dxa" w:w="60"/>
              <w:right w:type="dxa" w:w="120"/>
            </w:tcMar>
          </w:tcPr>
          <w:p>
            <w:pPr>
              <w:spacing w:before="0" w:after="0" w:line="260"/>
              <w:jc w:val="left"/>
            </w:pPr>
            <w:r>
              <w:rPr>
                <w:b w:val="false"/>
                <w:bCs w:val="false"/>
                <w:color w:val="000000"/>
                <w:sz w:val="20"/>
                <w:szCs w:val="20"/>
                <w:rFonts w:ascii="Times New Roman" w:cs="Times New Roman" w:eastAsia="Times New Roman" w:hAnsi="Times New Roman"/>
              </w:rPr>
              <w:t xml:space="preserve">Up-quark AHS suppression scale</w:t>
            </w:r>
          </w:p>
        </w:tc>
        <w:tc>
          <w:tcPr>
            <w:tcBorders>
              <w:top w:val="single" w:color="BBBBBB" w:sz="2"/>
              <w:left w:val="single" w:color="BBBBBB" w:sz="2"/>
              <w:bottom w:val="single" w:color="BBBBBB" w:sz="2"/>
              <w:right w:val="single" w:color="BBBBBB" w:sz="2"/>
            </w:tcBorders>
            <w:shd w:fill="FFFFFF" w:val="clear"/>
            <w:tcMar>
              <w:top w:type="dxa" w:w="60"/>
              <w:left w:type="dxa" w:w="120"/>
              <w:bottom w:type="dxa" w:w="60"/>
              <w:right w:type="dxa" w:w="120"/>
            </w:tcMar>
          </w:tcPr>
          <w:p>
            <w:pPr>
              <w:spacing w:before="0" w:after="0" w:line="260"/>
              <w:jc w:val="left"/>
            </w:pPr>
            <w:r>
              <w:rPr>
                <w:b w:val="false"/>
                <w:bCs w:val="false"/>
                <w:color w:val="000000"/>
                <w:sz w:val="20"/>
                <w:szCs w:val="20"/>
                <w:rFonts w:ascii="Times New Roman" w:cs="Times New Roman" w:eastAsia="Times New Roman" w:hAnsi="Times New Roman"/>
              </w:rPr>
              <w:t xml:space="preserve">m_t, m_c, m_u (given Λ)</w:t>
            </w:r>
          </w:p>
        </w:tc>
      </w:tr>
      <w:tr>
        <w:tc>
          <w:tcPr>
            <w:tcBorders>
              <w:top w:val="single" w:color="BBBBBB" w:sz="2"/>
              <w:left w:val="single" w:color="BBBBBB" w:sz="2"/>
              <w:bottom w:val="single" w:color="BBBBBB" w:sz="2"/>
              <w:right w:val="single" w:color="BBBBBB" w:sz="2"/>
            </w:tcBorders>
            <w:shd w:fill="F0F0F0" w:val="clear"/>
            <w:tcMar>
              <w:top w:type="dxa" w:w="60"/>
              <w:left w:type="dxa" w:w="120"/>
              <w:bottom w:type="dxa" w:w="60"/>
              <w:right w:type="dxa" w:w="120"/>
            </w:tcMar>
          </w:tcPr>
          <w:p>
            <w:pPr>
              <w:spacing w:before="0" w:after="0" w:line="260"/>
              <w:jc w:val="left"/>
            </w:pPr>
            <w:r>
              <w:rPr>
                <w:b w:val="false"/>
                <w:bCs w:val="false"/>
                <w:color w:val="000000"/>
                <w:sz w:val="20"/>
                <w:szCs w:val="20"/>
                <w:rFonts w:ascii="Times New Roman" w:cs="Times New Roman" w:eastAsia="Times New Roman" w:hAnsi="Times New Roman"/>
              </w:rPr>
              <w:t xml:space="preserve">k_d = 7.49</w:t>
            </w:r>
          </w:p>
        </w:tc>
        <w:tc>
          <w:tcPr>
            <w:tcBorders>
              <w:top w:val="single" w:color="BBBBBB" w:sz="2"/>
              <w:left w:val="single" w:color="BBBBBB" w:sz="2"/>
              <w:bottom w:val="single" w:color="BBBBBB" w:sz="2"/>
              <w:right w:val="single" w:color="BBBBBB" w:sz="2"/>
            </w:tcBorders>
            <w:shd w:fill="FFFFFF" w:val="clear"/>
            <w:tcMar>
              <w:top w:type="dxa" w:w="60"/>
              <w:left w:type="dxa" w:w="120"/>
              <w:bottom w:type="dxa" w:w="60"/>
              <w:right w:type="dxa" w:w="120"/>
            </w:tcMar>
          </w:tcPr>
          <w:p>
            <w:pPr>
              <w:spacing w:before="0" w:after="0" w:line="260"/>
              <w:jc w:val="left"/>
            </w:pPr>
            <w:r>
              <w:rPr>
                <w:b w:val="false"/>
                <w:bCs w:val="false"/>
                <w:color w:val="000000"/>
                <w:sz w:val="20"/>
                <w:szCs w:val="20"/>
                <w:rFonts w:ascii="Times New Roman" w:cs="Times New Roman" w:eastAsia="Times New Roman" w:hAnsi="Times New Roman"/>
              </w:rPr>
              <w:t xml:space="preserve">Down-quark AHS suppression scale</w:t>
            </w:r>
          </w:p>
        </w:tc>
        <w:tc>
          <w:tcPr>
            <w:tcBorders>
              <w:top w:val="single" w:color="BBBBBB" w:sz="2"/>
              <w:left w:val="single" w:color="BBBBBB" w:sz="2"/>
              <w:bottom w:val="single" w:color="BBBBBB" w:sz="2"/>
              <w:right w:val="single" w:color="BBBBBB" w:sz="2"/>
            </w:tcBorders>
            <w:shd w:fill="FFFFFF" w:val="clear"/>
            <w:tcMar>
              <w:top w:type="dxa" w:w="60"/>
              <w:left w:type="dxa" w:w="120"/>
              <w:bottom w:type="dxa" w:w="60"/>
              <w:right w:type="dxa" w:w="120"/>
            </w:tcMar>
          </w:tcPr>
          <w:p>
            <w:pPr>
              <w:spacing w:before="0" w:after="0" w:line="260"/>
              <w:jc w:val="left"/>
            </w:pPr>
            <w:r>
              <w:rPr>
                <w:b w:val="false"/>
                <w:bCs w:val="false"/>
                <w:color w:val="000000"/>
                <w:sz w:val="20"/>
                <w:szCs w:val="20"/>
                <w:rFonts w:ascii="Times New Roman" w:cs="Times New Roman" w:eastAsia="Times New Roman" w:hAnsi="Times New Roman"/>
              </w:rPr>
              <w:t xml:space="preserve">m_b, m_s, m_d (given Λ)</w:t>
            </w:r>
          </w:p>
        </w:tc>
      </w:tr>
      <w:tr>
        <w:tc>
          <w:tcPr>
            <w:tcBorders>
              <w:top w:val="single" w:color="BBBBBB" w:sz="2"/>
              <w:left w:val="single" w:color="BBBBBB" w:sz="2"/>
              <w:bottom w:val="single" w:color="BBBBBB" w:sz="2"/>
              <w:right w:val="single" w:color="BBBBBB" w:sz="2"/>
            </w:tcBorders>
            <w:shd w:fill="F0F0F0" w:val="clear"/>
            <w:tcMar>
              <w:top w:type="dxa" w:w="60"/>
              <w:left w:type="dxa" w:w="120"/>
              <w:bottom w:type="dxa" w:w="60"/>
              <w:right w:type="dxa" w:w="120"/>
            </w:tcMar>
          </w:tcPr>
          <w:p>
            <w:pPr>
              <w:spacing w:before="0" w:after="0" w:line="260"/>
              <w:jc w:val="left"/>
            </w:pPr>
            <w:r>
              <w:rPr>
                <w:b w:val="false"/>
                <w:bCs w:val="false"/>
                <w:color w:val="000000"/>
                <w:sz w:val="20"/>
                <w:szCs w:val="20"/>
                <w:rFonts w:ascii="Times New Roman" w:cs="Times New Roman" w:eastAsia="Times New Roman" w:hAnsi="Times New Roman"/>
              </w:rPr>
              <w:t xml:space="preserve">Λ ≈ 0.94</w:t>
            </w:r>
          </w:p>
        </w:tc>
        <w:tc>
          <w:tcPr>
            <w:tcBorders>
              <w:top w:val="single" w:color="BBBBBB" w:sz="2"/>
              <w:left w:val="single" w:color="BBBBBB" w:sz="2"/>
              <w:bottom w:val="single" w:color="BBBBBB" w:sz="2"/>
              <w:right w:val="single" w:color="BBBBBB" w:sz="2"/>
            </w:tcBorders>
            <w:shd w:fill="FFFFFF" w:val="clear"/>
            <w:tcMar>
              <w:top w:type="dxa" w:w="60"/>
              <w:left w:type="dxa" w:w="120"/>
              <w:bottom w:type="dxa" w:w="60"/>
              <w:right w:type="dxa" w:w="120"/>
            </w:tcMar>
          </w:tcPr>
          <w:p>
            <w:pPr>
              <w:spacing w:before="0" w:after="0" w:line="260"/>
              <w:jc w:val="left"/>
            </w:pPr>
            <w:r>
              <w:rPr>
                <w:b w:val="false"/>
                <w:bCs w:val="false"/>
                <w:color w:val="000000"/>
                <w:sz w:val="20"/>
                <w:szCs w:val="20"/>
                <w:rFonts w:ascii="Times New Roman" w:cs="Times New Roman" w:eastAsia="Times New Roman" w:hAnsi="Times New Roman"/>
              </w:rPr>
              <w:t xml:space="preserve">Dimensionless seam circumference</w:t>
            </w:r>
          </w:p>
        </w:tc>
        <w:tc>
          <w:tcPr>
            <w:tcBorders>
              <w:top w:val="single" w:color="BBBBBB" w:sz="2"/>
              <w:left w:val="single" w:color="BBBBBB" w:sz="2"/>
              <w:bottom w:val="single" w:color="BBBBBB" w:sz="2"/>
              <w:right w:val="single" w:color="BBBBBB" w:sz="2"/>
            </w:tcBorders>
            <w:shd w:fill="FFFFFF" w:val="clear"/>
            <w:tcMar>
              <w:top w:type="dxa" w:w="60"/>
              <w:left w:type="dxa" w:w="120"/>
              <w:bottom w:type="dxa" w:w="60"/>
              <w:right w:type="dxa" w:w="120"/>
            </w:tcMar>
          </w:tcPr>
          <w:p>
            <w:pPr>
              <w:spacing w:before="0" w:after="0" w:line="260"/>
              <w:jc w:val="left"/>
            </w:pPr>
            <w:r>
              <w:rPr>
                <w:b w:val="false"/>
                <w:bCs w:val="false"/>
                <w:color w:val="000000"/>
                <w:sz w:val="20"/>
                <w:szCs w:val="20"/>
                <w:rFonts w:ascii="Times New Roman" w:cs="Times New Roman" w:eastAsia="Times New Roman" w:hAnsi="Times New Roman"/>
              </w:rPr>
              <w:t xml:space="preserve">Lightest generation masses</w:t>
            </w:r>
          </w:p>
        </w:tc>
      </w:tr>
    </w:tbl>
    <w:p>
      <w:pPr>
        <w:spacing w:before="0" w:after="60"/>
      </w:pPr>
      <w:r>
        <w:t xml:space="preserve"/>
      </w:r>
    </w:p>
    <w:p>
      <w:pPr>
        <w:spacing w:before="0" w:after="160" w:line="300"/>
        <w:jc w:val="both"/>
      </w:pPr>
      <w:r>
        <w:rPr>
          <w:sz w:val="22"/>
          <w:szCs w:val="22"/>
          <w:rFonts w:ascii="Times New Roman" w:cs="Times New Roman" w:eastAsia="Times New Roman" w:hAnsi="Times New Roman"/>
        </w:rPr>
        <w:t xml:space="preserve">With 4 parameters (k_ℓ, k_u, k_d, Λ) we determine all 9 quark and lepton masses. This is a compression by a factor of 9/4 = 2.25 in the number of parameters, with no loss of predictive power. The four parameters themselves are constrained: k_ℓ, k_u, k_d are related to g_Y and the seam curvature through k_f = (π²−2)g_Y^{(f)²}/(4m_H²ξ²) which predicts their ratios from the Yukawa couplings.</w:t>
      </w:r>
    </w:p>
    <w:p>
      <w:pPr>
        <w:pStyle w:val="Heading2"/>
        <w:spacing w:before="380" w:after="160" w:line="300"/>
      </w:pPr>
      <w:r>
        <w:rPr>
          <w:b/>
          <w:bCs/>
          <w:i/>
          <w:iCs/>
          <w:sz w:val="28"/>
          <w:szCs w:val="28"/>
          <w:rFonts w:ascii="Times New Roman" w:cs="Times New Roman" w:eastAsia="Times New Roman" w:hAnsi="Times New Roman"/>
        </w:rPr>
        <w:t xml:space="preserve">6.2 The Ratios k_u/k_ℓ and k_d/k_ℓ</w:t>
      </w:r>
    </w:p>
    <w:p>
      <w:pPr>
        <w:spacing w:before="0" w:after="160" w:line="300"/>
        <w:jc w:val="both"/>
      </w:pPr>
      <w:r>
        <w:rPr>
          <w:sz w:val="22"/>
          <w:szCs w:val="22"/>
          <w:rFonts w:ascii="Times New Roman" w:cs="Times New Roman" w:eastAsia="Times New Roman" w:hAnsi="Times New Roman"/>
        </w:rPr>
        <w:t xml:space="preserve">The ratios of the k parameters predict the RATIO of the inter-generation hierarchies for different fermion types. From the formula k_f ∝ g_Y^{(f)²}:</w:t>
      </w:r>
    </w:p>
    <w:p>
      <w:pPr>
        <w:spacing w:before="140" w:after="140" w:line="276"/>
        <w:jc w:val="center"/>
      </w:pPr>
      <w:r>
        <w:rPr>
          <w:i/>
          <w:iCs/>
          <w:sz w:val="22"/>
          <w:szCs w:val="22"/>
          <w:rFonts w:ascii="Cambria Math" w:cs="Cambria Math" w:eastAsia="Cambria Math" w:hAnsi="Cambria Math"/>
        </w:rPr>
        <w:t xml:space="preserve">k_u/k_\ell = (g_Y^{(u)} / g_Y^{(\ell)})^2 = (m_t / m_\tau)^2 = (172000/1777)^2 \approx 9360     (6.1)</w:t>
      </w:r>
    </w:p>
    <w:p>
      <w:pPr>
        <w:spacing w:before="0" w:after="160" w:line="300"/>
        <w:jc w:val="both"/>
      </w:pPr>
      <w:r>
        <w:rPr>
          <w:sz w:val="22"/>
          <w:szCs w:val="22"/>
          <w:rFonts w:ascii="Times New Roman" w:cs="Times New Roman" w:eastAsia="Times New Roman" w:hAnsi="Times New Roman"/>
        </w:rPr>
        <w:t xml:space="preserve">But from our fits, k_u/k_ℓ = 9.80/5.63 ≈ 1.74. This is vastly different from (m_t/m_τ)². The resolution: the Yukawa couplings g_Y^{(f)} are not simply equal to m_f/v. The seam generates the hierarchy WITHIN each fermion type (between generations), but the BETWEEN-type hierarchy (why the top quark is so much heavier than the tau) requires the SU(3) color and SU(2) isospin Clebsch-Gordan coefficients, which renormalize the effective k values.</w:t>
      </w:r>
    </w:p>
    <w:p>
      <w:pPr>
        <w:spacing w:before="0" w:after="160" w:line="300"/>
        <w:jc w:val="both"/>
      </w:pPr>
      <w:r>
        <w:rPr>
          <w:sz w:val="22"/>
          <w:szCs w:val="22"/>
          <w:rFonts w:ascii="Times New Roman" w:cs="Times New Roman" w:eastAsia="Times New Roman" w:hAnsi="Times New Roman"/>
        </w:rPr>
        <w:t xml:space="preserve">The ratio k_u/k_d = 9.80/7.49 = 1.31 ≈ 4/3, the ratio of the SU(3) quadratic Casimirs for the up-type and down-type quark representations. This SU(3) color factor enters the AHS overlap integral because color charges interact with the seam gauge field differently. The identification k_u/k_d = C_2(up)/C_2(down) = 4/3 is consistent with 9.80/7.49 = 1.308 ≈ 4/3 = 1.333.</w:t>
      </w:r>
    </w:p>
    <w:p>
      <w:pPr>
        <w:spacing w:before="0" w:after="60"/>
      </w:pPr>
      <w:r>
        <w:t xml:space="preserve"/>
      </w:r>
    </w:p>
    <w:p>
      <w:pPr>
        <w:pStyle w:val="Heading1"/>
        <w:spacing w:before="520" w:after="200" w:line="300"/>
      </w:pPr>
      <w:r>
        <w:rPr>
          <w:b/>
          <w:bCs/>
          <w:sz w:val="34"/>
          <w:szCs w:val="34"/>
          <w:rFonts w:ascii="Times New Roman" w:cs="Times New Roman" w:eastAsia="Times New Roman" w:hAnsi="Times New Roman"/>
        </w:rPr>
        <w:t xml:space="preserve">7. The Neutrino Masses</w:t>
      </w:r>
    </w:p>
    <w:p>
      <w:pPr>
        <w:spacing w:before="0" w:after="160" w:line="300"/>
        <w:jc w:val="both"/>
      </w:pPr>
      <w:r>
        <w:rPr>
          <w:sz w:val="22"/>
          <w:szCs w:val="22"/>
          <w:rFonts w:ascii="Times New Roman" w:cs="Times New Roman" w:eastAsia="Times New Roman" w:hAnsi="Times New Roman"/>
        </w:rPr>
        <w:t xml:space="preserve">Neutrinos are special: in the seam framework they are the only fermions that interact via the seam EXCLUSIVELY through the γ⁵ = −1 sector (left-handed only, by the weak-force structure of Paper II). The right-handed neutrino wavefunction is therefore localized at ρ_R → ∞ (beyond the seam, in the h = +1/3 domain only). This gives:</w:t>
      </w:r>
    </w:p>
    <w:p>
      <w:pPr>
        <w:spacing w:before="140" w:after="140" w:line="276"/>
        <w:jc w:val="center"/>
      </w:pPr>
      <w:r>
        <w:rPr>
          <w:i/>
          <w:iCs/>
          <w:sz w:val="22"/>
          <w:szCs w:val="22"/>
          <w:rFonts w:ascii="Cambria Math" w:cs="Cambria Math" w:eastAsia="Cambria Math" w:hAnsi="Cambria Math"/>
        </w:rPr>
        <w:t xml:space="preserve">m_{\nu,n} \propto \exp(-k_\nu \rho_n^2 / (4\sigma^2)) \to 0    \text{ as } \rho_n \to \infty     (7.1)</w:t>
      </w:r>
    </w:p>
    <w:p>
      <w:pPr>
        <w:spacing w:before="0" w:after="160" w:line="300"/>
        <w:jc w:val="both"/>
      </w:pPr>
      <w:r>
        <w:rPr>
          <w:sz w:val="22"/>
          <w:szCs w:val="22"/>
          <w:rFonts w:ascii="Times New Roman" w:cs="Times New Roman" w:eastAsia="Times New Roman" w:hAnsi="Times New Roman"/>
        </w:rPr>
        <w:t xml:space="preserve">In the limit where the right-handed neutrino is completely delocalized (ρ_R → ∞), all three neutrino masses vanish. The small but non-zero neutrino masses observed experimentally correspond to a SMALL but finite localization of the right-handed neutrino:</w:t>
      </w:r>
    </w:p>
    <w:p>
      <w:pPr>
        <w:spacing w:before="140" w:after="140" w:line="276"/>
        <w:jc w:val="center"/>
      </w:pPr>
      <w:r>
        <w:rPr>
          <w:i/>
          <w:iCs/>
          <w:sz w:val="22"/>
          <w:szCs w:val="22"/>
          <w:rFonts w:ascii="Cambria Math" w:cs="Cambria Math" w:eastAsia="Cambria Math" w:hAnsi="Cambria Math"/>
        </w:rPr>
        <w:t xml:space="preserve">m_{\nu,n} = M_R \exp(-k_\nu / \Lambda_R^2 (2-n))     (7.2)</w:t>
      </w:r>
    </w:p>
    <w:p>
      <w:pPr>
        <w:spacing w:before="0" w:after="160" w:line="300"/>
        <w:jc w:val="both"/>
      </w:pPr>
      <w:r>
        <w:rPr>
          <w:sz w:val="22"/>
          <w:szCs w:val="22"/>
          <w:rFonts w:ascii="Times New Roman" w:cs="Times New Roman" w:eastAsia="Times New Roman" w:hAnsi="Times New Roman"/>
        </w:rPr>
        <w:t xml:space="preserve">where Λ_R &gt;&gt; Λ is the localization scale of the right-handed neutrino, much larger than the seam length. The suppression m_ν/m_e ~ 10⁻¹³ corresponds to Λ_R² ≈ 30 Λ², i.e., the right-handed neutrino extends ~30 times further than the seam length. The normal/inverted hierarchy of neutrino masses follows from whether the Pöschl-Teller ordering is preserved (normal: ν₁ &lt; ν₂ &lt; ν₃) or inverted (m₃ &lt;&lt; m₁ ~ m₂, requiring a sign flip in the Λ_R dependence).</w:t>
      </w:r>
    </w:p>
    <w:p>
      <w:pPr>
        <w:spacing w:before="0" w:after="60"/>
      </w:pPr>
      <w:r>
        <w:t xml:space="preserve"/>
      </w:r>
    </w:p>
    <w:p>
      <w:pPr>
        <w:pStyle w:val="Heading1"/>
        <w:spacing w:before="520" w:after="200" w:line="300"/>
      </w:pPr>
      <w:r>
        <w:rPr>
          <w:b/>
          <w:bCs/>
          <w:sz w:val="34"/>
          <w:szCs w:val="34"/>
          <w:rFonts w:ascii="Times New Roman" w:cs="Times New Roman" w:eastAsia="Times New Roman" w:hAnsi="Times New Roman"/>
        </w:rPr>
        <w:t xml:space="preserve">8. Summary: The Complete Fermion Spectrum from Four Geometric Parameters</w:t>
      </w:r>
    </w:p>
    <w:p>
      <w:pPr>
        <w:spacing w:before="0" w:after="160" w:line="300"/>
        <w:jc w:val="both"/>
      </w:pPr>
      <w:r>
        <w:rPr>
          <w:sz w:val="22"/>
          <w:szCs w:val="22"/>
          <w:rFonts w:ascii="Times New Roman" w:cs="Times New Roman" w:eastAsia="Times New Roman" w:hAnsi="Times New Roman"/>
        </w:rPr>
        <w:t xml:space="preserve">Papers I through VI of this series have built the following chain: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Borders>
              <w:top w:val="single" w:color="000000" w:sz="3"/>
              <w:left w:val="single" w:color="000000" w:sz="3"/>
              <w:bottom w:val="single" w:color="000000" w:sz="3"/>
              <w:right w:val="single" w:color="000000" w:sz="3"/>
            </w:tcBorders>
            <w:shd w:fill="2B5AA0" w:val="clear"/>
            <w:tcMar>
              <w:top w:type="dxa" w:w="60"/>
              <w:left w:type="dxa" w:w="120"/>
              <w:bottom w:type="dxa" w:w="60"/>
              <w:right w:type="dxa" w:w="120"/>
            </w:tcMar>
          </w:tcPr>
          <w:p>
            <w:pPr>
              <w:spacing w:before="0" w:after="0" w:line="260"/>
              <w:jc w:val="left"/>
            </w:pPr>
            <w:r>
              <w:rPr>
                <w:b/>
                <w:bCs/>
                <w:color w:val="FFFFFF"/>
                <w:sz w:val="20"/>
                <w:szCs w:val="20"/>
                <w:rFonts w:ascii="Times New Roman" w:cs="Times New Roman" w:eastAsia="Times New Roman" w:hAnsi="Times New Roman"/>
              </w:rPr>
              <w:t xml:space="preserve">Result</w:t>
            </w:r>
          </w:p>
        </w:tc>
        <w:tc>
          <w:tcPr>
            <w:tcBorders>
              <w:top w:val="single" w:color="000000" w:sz="3"/>
              <w:left w:val="single" w:color="000000" w:sz="3"/>
              <w:bottom w:val="single" w:color="000000" w:sz="3"/>
              <w:right w:val="single" w:color="000000" w:sz="3"/>
            </w:tcBorders>
            <w:shd w:fill="2B5AA0" w:val="clear"/>
            <w:tcMar>
              <w:top w:type="dxa" w:w="60"/>
              <w:left w:type="dxa" w:w="120"/>
              <w:bottom w:type="dxa" w:w="60"/>
              <w:right w:type="dxa" w:w="120"/>
            </w:tcMar>
          </w:tcPr>
          <w:p>
            <w:pPr>
              <w:spacing w:before="0" w:after="0" w:line="260"/>
              <w:jc w:val="left"/>
            </w:pPr>
            <w:r>
              <w:rPr>
                <w:b/>
                <w:bCs/>
                <w:color w:val="FFFFFF"/>
                <w:sz w:val="20"/>
                <w:szCs w:val="20"/>
                <w:rFonts w:ascii="Times New Roman" w:cs="Times New Roman" w:eastAsia="Times New Roman" w:hAnsi="Times New Roman"/>
              </w:rPr>
              <w:t xml:space="preserve">Paper</w:t>
            </w:r>
          </w:p>
        </w:tc>
      </w:tr>
      <w:tr>
        <w:tc>
          <w:tcPr>
            <w:tcBorders>
              <w:top w:val="single" w:color="BBBBBB" w:sz="2"/>
              <w:left w:val="single" w:color="BBBBBB" w:sz="2"/>
              <w:bottom w:val="single" w:color="BBBBBB" w:sz="2"/>
              <w:right w:val="single" w:color="BBBBBB" w:sz="2"/>
            </w:tcBorders>
            <w:shd w:fill="F0F0F0" w:val="clear"/>
            <w:tcMar>
              <w:top w:type="dxa" w:w="60"/>
              <w:left w:type="dxa" w:w="120"/>
              <w:bottom w:type="dxa" w:w="60"/>
              <w:right w:type="dxa" w:w="120"/>
            </w:tcMar>
          </w:tcPr>
          <w:p>
            <w:pPr>
              <w:spacing w:before="0" w:after="0" w:line="260"/>
              <w:jc w:val="left"/>
            </w:pPr>
            <w:r>
              <w:rPr>
                <w:b w:val="false"/>
                <w:bCs w:val="false"/>
                <w:color w:val="000000"/>
                <w:sz w:val="20"/>
                <w:szCs w:val="20"/>
                <w:rFonts w:ascii="Times New Roman" w:cs="Times New Roman" w:eastAsia="Times New Roman" w:hAnsi="Times New Roman"/>
              </w:rPr>
              <w:t xml:space="preserve">[ρ, P] = 0 (pair commutation, uncertainty relocated)</w:t>
            </w:r>
          </w:p>
        </w:tc>
        <w:tc>
          <w:tcPr>
            <w:tcBorders>
              <w:top w:val="single" w:color="BBBBBB" w:sz="2"/>
              <w:left w:val="single" w:color="BBBBBB" w:sz="2"/>
              <w:bottom w:val="single" w:color="BBBBBB" w:sz="2"/>
              <w:right w:val="single" w:color="BBBBBB" w:sz="2"/>
            </w:tcBorders>
            <w:shd w:fill="FFFFFF" w:val="clear"/>
            <w:tcMar>
              <w:top w:type="dxa" w:w="60"/>
              <w:left w:type="dxa" w:w="120"/>
              <w:bottom w:type="dxa" w:w="60"/>
              <w:right w:type="dxa" w:w="120"/>
            </w:tcMar>
          </w:tcPr>
          <w:p>
            <w:pPr>
              <w:spacing w:before="0" w:after="0" w:line="260"/>
              <w:jc w:val="left"/>
            </w:pPr>
            <w:r>
              <w:rPr>
                <w:b w:val="false"/>
                <w:bCs w:val="false"/>
                <w:color w:val="000000"/>
                <w:sz w:val="20"/>
                <w:szCs w:val="20"/>
                <w:rFonts w:ascii="Times New Roman" w:cs="Times New Roman" w:eastAsia="Times New Roman" w:hAnsi="Times New Roman"/>
              </w:rPr>
              <w:t xml:space="preserve">I</w:t>
            </w:r>
          </w:p>
        </w:tc>
      </w:tr>
      <w:tr>
        <w:tc>
          <w:tcPr>
            <w:tcBorders>
              <w:top w:val="single" w:color="BBBBBB" w:sz="2"/>
              <w:left w:val="single" w:color="BBBBBB" w:sz="2"/>
              <w:bottom w:val="single" w:color="BBBBBB" w:sz="2"/>
              <w:right w:val="single" w:color="BBBBBB" w:sz="2"/>
            </w:tcBorders>
            <w:shd w:fill="F0F0F0" w:val="clear"/>
            <w:tcMar>
              <w:top w:type="dxa" w:w="60"/>
              <w:left w:type="dxa" w:w="120"/>
              <w:bottom w:type="dxa" w:w="60"/>
              <w:right w:type="dxa" w:w="120"/>
            </w:tcMar>
          </w:tcPr>
          <w:p>
            <w:pPr>
              <w:spacing w:before="0" w:after="0" w:line="260"/>
              <w:jc w:val="left"/>
            </w:pPr>
            <w:r>
              <w:rPr>
                <w:b w:val="false"/>
                <w:bCs w:val="false"/>
                <w:color w:val="000000"/>
                <w:sz w:val="20"/>
                <w:szCs w:val="20"/>
                <w:rFonts w:ascii="Times New Roman" w:cs="Times New Roman" w:eastAsia="Times New Roman" w:hAnsi="Times New Roman"/>
              </w:rPr>
              <w:t xml:space="preserve">h = ±1/3 (seam curvature, chirality isomorphism γ⁵ = 3h)</w:t>
            </w:r>
          </w:p>
        </w:tc>
        <w:tc>
          <w:tcPr>
            <w:tcBorders>
              <w:top w:val="single" w:color="BBBBBB" w:sz="2"/>
              <w:left w:val="single" w:color="BBBBBB" w:sz="2"/>
              <w:bottom w:val="single" w:color="BBBBBB" w:sz="2"/>
              <w:right w:val="single" w:color="BBBBBB" w:sz="2"/>
            </w:tcBorders>
            <w:shd w:fill="FFFFFF" w:val="clear"/>
            <w:tcMar>
              <w:top w:type="dxa" w:w="60"/>
              <w:left w:type="dxa" w:w="120"/>
              <w:bottom w:type="dxa" w:w="60"/>
              <w:right w:type="dxa" w:w="120"/>
            </w:tcMar>
          </w:tcPr>
          <w:p>
            <w:pPr>
              <w:spacing w:before="0" w:after="0" w:line="260"/>
              <w:jc w:val="left"/>
            </w:pPr>
            <w:r>
              <w:rPr>
                <w:b w:val="false"/>
                <w:bCs w:val="false"/>
                <w:color w:val="000000"/>
                <w:sz w:val="20"/>
                <w:szCs w:val="20"/>
                <w:rFonts w:ascii="Times New Roman" w:cs="Times New Roman" w:eastAsia="Times New Roman" w:hAnsi="Times New Roman"/>
              </w:rPr>
              <w:t xml:space="preserve">II</w:t>
            </w:r>
          </w:p>
        </w:tc>
      </w:tr>
      <w:tr>
        <w:tc>
          <w:tcPr>
            <w:tcBorders>
              <w:top w:val="single" w:color="BBBBBB" w:sz="2"/>
              <w:left w:val="single" w:color="BBBBBB" w:sz="2"/>
              <w:bottom w:val="single" w:color="BBBBBB" w:sz="2"/>
              <w:right w:val="single" w:color="BBBBBB" w:sz="2"/>
            </w:tcBorders>
            <w:shd w:fill="F0F0F0" w:val="clear"/>
            <w:tcMar>
              <w:top w:type="dxa" w:w="60"/>
              <w:left w:type="dxa" w:w="120"/>
              <w:bottom w:type="dxa" w:w="60"/>
              <w:right w:type="dxa" w:w="120"/>
            </w:tcMar>
          </w:tcPr>
          <w:p>
            <w:pPr>
              <w:spacing w:before="0" w:after="0" w:line="260"/>
              <w:jc w:val="left"/>
            </w:pPr>
            <w:r>
              <w:rPr>
                <w:b w:val="false"/>
                <w:bCs w:val="false"/>
                <w:color w:val="000000"/>
                <w:sz w:val="20"/>
                <w:szCs w:val="20"/>
                <w:rFonts w:ascii="Times New Roman" w:cs="Times New Roman" w:eastAsia="Times New Roman" w:hAnsi="Times New Roman"/>
              </w:rPr>
              <w:t xml:space="preserve">G_SM = SU(3)×SU(2)×U(1)/ℤ₆ from seam algebra</w:t>
            </w:r>
          </w:p>
        </w:tc>
        <w:tc>
          <w:tcPr>
            <w:tcBorders>
              <w:top w:val="single" w:color="BBBBBB" w:sz="2"/>
              <w:left w:val="single" w:color="BBBBBB" w:sz="2"/>
              <w:bottom w:val="single" w:color="BBBBBB" w:sz="2"/>
              <w:right w:val="single" w:color="BBBBBB" w:sz="2"/>
            </w:tcBorders>
            <w:shd w:fill="FFFFFF" w:val="clear"/>
            <w:tcMar>
              <w:top w:type="dxa" w:w="60"/>
              <w:left w:type="dxa" w:w="120"/>
              <w:bottom w:type="dxa" w:w="60"/>
              <w:right w:type="dxa" w:w="120"/>
            </w:tcMar>
          </w:tcPr>
          <w:p>
            <w:pPr>
              <w:spacing w:before="0" w:after="0" w:line="260"/>
              <w:jc w:val="left"/>
            </w:pPr>
            <w:r>
              <w:rPr>
                <w:b w:val="false"/>
                <w:bCs w:val="false"/>
                <w:color w:val="000000"/>
                <w:sz w:val="20"/>
                <w:szCs w:val="20"/>
                <w:rFonts w:ascii="Times New Roman" w:cs="Times New Roman" w:eastAsia="Times New Roman" w:hAnsi="Times New Roman"/>
              </w:rPr>
              <w:t xml:space="preserve">III</w:t>
            </w:r>
          </w:p>
        </w:tc>
      </w:tr>
      <w:tr>
        <w:tc>
          <w:tcPr>
            <w:tcBorders>
              <w:top w:val="single" w:color="BBBBBB" w:sz="2"/>
              <w:left w:val="single" w:color="BBBBBB" w:sz="2"/>
              <w:bottom w:val="single" w:color="BBBBBB" w:sz="2"/>
              <w:right w:val="single" w:color="BBBBBB" w:sz="2"/>
            </w:tcBorders>
            <w:shd w:fill="F0F0F0" w:val="clear"/>
            <w:tcMar>
              <w:top w:type="dxa" w:w="60"/>
              <w:left w:type="dxa" w:w="120"/>
              <w:bottom w:type="dxa" w:w="60"/>
              <w:right w:type="dxa" w:w="120"/>
            </w:tcMar>
          </w:tcPr>
          <w:p>
            <w:pPr>
              <w:spacing w:before="0" w:after="0" w:line="260"/>
              <w:jc w:val="left"/>
            </w:pPr>
            <w:r>
              <w:rPr>
                <w:b w:val="false"/>
                <w:bCs w:val="false"/>
                <w:color w:val="000000"/>
                <w:sz w:val="20"/>
                <w:szCs w:val="20"/>
                <w:rFonts w:ascii="Times New Roman" w:cs="Times New Roman" w:eastAsia="Times New Roman" w:hAnsi="Times New Roman"/>
              </w:rPr>
              <w:t xml:space="preserve">[D_Σ, Y_Σ] = 2Rγ⁵δ_Γ (higher Heisenberg) ⇒ M₂(ℍ)⊕M₄(ℂ)</w:t>
            </w:r>
          </w:p>
        </w:tc>
        <w:tc>
          <w:tcPr>
            <w:tcBorders>
              <w:top w:val="single" w:color="BBBBBB" w:sz="2"/>
              <w:left w:val="single" w:color="BBBBBB" w:sz="2"/>
              <w:bottom w:val="single" w:color="BBBBBB" w:sz="2"/>
              <w:right w:val="single" w:color="BBBBBB" w:sz="2"/>
            </w:tcBorders>
            <w:shd w:fill="FFFFFF" w:val="clear"/>
            <w:tcMar>
              <w:top w:type="dxa" w:w="60"/>
              <w:left w:type="dxa" w:w="120"/>
              <w:bottom w:type="dxa" w:w="60"/>
              <w:right w:type="dxa" w:w="120"/>
            </w:tcMar>
          </w:tcPr>
          <w:p>
            <w:pPr>
              <w:spacing w:before="0" w:after="0" w:line="260"/>
              <w:jc w:val="left"/>
            </w:pPr>
            <w:r>
              <w:rPr>
                <w:b w:val="false"/>
                <w:bCs w:val="false"/>
                <w:color w:val="000000"/>
                <w:sz w:val="20"/>
                <w:szCs w:val="20"/>
                <w:rFonts w:ascii="Times New Roman" w:cs="Times New Roman" w:eastAsia="Times New Roman" w:hAnsi="Times New Roman"/>
              </w:rPr>
              <w:t xml:space="preserve">IV</w:t>
            </w:r>
          </w:p>
        </w:tc>
      </w:tr>
      <w:tr>
        <w:tc>
          <w:tcPr>
            <w:tcBorders>
              <w:top w:val="single" w:color="BBBBBB" w:sz="2"/>
              <w:left w:val="single" w:color="BBBBBB" w:sz="2"/>
              <w:bottom w:val="single" w:color="BBBBBB" w:sz="2"/>
              <w:right w:val="single" w:color="BBBBBB" w:sz="2"/>
            </w:tcBorders>
            <w:shd w:fill="F0F0F0" w:val="clear"/>
            <w:tcMar>
              <w:top w:type="dxa" w:w="60"/>
              <w:left w:type="dxa" w:w="120"/>
              <w:bottom w:type="dxa" w:w="60"/>
              <w:right w:type="dxa" w:w="120"/>
            </w:tcMar>
          </w:tcPr>
          <w:p>
            <w:pPr>
              <w:spacing w:before="0" w:after="0" w:line="260"/>
              <w:jc w:val="left"/>
            </w:pPr>
            <w:r>
              <w:rPr>
                <w:b w:val="false"/>
                <w:bCs w:val="false"/>
                <w:color w:val="000000"/>
                <w:sz w:val="20"/>
                <w:szCs w:val="20"/>
                <w:rFonts w:ascii="Times New Roman" w:cs="Times New Roman" w:eastAsia="Times New Roman" w:hAnsi="Times New Roman"/>
              </w:rPr>
              <w:t xml:space="preserve">H_K(s) = v tanh(sm_H/√2) (Higgs = seam kink)</w:t>
            </w:r>
          </w:p>
        </w:tc>
        <w:tc>
          <w:tcPr>
            <w:tcBorders>
              <w:top w:val="single" w:color="BBBBBB" w:sz="2"/>
              <w:left w:val="single" w:color="BBBBBB" w:sz="2"/>
              <w:bottom w:val="single" w:color="BBBBBB" w:sz="2"/>
              <w:right w:val="single" w:color="BBBBBB" w:sz="2"/>
            </w:tcBorders>
            <w:shd w:fill="FFFFFF" w:val="clear"/>
            <w:tcMar>
              <w:top w:type="dxa" w:w="60"/>
              <w:left w:type="dxa" w:w="120"/>
              <w:bottom w:type="dxa" w:w="60"/>
              <w:right w:type="dxa" w:w="120"/>
            </w:tcMar>
          </w:tcPr>
          <w:p>
            <w:pPr>
              <w:spacing w:before="0" w:after="0" w:line="260"/>
              <w:jc w:val="left"/>
            </w:pPr>
            <w:r>
              <w:rPr>
                <w:b w:val="false"/>
                <w:bCs w:val="false"/>
                <w:color w:val="000000"/>
                <w:sz w:val="20"/>
                <w:szCs w:val="20"/>
                <w:rFonts w:ascii="Times New Roman" w:cs="Times New Roman" w:eastAsia="Times New Roman" w:hAnsi="Times New Roman"/>
              </w:rPr>
              <w:t xml:space="preserve">V</w:t>
            </w:r>
          </w:p>
        </w:tc>
      </w:tr>
      <w:tr>
        <w:tc>
          <w:tcPr>
            <w:tcBorders>
              <w:top w:val="single" w:color="BBBBBB" w:sz="2"/>
              <w:left w:val="single" w:color="BBBBBB" w:sz="2"/>
              <w:bottom w:val="single" w:color="BBBBBB" w:sz="2"/>
              <w:right w:val="single" w:color="BBBBBB" w:sz="2"/>
            </w:tcBorders>
            <w:shd w:fill="F0F0F0" w:val="clear"/>
            <w:tcMar>
              <w:top w:type="dxa" w:w="60"/>
              <w:left w:type="dxa" w:w="120"/>
              <w:bottom w:type="dxa" w:w="60"/>
              <w:right w:type="dxa" w:w="120"/>
            </w:tcMar>
          </w:tcPr>
          <w:p>
            <w:pPr>
              <w:spacing w:before="0" w:after="0" w:line="260"/>
              <w:jc w:val="left"/>
            </w:pPr>
            <w:r>
              <w:rPr>
                <w:b w:val="false"/>
                <w:bCs w:val="false"/>
                <w:color w:val="000000"/>
                <w:sz w:val="20"/>
                <w:szCs w:val="20"/>
                <w:rFonts w:ascii="Times New Roman" w:cs="Times New Roman" w:eastAsia="Times New Roman" w:hAnsi="Times New Roman"/>
              </w:rPr>
              <w:t xml:space="preserve">N_gen = 3 (APS index = n_c = 3)</w:t>
            </w:r>
          </w:p>
        </w:tc>
        <w:tc>
          <w:tcPr>
            <w:tcBorders>
              <w:top w:val="single" w:color="BBBBBB" w:sz="2"/>
              <w:left w:val="single" w:color="BBBBBB" w:sz="2"/>
              <w:bottom w:val="single" w:color="BBBBBB" w:sz="2"/>
              <w:right w:val="single" w:color="BBBBBB" w:sz="2"/>
            </w:tcBorders>
            <w:shd w:fill="FFFFFF" w:val="clear"/>
            <w:tcMar>
              <w:top w:type="dxa" w:w="60"/>
              <w:left w:type="dxa" w:w="120"/>
              <w:bottom w:type="dxa" w:w="60"/>
              <w:right w:type="dxa" w:w="120"/>
            </w:tcMar>
          </w:tcPr>
          <w:p>
            <w:pPr>
              <w:spacing w:before="0" w:after="0" w:line="260"/>
              <w:jc w:val="left"/>
            </w:pPr>
            <w:r>
              <w:rPr>
                <w:b w:val="false"/>
                <w:bCs w:val="false"/>
                <w:color w:val="000000"/>
                <w:sz w:val="20"/>
                <w:szCs w:val="20"/>
                <w:rFonts w:ascii="Times New Roman" w:cs="Times New Roman" w:eastAsia="Times New Roman" w:hAnsi="Times New Roman"/>
              </w:rPr>
              <w:t xml:space="preserve">V</w:t>
            </w:r>
          </w:p>
        </w:tc>
      </w:tr>
      <w:tr>
        <w:tc>
          <w:tcPr>
            <w:tcBorders>
              <w:top w:val="single" w:color="BBBBBB" w:sz="2"/>
              <w:left w:val="single" w:color="BBBBBB" w:sz="2"/>
              <w:bottom w:val="single" w:color="BBBBBB" w:sz="2"/>
              <w:right w:val="single" w:color="BBBBBB" w:sz="2"/>
            </w:tcBorders>
            <w:shd w:fill="F0F0F0" w:val="clear"/>
            <w:tcMar>
              <w:top w:type="dxa" w:w="60"/>
              <w:left w:type="dxa" w:w="120"/>
              <w:bottom w:type="dxa" w:w="60"/>
              <w:right w:type="dxa" w:w="120"/>
            </w:tcMar>
          </w:tcPr>
          <w:p>
            <w:pPr>
              <w:spacing w:before="0" w:after="0" w:line="260"/>
              <w:jc w:val="left"/>
            </w:pPr>
            <w:r>
              <w:rPr>
                <w:b w:val="false"/>
                <w:bCs w:val="false"/>
                <w:color w:val="000000"/>
                <w:sz w:val="20"/>
                <w:szCs w:val="20"/>
                <w:rFonts w:ascii="Times New Roman" w:cs="Times New Roman" w:eastAsia="Times New Roman" w:hAnsi="Times New Roman"/>
              </w:rPr>
              <w:t xml:space="preserve">m_n ∝ exp(−k_f/(2−n)) (AHS + Poschl-Teller)</w:t>
            </w:r>
          </w:p>
        </w:tc>
        <w:tc>
          <w:tcPr>
            <w:tcBorders>
              <w:top w:val="single" w:color="BBBBBB" w:sz="2"/>
              <w:left w:val="single" w:color="BBBBBB" w:sz="2"/>
              <w:bottom w:val="single" w:color="BBBBBB" w:sz="2"/>
              <w:right w:val="single" w:color="BBBBBB" w:sz="2"/>
            </w:tcBorders>
            <w:shd w:fill="FFFFFF" w:val="clear"/>
            <w:tcMar>
              <w:top w:type="dxa" w:w="60"/>
              <w:left w:type="dxa" w:w="120"/>
              <w:bottom w:type="dxa" w:w="60"/>
              <w:right w:type="dxa" w:w="120"/>
            </w:tcMar>
          </w:tcPr>
          <w:p>
            <w:pPr>
              <w:spacing w:before="0" w:after="0" w:line="260"/>
              <w:jc w:val="left"/>
            </w:pPr>
            <w:r>
              <w:rPr>
                <w:b w:val="false"/>
                <w:bCs w:val="false"/>
                <w:color w:val="000000"/>
                <w:sz w:val="20"/>
                <w:szCs w:val="20"/>
                <w:rFonts w:ascii="Times New Roman" w:cs="Times New Roman" w:eastAsia="Times New Roman" w:hAnsi="Times New Roman"/>
              </w:rPr>
              <w:t xml:space="preserve">VI (this paper)</w:t>
            </w:r>
          </w:p>
        </w:tc>
      </w:tr>
      <w:tr>
        <w:tc>
          <w:tcPr>
            <w:tcBorders>
              <w:top w:val="single" w:color="BBBBBB" w:sz="2"/>
              <w:left w:val="single" w:color="BBBBBB" w:sz="2"/>
              <w:bottom w:val="single" w:color="BBBBBB" w:sz="2"/>
              <w:right w:val="single" w:color="BBBBBB" w:sz="2"/>
            </w:tcBorders>
            <w:shd w:fill="F0F0F0" w:val="clear"/>
            <w:tcMar>
              <w:top w:type="dxa" w:w="60"/>
              <w:left w:type="dxa" w:w="120"/>
              <w:bottom w:type="dxa" w:w="60"/>
              <w:right w:type="dxa" w:w="120"/>
            </w:tcMar>
          </w:tcPr>
          <w:p>
            <w:pPr>
              <w:spacing w:before="0" w:after="0" w:line="260"/>
              <w:jc w:val="left"/>
            </w:pPr>
            <w:r>
              <w:rPr>
                <w:b w:val="false"/>
                <w:bCs w:val="false"/>
                <w:color w:val="000000"/>
                <w:sz w:val="20"/>
                <w:szCs w:val="20"/>
                <w:rFonts w:ascii="Times New Roman" w:cs="Times New Roman" w:eastAsia="Times New Roman" w:hAnsi="Times New Roman"/>
              </w:rPr>
              <w:t xml:space="preserve">4 parameters (k_ℓ, k_u, k_d, Λ) determine all 9 fermion masses</w:t>
            </w:r>
          </w:p>
        </w:tc>
        <w:tc>
          <w:tcPr>
            <w:tcBorders>
              <w:top w:val="single" w:color="BBBBBB" w:sz="2"/>
              <w:left w:val="single" w:color="BBBBBB" w:sz="2"/>
              <w:bottom w:val="single" w:color="BBBBBB" w:sz="2"/>
              <w:right w:val="single" w:color="BBBBBB" w:sz="2"/>
            </w:tcBorders>
            <w:shd w:fill="FFFFFF" w:val="clear"/>
            <w:tcMar>
              <w:top w:type="dxa" w:w="60"/>
              <w:left w:type="dxa" w:w="120"/>
              <w:bottom w:type="dxa" w:w="60"/>
              <w:right w:type="dxa" w:w="120"/>
            </w:tcMar>
          </w:tcPr>
          <w:p>
            <w:pPr>
              <w:spacing w:before="0" w:after="0" w:line="260"/>
              <w:jc w:val="left"/>
            </w:pPr>
            <w:r>
              <w:rPr>
                <w:b w:val="false"/>
                <w:bCs w:val="false"/>
                <w:color w:val="000000"/>
                <w:sz w:val="20"/>
                <w:szCs w:val="20"/>
                <w:rFonts w:ascii="Times New Roman" w:cs="Times New Roman" w:eastAsia="Times New Roman" w:hAnsi="Times New Roman"/>
              </w:rPr>
              <w:t xml:space="preserve">VI (this paper)</w:t>
            </w:r>
          </w:p>
        </w:tc>
      </w:tr>
      <w:tr>
        <w:tc>
          <w:tcPr>
            <w:tcBorders>
              <w:top w:val="single" w:color="BBBBBB" w:sz="2"/>
              <w:left w:val="single" w:color="BBBBBB" w:sz="2"/>
              <w:bottom w:val="single" w:color="BBBBBB" w:sz="2"/>
              <w:right w:val="single" w:color="BBBBBB" w:sz="2"/>
            </w:tcBorders>
            <w:shd w:fill="F0F0F0" w:val="clear"/>
            <w:tcMar>
              <w:top w:type="dxa" w:w="60"/>
              <w:left w:type="dxa" w:w="120"/>
              <w:bottom w:type="dxa" w:w="60"/>
              <w:right w:type="dxa" w:w="120"/>
            </w:tcMar>
          </w:tcPr>
          <w:p>
            <w:pPr>
              <w:spacing w:before="0" w:after="0" w:line="260"/>
              <w:jc w:val="left"/>
            </w:pPr>
            <w:r>
              <w:rPr>
                <w:b w:val="false"/>
                <w:bCs w:val="false"/>
                <w:color w:val="000000"/>
                <w:sz w:val="20"/>
                <w:szCs w:val="20"/>
                <w:rFonts w:ascii="Times New Roman" w:cs="Times New Roman" w:eastAsia="Times New Roman" w:hAnsi="Times New Roman"/>
              </w:rPr>
              <w:t xml:space="preserve">k_u/k_d = 4/3 = SU(3) Casimir ratio (structural prediction)</w:t>
            </w:r>
          </w:p>
        </w:tc>
        <w:tc>
          <w:tcPr>
            <w:tcBorders>
              <w:top w:val="single" w:color="BBBBBB" w:sz="2"/>
              <w:left w:val="single" w:color="BBBBBB" w:sz="2"/>
              <w:bottom w:val="single" w:color="BBBBBB" w:sz="2"/>
              <w:right w:val="single" w:color="BBBBBB" w:sz="2"/>
            </w:tcBorders>
            <w:shd w:fill="FFFFFF" w:val="clear"/>
            <w:tcMar>
              <w:top w:type="dxa" w:w="60"/>
              <w:left w:type="dxa" w:w="120"/>
              <w:bottom w:type="dxa" w:w="60"/>
              <w:right w:type="dxa" w:w="120"/>
            </w:tcMar>
          </w:tcPr>
          <w:p>
            <w:pPr>
              <w:spacing w:before="0" w:after="0" w:line="260"/>
              <w:jc w:val="left"/>
            </w:pPr>
            <w:r>
              <w:rPr>
                <w:b w:val="false"/>
                <w:bCs w:val="false"/>
                <w:color w:val="000000"/>
                <w:sz w:val="20"/>
                <w:szCs w:val="20"/>
                <w:rFonts w:ascii="Times New Roman" w:cs="Times New Roman" w:eastAsia="Times New Roman" w:hAnsi="Times New Roman"/>
              </w:rPr>
              <w:t xml:space="preserve">VI (this paper)</w:t>
            </w:r>
          </w:p>
        </w:tc>
      </w:tr>
      <w:tr>
        <w:tc>
          <w:tcPr>
            <w:tcBorders>
              <w:top w:val="single" w:color="BBBBBB" w:sz="2"/>
              <w:left w:val="single" w:color="BBBBBB" w:sz="2"/>
              <w:bottom w:val="single" w:color="BBBBBB" w:sz="2"/>
              <w:right w:val="single" w:color="BBBBBB" w:sz="2"/>
            </w:tcBorders>
            <w:shd w:fill="F0F0F0" w:val="clear"/>
            <w:tcMar>
              <w:top w:type="dxa" w:w="60"/>
              <w:left w:type="dxa" w:w="120"/>
              <w:bottom w:type="dxa" w:w="60"/>
              <w:right w:type="dxa" w:w="120"/>
            </w:tcMar>
          </w:tcPr>
          <w:p>
            <w:pPr>
              <w:spacing w:before="0" w:after="0" w:line="260"/>
              <w:jc w:val="left"/>
            </w:pPr>
            <w:r>
              <w:rPr>
                <w:b w:val="false"/>
                <w:bCs w:val="false"/>
                <w:color w:val="000000"/>
                <w:sz w:val="20"/>
                <w:szCs w:val="20"/>
                <w:rFonts w:ascii="Times New Roman" w:cs="Times New Roman" w:eastAsia="Times New Roman" w:hAnsi="Times New Roman"/>
              </w:rPr>
              <w:t xml:space="preserve">Λ ≈ 1.0 ± 0.1 from all three fermion types (consistency)</w:t>
            </w:r>
          </w:p>
        </w:tc>
        <w:tc>
          <w:tcPr>
            <w:tcBorders>
              <w:top w:val="single" w:color="BBBBBB" w:sz="2"/>
              <w:left w:val="single" w:color="BBBBBB" w:sz="2"/>
              <w:bottom w:val="single" w:color="BBBBBB" w:sz="2"/>
              <w:right w:val="single" w:color="BBBBBB" w:sz="2"/>
            </w:tcBorders>
            <w:shd w:fill="FFFFFF" w:val="clear"/>
            <w:tcMar>
              <w:top w:type="dxa" w:w="60"/>
              <w:left w:type="dxa" w:w="120"/>
              <w:bottom w:type="dxa" w:w="60"/>
              <w:right w:type="dxa" w:w="120"/>
            </w:tcMar>
          </w:tcPr>
          <w:p>
            <w:pPr>
              <w:spacing w:before="0" w:after="0" w:line="260"/>
              <w:jc w:val="left"/>
            </w:pPr>
            <w:r>
              <w:rPr>
                <w:b w:val="false"/>
                <w:bCs w:val="false"/>
                <w:color w:val="000000"/>
                <w:sz w:val="20"/>
                <w:szCs w:val="20"/>
                <w:rFonts w:ascii="Times New Roman" w:cs="Times New Roman" w:eastAsia="Times New Roman" w:hAnsi="Times New Roman"/>
              </w:rPr>
              <w:t xml:space="preserve">VI (this paper)</w:t>
            </w:r>
          </w:p>
        </w:tc>
      </w:tr>
    </w:tbl>
    <w:p>
      <w:pPr>
        <w:spacing w:before="0" w:after="60"/>
      </w:pPr>
      <w:r>
        <w:t xml:space="preserve"/>
      </w:r>
    </w:p>
    <w:p>
      <w:pPr>
        <w:spacing w:before="0" w:after="160" w:line="300"/>
        <w:jc w:val="both"/>
      </w:pPr>
      <w:r>
        <w:rPr>
          <w:sz w:val="22"/>
          <w:szCs w:val="22"/>
          <w:rFonts w:ascii="Times New Roman" w:cs="Times New Roman" w:eastAsia="Times New Roman" w:hAnsi="Times New Roman"/>
        </w:rPr>
        <w:t xml:space="preserve">The remaining open problem is a full numerical computation: using the exact Pöschl–Teller Floquet eigenfunctions (not the WKB/Gaussian approximation) to compute the overlap integrals and reproduce the nine fermion masses numerically. The structure is fully determined. The algebra is complete. The computation is a well-posed eigenvalue problem on a known Hamiltonian with known boundary conditions, and its solution either matches the observed masses or shows where the framework requires refinement.</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5AA0" w:sz="5"/>
              <w:left w:val="single" w:color="2B5AA0" w:sz="5"/>
              <w:bottom w:val="single" w:color="2B5AA0" w:sz="5"/>
              <w:right w:val="single" w:color="2B5AA0" w:sz="5"/>
            </w:tcBorders>
            <w:shd w:fill="EEF3FB" w:val="clear"/>
            <w:tcMar>
              <w:top w:type="dxa" w:w="110"/>
              <w:left w:type="dxa" w:w="200"/>
              <w:bottom w:type="dxa" w:w="110"/>
              <w:right w:type="dxa" w:w="200"/>
            </w:tcMar>
          </w:tcPr>
          <w:p>
            <w:pPr>
              <w:spacing w:before="0" w:after="60" w:line="300"/>
              <w:jc w:val="both"/>
            </w:pPr>
            <w:r>
              <w:rPr>
                <w:sz w:val="22"/>
                <w:szCs w:val="22"/>
                <w:rFonts w:ascii="Times New Roman" w:cs="Times New Roman" w:eastAsia="Times New Roman" w:hAnsi="Times New Roman"/>
              </w:rPr>
              <w:t xml:space="preserve">The seam framework provides a parameter-free STRUCTURE for the fermion mass hierarchy:</w:t>
            </w:r>
          </w:p>
          <w:p>
            <w:pPr>
              <w:spacing w:before="0" w:after="60" w:line="300"/>
              <w:jc w:val="both"/>
            </w:pPr>
            <w:r>
              <w:rPr>
                <w:sz w:val="22"/>
                <w:szCs w:val="22"/>
                <w:rFonts w:ascii="Times New Roman" w:cs="Times New Roman" w:eastAsia="Times New Roman" w:hAnsi="Times New Roman"/>
              </w:rPr>
            </w:r>
          </w:p>
          <w:p>
            <w:pPr>
              <w:spacing w:before="0" w:after="60" w:line="300"/>
              <w:jc w:val="both"/>
            </w:pPr>
            <w:r>
              <w:rPr>
                <w:sz w:val="22"/>
                <w:szCs w:val="22"/>
                <w:rFonts w:ascii="Times New Roman" w:cs="Times New Roman" w:eastAsia="Times New Roman" w:hAnsi="Times New Roman"/>
              </w:rPr>
              <w:t xml:space="preserve">  1. Three generations exist because the APS index of D_Σ in SU(3) background = n_c = 3.</w:t>
            </w:r>
          </w:p>
          <w:p>
            <w:pPr>
              <w:spacing w:before="0" w:after="60" w:line="300"/>
              <w:jc w:val="both"/>
            </w:pPr>
            <w:r>
              <w:rPr>
                <w:sz w:val="22"/>
                <w:szCs w:val="22"/>
                <w:rFonts w:ascii="Times New Roman" w:cs="Times New Roman" w:eastAsia="Times New Roman" w:hAnsi="Times New Roman"/>
              </w:rPr>
              <w:t xml:space="preserve">  2. The hierarchy is exponential because the AHS overlap integral depends on</w:t>
            </w:r>
          </w:p>
          <w:p>
            <w:pPr>
              <w:spacing w:before="0" w:after="60" w:line="300"/>
              <w:jc w:val="both"/>
            </w:pPr>
            <w:r>
              <w:rPr>
                <w:sz w:val="22"/>
                <w:szCs w:val="22"/>
                <w:rFonts w:ascii="Times New Roman" w:cs="Times New Roman" w:eastAsia="Times New Roman" w:hAnsi="Times New Roman"/>
              </w:rPr>
              <w:t xml:space="preserve">     the L–R separation squared, and the separation grows as 1/(2−n) per generation.</w:t>
            </w:r>
          </w:p>
          <w:p>
            <w:pPr>
              <w:spacing w:before="0" w:after="60" w:line="300"/>
              <w:jc w:val="both"/>
            </w:pPr>
            <w:r>
              <w:rPr>
                <w:sz w:val="22"/>
                <w:szCs w:val="22"/>
                <w:rFonts w:ascii="Times New Roman" w:cs="Times New Roman" w:eastAsia="Times New Roman" w:hAnsi="Times New Roman"/>
              </w:rPr>
              <w:t xml:space="preserve">  3. The scale of hierarchy within each type is set by one parameter k_f.</w:t>
            </w:r>
          </w:p>
          <w:p>
            <w:pPr>
              <w:spacing w:before="0" w:after="60" w:line="300"/>
              <w:jc w:val="both"/>
            </w:pPr>
            <w:r>
              <w:rPr>
                <w:sz w:val="22"/>
                <w:szCs w:val="22"/>
                <w:rFonts w:ascii="Times New Roman" w:cs="Times New Roman" w:eastAsia="Times New Roman" w:hAnsi="Times New Roman"/>
              </w:rPr>
              <w:t xml:space="preserve">  4. The ratio k_u/k_d = 4/3 is predicted from SU(3) color structure.</w:t>
            </w:r>
          </w:p>
          <w:p>
            <w:pPr>
              <w:spacing w:before="0" w:after="60" w:line="300"/>
              <w:jc w:val="both"/>
            </w:pPr>
            <w:r>
              <w:rPr>
                <w:sz w:val="22"/>
                <w:szCs w:val="22"/>
                <w:rFonts w:ascii="Times New Roman" w:cs="Times New Roman" w:eastAsia="Times New Roman" w:hAnsi="Times New Roman"/>
              </w:rPr>
              <w:t xml:space="preserve">  5. The seam circumference Λ ≈ 1 is universal across all fermion types.</w:t>
            </w:r>
          </w:p>
          <w:p>
            <w:pPr>
              <w:spacing w:before="0" w:after="60" w:line="300"/>
              <w:jc w:val="both"/>
            </w:pPr>
            <w:r>
              <w:rPr>
                <w:sz w:val="22"/>
                <w:szCs w:val="22"/>
                <w:rFonts w:ascii="Times New Roman" w:cs="Times New Roman" w:eastAsia="Times New Roman" w:hAnsi="Times New Roman"/>
              </w:rPr>
            </w:r>
          </w:p>
          <w:p>
            <w:pPr>
              <w:spacing w:before="0" w:after="60" w:line="300"/>
              <w:jc w:val="both"/>
            </w:pPr>
            <w:r>
              <w:rPr>
                <w:sz w:val="22"/>
                <w:szCs w:val="22"/>
                <w:rFonts w:ascii="Times New Roman" w:cs="Times New Roman" w:eastAsia="Times New Roman" w:hAnsi="Times New Roman"/>
              </w:rPr>
              <w:t xml:space="preserve">No free parameters remain beyond the four (k_ℓ, k_u, k_d, Λ), which themselves</w:t>
            </w:r>
          </w:p>
          <w:p>
            <w:pPr>
              <w:spacing w:before="0" w:after="60" w:line="300"/>
              <w:jc w:val="both"/>
            </w:pPr>
            <w:r>
              <w:rPr>
                <w:sz w:val="22"/>
                <w:szCs w:val="22"/>
                <w:rFonts w:ascii="Times New Roman" w:cs="Times New Roman" w:eastAsia="Times New Roman" w:hAnsi="Times New Roman"/>
              </w:rPr>
              <w:t xml:space="preserve">satisfy the constraint k_u/k_d = 4/3 — reducing the free count to three.</w:t>
            </w:r>
          </w:p>
        </w:tc>
      </w:tr>
    </w:tbl>
    <w:p>
      <w:pPr>
        <w:spacing w:before="0" w:after="60"/>
      </w:pPr>
      <w:r>
        <w:t xml:space="preserve"/>
      </w:r>
    </w:p>
    <w:p>
      <w:pPr>
        <w:pStyle w:val="Heading1"/>
        <w:spacing w:before="520" w:after="200" w:line="300"/>
      </w:pPr>
      <w:r>
        <w:rPr>
          <w:b/>
          <w:bCs/>
          <w:sz w:val="34"/>
          <w:szCs w:val="34"/>
          <w:rFonts w:ascii="Times New Roman" w:cs="Times New Roman" w:eastAsia="Times New Roman" w:hAnsi="Times New Roman"/>
        </w:rPr>
        <w:t xml:space="preserve">References</w:t>
      </w:r>
    </w:p>
    <w:p>
      <w:pPr>
        <w:spacing w:before="0" w:after="120" w:line="300"/>
        <w:ind w:left="720" w:hanging="720"/>
        <w:jc w:val="left"/>
      </w:pPr>
      <w:r>
        <w:rPr>
          <w:sz w:val="20"/>
          <w:szCs w:val="20"/>
          <w:rFonts w:ascii="Times New Roman" w:cs="Times New Roman" w:eastAsia="Times New Roman" w:hAnsi="Times New Roman"/>
        </w:rPr>
        <w:t xml:space="preserve">[AHS99] Arkani-Hamed, N., Schmaltz, M. (1999). Hierarchies without symmetries from extra dimensions. Physical Review D, 61, 033005. arXiv:hep-ph/9903417. [The original exponential overlap formula: equations (1)–(4) of this paper form the basis of Section 2 above.]</w:t>
      </w:r>
    </w:p>
    <w:p>
      <w:pPr>
        <w:spacing w:before="0" w:after="120" w:line="300"/>
        <w:ind w:left="720" w:hanging="720"/>
        <w:jc w:val="left"/>
      </w:pPr>
      <w:r>
        <w:rPr>
          <w:sz w:val="20"/>
          <w:szCs w:val="20"/>
          <w:rFonts w:ascii="Times New Roman" w:cs="Times New Roman" w:eastAsia="Times New Roman" w:hAnsi="Times New Roman"/>
        </w:rPr>
        <w:t xml:space="preserve">[MS00] Mirabelli, E.A., Schmaltz, M. (2000). Yukawa hierarchies from split fermions in extra dimensions. Physical Review D, 61, 113011. [Explicit calculation of fermion mass matrices from Gaussian wavefunctions in extra dimensions.]</w:t>
      </w:r>
    </w:p>
    <w:p>
      <w:pPr>
        <w:spacing w:before="0" w:after="120" w:line="300"/>
        <w:ind w:left="720" w:hanging="720"/>
        <w:jc w:val="left"/>
      </w:pPr>
      <w:r>
        <w:rPr>
          <w:sz w:val="20"/>
          <w:szCs w:val="20"/>
          <w:rFonts w:ascii="Times New Roman" w:cs="Times New Roman" w:eastAsia="Times New Roman" w:hAnsi="Times New Roman"/>
        </w:rPr>
        <w:t xml:space="preserve">[GN99] Grossman, Y., Neubert, M. (1999). Neutrino masses and mixings in nonfactorizable geometry. Physics Letters B, 474, 361–371. [Fermion localization and neutrino mass suppression in the Randall-Sundrum background.]</w:t>
      </w:r>
    </w:p>
    <w:p>
      <w:pPr>
        <w:spacing w:before="0" w:after="120" w:line="300"/>
        <w:ind w:left="720" w:hanging="720"/>
        <w:jc w:val="left"/>
      </w:pPr>
      <w:r>
        <w:rPr>
          <w:sz w:val="20"/>
          <w:szCs w:val="20"/>
          <w:rFonts w:ascii="Times New Roman" w:cs="Times New Roman" w:eastAsia="Times New Roman" w:hAnsi="Times New Roman"/>
        </w:rPr>
        <w:t xml:space="preserve">[JR76] Jackiw, R., Rebbi, C. (1976). Solitons with fermion number 1/2. Physical Review D, 13, 3398–3409. [Zero modes of the Dirac equation in a kink background: the foundational result underlying Lemma 1.1.]</w:t>
      </w:r>
    </w:p>
    <w:p>
      <w:pPr>
        <w:spacing w:before="0" w:after="120" w:line="300"/>
        <w:ind w:left="720" w:hanging="720"/>
        <w:jc w:val="left"/>
      </w:pPr>
      <w:r>
        <w:rPr>
          <w:sz w:val="20"/>
          <w:szCs w:val="20"/>
          <w:rFonts w:ascii="Times New Roman" w:cs="Times New Roman" w:eastAsia="Times New Roman" w:hAnsi="Times New Roman"/>
        </w:rPr>
        <w:t xml:space="preserve">[Raj82] Rajaraman, R. (1982). Solitons and Instantons. North-Holland. [The φ⁴ kink spectrum, Poschl-Teller bound states, and the AHS mechanism's ancestors: Chapters 2–4.]</w:t>
      </w:r>
    </w:p>
    <w:p>
      <w:pPr>
        <w:spacing w:before="0" w:after="120" w:line="300"/>
        <w:ind w:left="720" w:hanging="720"/>
        <w:jc w:val="left"/>
      </w:pPr>
      <w:r>
        <w:rPr>
          <w:sz w:val="20"/>
          <w:szCs w:val="20"/>
          <w:rFonts w:ascii="Times New Roman" w:cs="Times New Roman" w:eastAsia="Times New Roman" w:hAnsi="Times New Roman"/>
        </w:rPr>
        <w:t xml:space="preserve">[PT33] Poschl, G., Teller, E. (1933). Bemerkungen zur Quantenmechanik des anharmonischen Oszillators. Zeitschrift fur Physik, 83, 143–151.</w:t>
      </w:r>
    </w:p>
    <w:p>
      <w:pPr>
        <w:spacing w:before="0" w:after="120" w:line="300"/>
        <w:ind w:left="720" w:hanging="720"/>
        <w:jc w:val="left"/>
      </w:pPr>
      <w:r>
        <w:rPr>
          <w:sz w:val="20"/>
          <w:szCs w:val="20"/>
          <w:rFonts w:ascii="Times New Roman" w:cs="Times New Roman" w:eastAsia="Times New Roman" w:hAnsi="Times New Roman"/>
        </w:rPr>
        <w:t xml:space="preserve">[Don14] Donoghue, J.F., Golowich, E., Holstein, B.R. (2014). Dynamics of the Standard Model (2nd ed.). Cambridge University Press. [SU(3) Casimir factors and their role in Yukawa coupling renormalization: Chapter 1.]</w:t>
      </w:r>
    </w:p>
    <w:sectPr>
      <w:pgSz w:w="11906" w:h="16838" w:orient="portrait"/>
      <w:pgMar w:top="1in" w:right="1in" w:bottom="1in" w:left="1in" w:header="708" w:footer="708" w:gutter="0"/>
      <w:pgNumType/>
      <w:docGrid w:linePitch="360"/>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2026-06-07T18:42:07.059Z</dcterms:created>
  <dcterms:modified xsi:type="dcterms:W3CDTF">2026-06-07T18:42:07.059Z</dcterms:modified>
</cp:coreProperties>
</file>

<file path=docProps/custom.xml><?xml version="1.0" encoding="utf-8"?>
<Properties xmlns="http://schemas.openxmlformats.org/officeDocument/2006/custom-properties" xmlns:vt="http://schemas.openxmlformats.org/officeDocument/2006/docPropsVTypes"/>
</file>