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before="0" w:after="200" w:line="276" w:lineRule="auto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GSTACK TUTORIAL NO. 4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/>
          <w:i w:val="0"/>
          <w:color w:val="1F4E78"/>
          <w:sz w:val="52"/>
        </w:rPr>
        <w:t>From AI Planning to Working Production Software</w:t>
      </w:r>
    </w:p>
    <w:p>
      <w:pPr>
        <w:spacing w:before="0" w:after="520" w:line="276" w:lineRule="auto"/>
      </w:pPr>
      <w:r>
        <w:rPr>
          <w:rFonts w:ascii="Calibri" w:hAnsi="Calibri" w:eastAsia="Microsoft YaHei" w:cs="Calibri"/>
          <w:b w:val="0"/>
          <w:i/>
          <w:color w:val="595959"/>
          <w:sz w:val="26"/>
        </w:rPr>
        <w:t>An executive memo on running a second, independent AI as a review and prompt-drafting layer above gstack's specialist roles</w:t>
      </w:r>
    </w:p>
    <w:p>
      <w:pPr>
        <w:pBdr>
          <w:bottom w:val="single" w:sz="6" w:space="1" w:color="1F4E78"/>
        </w:pBdr>
      </w:pPr>
    </w:p>
    <w:p>
      <w:pPr>
        <w:spacing w:before="0" w:after="60" w:line="276" w:lineRule="auto"/>
      </w:pPr>
      <w:r>
        <w:rPr>
          <w:rFonts w:ascii="Calibri" w:hAnsi="Calibri" w:eastAsia="Microsoft YaHei" w:cs="Calibri"/>
          <w:b w:val="0"/>
          <w:i w:val="0"/>
          <w:color w:val="808080"/>
          <w:sz w:val="20"/>
        </w:rPr>
        <w:t>Educational engineering case study</w:t>
      </w:r>
    </w:p>
    <w:p>
      <w:pPr>
        <w:spacing w:before="0" w:after="60" w:line="276" w:lineRule="auto"/>
      </w:pPr>
      <w:r>
        <w:rPr>
          <w:rFonts w:ascii="Calibri" w:hAnsi="Calibri" w:eastAsia="Microsoft YaHei" w:cs="Calibri"/>
          <w:b w:val="0"/>
          <w:i w:val="0"/>
          <w:color w:val="808080"/>
          <w:sz w:val="20"/>
        </w:rPr>
        <w:t>Companion document to TUTORIAL.md / TUTORIAL.zh.md (the full walkthrough)</w:t>
      </w:r>
    </w:p>
    <w:p>
      <w:pPr>
        <w:spacing w:before="0" w:after="60" w:line="276" w:lineRule="auto"/>
      </w:pPr>
      <w:r>
        <w:rPr>
          <w:rFonts w:ascii="Calibri" w:hAnsi="Calibri" w:eastAsia="Microsoft YaHei" w:cs="Calibri"/>
          <w:b w:val="0"/>
          <w:i w:val="0"/>
          <w:color w:val="808080"/>
          <w:sz w:val="20"/>
        </w:rPr>
        <w:t>No private identifiers appear in this document -- see docs/TUTORIAL_4_DOCUMENT_PRIVACY_CHECK.md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Executive Summary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This memo summarizes how a real application -- a tweet screenshot tool -- was planned, reviewed, built, tested, and shipped to production using gstack's specialist AI roles, plus one addition: a second, independent AI in a separate session whose only job was translating gstack's raw output into the next precise instruction.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The project's own record is used as evidence, not narrative color: a five-review audit trail, a mandatory high-risk spike that caught a silent-wrong-output bug no automated check would have found, and an honest disclosure of every known limitation that shipped with V1.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The full teaching material -- nineteen Parts, a troubleshooting section, and three appendices -- lives in TUTORIAL.md and its Chinese counterpart. This memo is deliberately shorter: it exists for a reader who wants the shape of the system and its headline evidence, not the full walkthrough.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At a Glance</w:t>
      </w:r>
    </w:p>
    <w:p>
      <w:pPr>
        <w:spacing w:before="0" w:after="120" w:line="276" w:lineRule="auto"/>
      </w:pPr>
      <w:r>
        <w:rPr>
          <w:rFonts w:ascii="Calibri" w:hAnsi="Calibri" w:eastAsia="Microsoft YaHei" w:cs="Calibri"/>
          <w:b w:val="0"/>
          <w:i/>
          <w:color w:val="595959"/>
          <w:sz w:val="20"/>
        </w:rPr>
        <w:t>Every figure below is a direct count from this project's own review files -- none is estimated or rounded for effect.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Metric</w:t>
            </w:r>
          </w:p>
        </w:tc>
        <w:tc>
          <w:tcPr>
            <w:tcW w:type="dxa" w:w="504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Development stages run (of 16 defined)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15</w:t>
            </w:r>
          </w:p>
        </w:tc>
      </w:tr>
      <w:tr>
        <w:tc>
          <w:tcPr>
            <w:tcW w:type="dxa" w:w="432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CEO review findings resolved individually</w:t>
            </w:r>
          </w:p>
        </w:tc>
        <w:tc>
          <w:tcPr>
            <w:tcW w:type="dxa" w:w="504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25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Independent-review cross-model tensions found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8</w:t>
            </w:r>
          </w:p>
        </w:tc>
      </w:tr>
      <w:tr>
        <w:tc>
          <w:tcPr>
            <w:tcW w:type="dxa" w:w="432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...accepted / softened / skipped</w:t>
            </w:r>
          </w:p>
        </w:tc>
        <w:tc>
          <w:tcPr>
            <w:tcW w:type="dxa" w:w="504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6 / 1 / 1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Engineering-review findings (B1-B5)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432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...classified BLOCKER</w:t>
            </w:r>
          </w:p>
        </w:tc>
        <w:tc>
          <w:tcPr>
            <w:tcW w:type="dxa" w:w="504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1 (B1)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Evidence Ladder levels defined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10</w:t>
            </w:r>
          </w:p>
        </w:tc>
      </w:tr>
      <w:tr>
        <w:tc>
          <w:tcPr>
            <w:tcW w:type="dxa" w:w="432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Core production flows verified</w:t>
            </w:r>
          </w:p>
        </w:tc>
        <w:tc>
          <w:tcPr>
            <w:tcW w:type="dxa" w:w="504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2 (single tweet, thread)</w:t>
            </w:r>
          </w:p>
        </w:tc>
      </w:tr>
      <w:tr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Known limitations disclosed at ship</w:t>
            </w:r>
          </w:p>
        </w:tc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5</w:t>
            </w:r>
          </w:p>
        </w:tc>
      </w:tr>
      <w:tr>
        <w:tc>
          <w:tcPr>
            <w:tcW w:type="dxa" w:w="432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Human-only authorization gates</w:t>
            </w:r>
          </w:p>
        </w:tc>
        <w:tc>
          <w:tcPr>
            <w:tcW w:type="dxa" w:w="504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2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Contents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1.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Operating Model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2.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Product and Architecture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3.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Review System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4.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The High-Risk Spike (T1.5)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5.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The Evidence Ladder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6.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AI and Human Responsibilities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7.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Browser QA and Human-in-the-Loop Testing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8.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Rapid Finalization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9.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Production Outcome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10.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Known Limitations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11.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Reusable Workflow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12.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Key Lessons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13.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Metrics and Evidence Summary</w:t>
      </w:r>
    </w:p>
    <w:p>
      <w:pPr>
        <w:spacing w:after="80"/>
        <w:ind w:left="216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14.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Definition of Done and Release Status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1.  Operating Model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"AI writes code" describes one stage out of nineteen this project actually ran. The real loop places a second, independent AI -- the External AI Mentor -- above gstack's own specialist roles, translating each stage's raw output into the next stage's precision prompt, with a human gate after every stage.</w:t>
      </w:r>
    </w:p>
    <w:p>
      <w:pPr>
        <w:spacing w:before="12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Human -&gt; External AI Mentor -&gt; optimized prompt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-&gt; gstack specialist role -&gt; evidence</w:t>
      </w:r>
    </w:p>
    <w:p>
      <w:pPr>
        <w:spacing w:before="0" w:after="12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-&gt; human gate -&gt; next stage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Full detail on this pattern, including four sourced examples of the mentor correcting a real error, is in docs/external_ai_mentor.md.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2.  Product and Architecture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The Tweet Screenshot Tool: paste a tweet URL, render a pixel-accurate live preview, customize it, export as PNG, clipboard image, or a shareable link. A second mode assembles a manual thread and exports one combined image. V1 shipped both, on Next.js, deployed to Vercel.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11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5349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011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react-tweet</w:t>
            </w:r>
          </w:p>
        </w:tc>
        <w:tc>
          <w:tcPr>
            <w:tcW w:type="dxa" w:w="5349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Fetches via X's free public syndication endpoint</w:t>
            </w:r>
          </w:p>
        </w:tc>
      </w:tr>
      <w:tr>
        <w:tc>
          <w:tcPr>
            <w:tcW w:type="dxa" w:w="4011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/api/tweet/[id]</w:t>
            </w:r>
          </w:p>
        </w:tc>
        <w:tc>
          <w:tcPr>
            <w:tcW w:type="dxa" w:w="5349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Server-side hop -- required because the endpoint blocks browser CORS</w:t>
            </w:r>
          </w:p>
        </w:tc>
      </w:tr>
      <w:tr>
        <w:tc>
          <w:tcPr>
            <w:tcW w:type="dxa" w:w="4011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modern-screenshot</w:t>
            </w:r>
          </w:p>
        </w:tc>
        <w:tc>
          <w:tcPr>
            <w:tcW w:type="dxa" w:w="5349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DOM to PNG export, only at capture time</w:t>
            </w:r>
          </w:p>
        </w:tc>
      </w:tr>
      <w:tr>
        <w:tc>
          <w:tcPr>
            <w:tcW w:type="dxa" w:w="4011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/api/image-proxy</w:t>
            </w:r>
          </w:p>
        </w:tc>
        <w:tc>
          <w:tcPr>
            <w:tcW w:type="dxa" w:w="5349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SSRF-hardened; only needed for export, not live preview</w:t>
            </w:r>
          </w:p>
        </w:tc>
      </w:tr>
    </w:tbl>
    <w:p>
      <w:pPr>
        <w:spacing w:after="80"/>
      </w:pPr>
    </w:p>
    <w:p>
      <w:pPr>
        <w:spacing w:before="120" w:after="160"/>
        <w:ind w:left="288"/>
        <w:shd w:val="clear" w:fill="F2F2F2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>No paid API was used anywhere in this architecture -- verified live before the architecture was chosen, not assumed.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3.  Review System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Five reviews, each producing individually-resolved findings rather than a batch approval: AI CEO (scope, positioning), Security and UX (embedded in the CEO review), Independent Second Opinion (8 cross-model tensions), Engineering Review (5 findings, B1 a blocker), and Ship / DevOps.</w:t>
      </w:r>
    </w:p>
    <w:p>
      <w:pPr>
        <w:spacing w:before="240" w:after="80"/>
      </w:pPr>
      <w:r>
        <w:rPr>
          <w:rFonts w:ascii="Calibri" w:hAnsi="Calibri" w:eastAsia="Microsoft YaHei" w:cs="Calibri"/>
          <w:b/>
          <w:i w:val="0"/>
          <w:color w:val="1F4E78"/>
          <w:sz w:val="24"/>
        </w:rPr>
        <w:t>A stated gap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No dedicated Project Manager role ran separately -- the CEO review's own task breakdown covered the function. Recorded as a stated gap, not silently absorbed.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4.  The High-Risk Spike (T1.5)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The engineering review's single most consequential finding (B1): the planned image-proxy fix had never actually been wired to any real DOM element. A mandatory spike was inserted before broad implementation to resolve this with real code.</w:t>
      </w:r>
    </w:p>
    <w:p>
      <w:pPr>
        <w:spacing w:before="12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Assumption:  the fix should just work once wired up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Experiment:  read the library's real compiled source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Result:      "success" -- no exception thrown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Bug found:   exported avatar showed a broken-image icon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Root cause:  a blob: URL doesn't survive re-loading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inside modern-screenshot's cloned SVG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Fix:         a self-contained base64 data: URL</w:t>
      </w:r>
    </w:p>
    <w:p>
      <w:pPr>
        <w:spacing w:before="0" w:after="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>Proof:       corrected PNG read directly -- avatar</w:t>
      </w:r>
    </w:p>
    <w:p>
      <w:pPr>
        <w:spacing w:before="0" w:after="120" w:line="240" w:lineRule="auto"/>
        <w:ind w:left="360"/>
        <w:shd w:val="clear" w:fill="F2F2F2"/>
      </w:pPr>
      <w:r>
        <w:rPr>
          <w:rFonts w:ascii="Consolas" w:hAnsi="Consolas" w:eastAsia="Consolas" w:cs="Consolas"/>
          <w:b w:val="0"/>
          <w:i w:val="0"/>
          <w:color w:val="000000"/>
          <w:sz w:val="20"/>
        </w:rPr>
        <w:t xml:space="preserve">             correct; capture time 1046ms -&gt; 468ms</w:t>
      </w:r>
    </w:p>
    <w:p>
      <w:pPr>
        <w:spacing w:before="120" w:after="160"/>
        <w:ind w:left="288"/>
        <w:shd w:val="clear" w:fill="F2F2F2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>Successful execution is not proof of correct output.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5.  The Evidence Ladder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Ten levels, idea through human production test. The avatar bug hid at level 5 ("local browser succeeds") -- a level that looks like proof and usually isn't. Nothing below level 7 (an exported artifact actually inspected) counted as evidence for a pixel-generation feature in this project.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011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Level</w:t>
            </w:r>
          </w:p>
        </w:tc>
        <w:tc>
          <w:tcPr>
            <w:tcW w:type="dxa" w:w="5349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What it removes uncertainty about</w:t>
            </w:r>
          </w:p>
        </w:tc>
      </w:tr>
      <w:tr>
        <w:tc>
          <w:tcPr>
            <w:tcW w:type="dxa" w:w="4011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5. Local browser "succeeds"</w:t>
            </w:r>
          </w:p>
        </w:tc>
        <w:tc>
          <w:tcPr>
            <w:tcW w:type="dxa" w:w="5349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The trap -- looks like proof, usually isn't</w:t>
            </w:r>
          </w:p>
        </w:tc>
      </w:tr>
      <w:tr>
        <w:tc>
          <w:tcPr>
            <w:tcW w:type="dxa" w:w="4011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7. Exported artifact inspected</w:t>
            </w:r>
          </w:p>
        </w:tc>
        <w:tc>
          <w:tcPr>
            <w:tcW w:type="dxa" w:w="5349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What actually caught the avatar bug</w:t>
            </w:r>
          </w:p>
        </w:tc>
      </w:tr>
      <w:tr>
        <w:tc>
          <w:tcPr>
            <w:tcW w:type="dxa" w:w="4011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10. Human production test</w:t>
            </w:r>
          </w:p>
        </w:tc>
        <w:tc>
          <w:tcPr>
            <w:tcW w:type="dxa" w:w="5349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Whether the shipped thing holds up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6.  AI and Human Responsibilities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AI: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Analysis, implementation, repeatable and exhaustive verification, drafting review findings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Human: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Judgment, account authorization, the ship decision -- every one of these stayed a human gate, no exception this project made</w:t>
      </w:r>
    </w:p>
    <w:p>
      <w:pPr>
        <w:spacing w:after="40"/>
      </w:pP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7.  Browser QA and Human-in-the-Loop Testing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Three separate evidence layers: automated tests (deterministic logic), AI browser QA via Aside (real application behavior in a real browser), and human testing (usability and perceived correctness). None substitutes for another.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Reported by the user, not independently verifiable by the AI: local testing (dev server, Aside, exported PNG visually inspected) and production testing (deployed Vercel URL, core flow repeated and confirmed).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8.  Rapid Finalization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A deliberate mode switch from "investigate everything" to "fix release-critical issues, document the rest, ship." Triggered by an External AI Mentor intervention after a debugging session ran long with no isolated root cause.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Fix now</w:t>
            </w:r>
          </w:p>
        </w:tc>
        <w:tc>
          <w:tcPr>
            <w:tcW w:type="dxa" w:w="468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Defer, documented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Build failures, crashes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Minor styling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Core export failure</w:t>
            </w:r>
          </w:p>
        </w:tc>
        <w:tc>
          <w:tcPr>
            <w:tcW w:type="dxa" w:w="468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Speculative refactors</w:t>
            </w:r>
          </w:p>
        </w:tc>
      </w:tr>
      <w:tr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Serious security issues</w:t>
            </w:r>
          </w:p>
        </w:tc>
        <w:tc>
          <w:tcPr>
            <w:tcW w:type="dxa" w:w="468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V2 functionality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9.  Production Outcome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Both core flows -- single tweet and thread -- verified working against the live deployed URL via real-browser automation and human confirmation. No fatal console errors observed in the tested flows.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Deployment used npx vercel (no global CLI install); account login and authorization were performed by a human, in their own terminal and browser, before the AI completed the deployment sequence.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10.  Known Limitations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fill="1F4E78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Rate limiting on public API routes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Planned, reviewed twice, never implemented</w:t>
            </w:r>
          </w:p>
        </w:tc>
      </w:tr>
      <w:tr>
        <w:tc>
          <w:tcPr>
            <w:tcW w:type="dxa" w:w="504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Thread share-link style restoration</w:t>
            </w:r>
          </w:p>
        </w:tc>
        <w:tc>
          <w:tcPr>
            <w:tcW w:type="dxa" w:w="432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Known bug, root cause not found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Video / emoji / multi-image export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Implemented, not empirically verified</w:t>
            </w:r>
          </w:p>
        </w:tc>
      </w:tr>
      <w:tr>
        <w:tc>
          <w:tcPr>
            <w:tcW w:type="dxa" w:w="504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Safari / iOS clipboard</w:t>
            </w:r>
          </w:p>
        </w:tc>
        <w:tc>
          <w:tcPr>
            <w:tcW w:type="dxa" w:w="4320"/>
            <w:shd w:val="clear" w:fill="F2F2F2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Implemented, not verified on real Safari</w:t>
            </w:r>
          </w:p>
        </w:tc>
      </w:tr>
      <w:tr>
        <w:tc>
          <w:tcPr>
            <w:tcW w:type="dxa" w:w="504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Automated test suite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 w:eastAsia="Microsoft YaHei" w:cs="Calibri"/>
                <w:b w:val="0"/>
                <w:i w:val="0"/>
                <w:color w:val="000000"/>
                <w:sz w:val="20"/>
              </w:rPr>
              <w:t>Not written -- a stated process gap</w:t>
            </w:r>
          </w:p>
        </w:tc>
      </w:tr>
    </w:tbl>
    <w:p>
      <w:pPr>
        <w:spacing w:after="80"/>
      </w:pP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None of these block the two verified core flows -- each is named explicitly rather than discovered by a reader the hard way.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11.  Reusable Workflow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The reusable asset from this project is not its code -- it is the 16-stage development system that produced it, written out in full in docs/GSTACK_REUSABLE_PROJECT_WORKFLOW.md, sized to the next project rather than copied wholesale.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12.  Key Lessons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A green function call can still produce the wrong artifact -- the avatar bug is the proof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Independent review should challenge assumptions, not just approve the first draft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Known limitations do not automatically block shipping when they are explicit and bounded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Humans retain consequential authorization and the ship decision, with no exception</w:t>
      </w:r>
    </w:p>
    <w:p>
      <w:pPr>
        <w:spacing w:after="40"/>
      </w:pP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13.  Metrics and Evidence Summary</w:t>
      </w:r>
    </w:p>
    <w:p>
      <w:pPr>
        <w:spacing w:before="0" w:after="160" w:line="276" w:lineRule="auto"/>
      </w:pP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See the At a Glance table on the cover page for the full figure set. Every figure traces to a specific review file in this repository -- see docs/TUTORIAL_4_DOCUMENT_MANIFEST.md for the complete provenance table.</w:t>
      </w:r>
    </w:p>
    <w:p>
      <w:r>
        <w:br w:type="page"/>
      </w:r>
    </w:p>
    <w:p>
      <w:pPr>
        <w:spacing w:before="120" w:after="200"/>
        <w:pBdr>
          <w:bottom w:val="single" w:sz="12" w:space="1" w:color="1F4E78"/>
        </w:pBdr>
      </w:pPr>
      <w:r>
        <w:rPr>
          <w:rFonts w:ascii="Calibri" w:hAnsi="Calibri" w:eastAsia="Microsoft YaHei" w:cs="Calibri"/>
          <w:b/>
          <w:i w:val="0"/>
          <w:color w:val="1F4E78"/>
          <w:sz w:val="28"/>
        </w:rPr>
        <w:t>14.  Definition of Done and Release Status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Markdown tutorial: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complete, EN/ZH structural parity verified mechanically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Privacy review: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complete for all source material and this document's built output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Known limitations: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documented, not hidden</w:t>
      </w:r>
    </w:p>
    <w:p>
      <w:pPr>
        <w:spacing w:after="100" w:line="276" w:lineRule="auto"/>
        <w:ind w:left="432"/>
      </w:pPr>
      <w:r>
        <w:rPr>
          <w:rFonts w:ascii="Calibri" w:hAnsi="Calibri" w:eastAsia="Microsoft YaHei" w:cs="Calibri"/>
          <w:b w:val="0"/>
          <w:i w:val="0"/>
          <w:color w:val="1F4E78"/>
          <w:sz w:val="22"/>
        </w:rPr>
        <w:t xml:space="preserve">•  </w:t>
      </w:r>
      <w:r>
        <w:rPr>
          <w:rFonts w:ascii="Calibri" w:hAnsi="Calibri" w:eastAsia="Microsoft YaHei" w:cs="Calibri"/>
          <w:b/>
          <w:i w:val="0"/>
          <w:color w:val="1F4E78"/>
          <w:sz w:val="22"/>
        </w:rPr>
        <w:t xml:space="preserve">Public push:  </w:t>
      </w:r>
      <w:r>
        <w:rPr>
          <w:rFonts w:ascii="Calibri" w:hAnsi="Calibri" w:eastAsia="Microsoft YaHei" w:cs="Calibri"/>
          <w:b w:val="0"/>
          <w:i w:val="0"/>
          <w:color w:val="000000"/>
          <w:sz w:val="22"/>
        </w:rPr>
        <w:t>NOT performed as part of this documentation phase</w:t>
      </w:r>
    </w:p>
    <w:p>
      <w:pPr>
        <w:spacing w:after="40"/>
      </w:pPr>
    </w:p>
    <w:p>
      <w:pPr>
        <w:spacing w:before="120" w:after="160"/>
        <w:ind w:left="288"/>
        <w:shd w:val="clear" w:fill="F2F2F2"/>
      </w:pPr>
      <w:r>
        <w:rPr>
          <w:rFonts w:ascii="Calibri" w:hAnsi="Calibri" w:eastAsia="Microsoft YaHei" w:cs="Calibri"/>
          <w:b/>
          <w:i w:val="0"/>
          <w:color w:val="1F4E78"/>
          <w:sz w:val="22"/>
        </w:rPr>
        <w:t>Status: DOCUMENTATION_READY_WITH_KNOWN_LIMITATIONS -- see the full completion report for the exact basis of this status.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