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8872B"/>
          <w:sz w:val="22"/>
          <w:szCs w:val="22"/>
        </w:rPr>
        <w:t xml:space="preserve">gstack 教程 #5</w:t>
      </w:r>
    </w:p>
    <w:p>
      <w:pPr>
        <w:pStyle w:val="Title"/>
        <w:spacing w:after="120"/>
      </w:pPr>
      <w:r>
        <w:t xml:space="preserve">执行备忘录 —— gstack 教程 #5</w:t>
      </w:r>
    </w:p>
    <w:p>
      <w:pPr>
        <w:spacing w:after="200"/>
      </w:pPr>
      <w:r>
        <w:rPr>
          <w:color w:val="6B7079"/>
          <w:sz w:val="24"/>
          <w:szCs w:val="24"/>
        </w:rPr>
        <w:t xml:space="preserve">从 YouTube 后台数据到一条重新设计的短视频：CSR-RAP × Claude Opus 5.5 × HyperFrames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主题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AGI Race V2 是如何做出来的，以及下一步必须做什么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日期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2026 年 9 月 29 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配套文件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TUTORIAL.zh.md（完整教程）· 幻灯片 · starter/prompts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1. 核心结论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真正的杠杆不是更好的 prompt，而是把工作拆分给三个职责不同的系统：CSR-RAP 智能体决定改什么，Claude Code 中的 Claude Opus 5.5（配合 gstack）把改动写出来，HyperFrames 以确定性方式渲染。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V2 重新设计了已发布的 AGI Race Short（58,736 次播放、98 条评论）：以最强笑点开场，4.15 秒内完成钩子，用角色标签取代“认脸”，为 9:16 逐镜头重新导演，并以通往 Episode 2 的桥段收尾。横版 56.34 秒（−9.8%）；竖版 Short 46.54 秒（−25.5%）。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CSR-RAP 给 V2 的结构质量打出 B = 0.770，V1 为 0.602（+27.9%）。这是设计得分。观众是否表现更好，仍是一个进行中的 A/B 测试，需要 72 小时真实数据来判定。</w:t>
      </w:r>
    </w:p>
    <w:p>
      <w:pPr>
        <w:pStyle w:val="Heading1"/>
        <w:keepNext/>
        <w:spacing w:after="120" w:before="280"/>
      </w:pPr>
      <w:r>
        <w:t xml:space="preserve">2. 范围</w:t>
      </w:r>
    </w:p>
    <w:p>
      <w:pPr>
        <w:spacing w:after="120" w:line="300"/>
      </w:pPr>
      <w:r>
        <w:t xml:space="preserve">本备忘录只涵盖现有 AGI Race Short 的 V2。Episode 2（《OpenAI vs. Anthropic —— 碟中谍版》）仍在制作中，只在其试制片为生产系统提供经验时才被提及。</w:t>
      </w:r>
    </w:p>
    <w:p>
      <w:pPr>
        <w:pStyle w:val="Heading1"/>
        <w:keepNext/>
        <w:spacing w:after="120" w:before="280"/>
      </w:pPr>
      <w:r>
        <w:t xml:space="preserve">3. 系统</w:t>
      </w:r>
    </w:p>
    <w:p>
      <w:pPr>
        <w:spacing w:after="120" w:line="300"/>
      </w:pPr>
      <w:r>
        <w:t xml:space="preserve">每一层只有一项职责，也有一件绝对不能做的事：策略层不能编造平台数据；智能体层不能只给别的生成器写 prompt；渲染层不能被要求凭空生成写实人物。决定分工的规则是 seek-safe 测试：渲染器直接跳到任意时刻，这一帧还正确吗？凡是必须完全正确的东西——时间、文字、角色标签、9:16 裁切、定格、结尾卡、音效——都放进 HyperFrames。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14575"/>
            <wp:effectExtent t="0" r="0" b="0" l="0"/>
            <wp:docPr id="1" name="fig_pipeline_zh.png" descr="图 1 —— 三层系统，一个闭环" title="图 1 —— 三层系统，一个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079"/>
          <w:sz w:val="18"/>
          <w:szCs w:val="18"/>
        </w:rPr>
        <w:t xml:space="preserve">图 1 —— 三层系统，一个闭环</w:t>
      </w:r>
    </w:p>
    <w:p>
      <w:pPr>
        <w:pStyle w:val="Heading1"/>
        <w:keepNext/>
        <w:spacing w:after="120" w:before="280"/>
      </w:pPr>
      <w:r>
        <w:t xml:space="preserve">4. 在 Windows 11 上搭建（约 10 分钟）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前置软件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用 winget 安装 Git、Node.js（≥ 22）、FFmpeg；为 gstack 安装 Bun（≥ 1.0）。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gstack（约 1 分钟）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在 Claude Code 中执行：git clone --single-branch --depth 1 https://github.com/garrytan/gstack.git ~/.claude/skills/gstack &amp;&amp; cd ~/.claude/skills/gstack &amp;&amp; ./setup。用 /office-hours 测试。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HyperFrames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claude plugin marketplace add heygen-com/hyperframes；claude plugin install hyperframes@hyperframes；重启 Claude Code。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先跑 doctor</w:t>
            </w:r>
          </w:p>
        </w:tc>
        <w:tc>
          <w:tcPr>
            <w:tcW w:type="dxa" w:w="74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npx hyperframes init agi-race-v2；npx hyperframes doctor。锁定 CLI 版本（本项目为 0.8.79）。</w:t>
            </w:r>
          </w:p>
        </w:tc>
      </w:tr>
    </w:tbl>
    <w:p>
      <w:pPr>
        <w:spacing w:after="120" w:before="120"/>
      </w:pPr>
      <w:r>
        <w:rPr>
          <w:color w:val="C0392B"/>
          <w:sz w:val="20"/>
          <w:szCs w:val="20"/>
        </w:rPr>
        <w:t xml:space="preserve">实际遇到的 Windows 坑：“'claude' 不是内部或外部命令”。把 %LOCALAPPDATA%\Microsoft\WinGet\Links 加入用户 PATH，并新开 PowerShell 即可。</w:t>
      </w:r>
    </w:p>
    <w:p>
      <w:pPr>
        <w:pStyle w:val="Heading1"/>
        <w:keepNext/>
        <w:spacing w:after="120" w:before="280"/>
      </w:pPr>
      <w:r>
        <w:t xml:space="preserve">5. V1 数据说明了什么</w:t>
      </w:r>
    </w:p>
    <w:p>
      <w:pPr>
        <w:spacing w:after="120" w:line="300"/>
      </w:pPr>
      <w:r>
        <w:t xml:space="preserve">V1 得分 R 88 × A 90 × P 76，B = 0.602。播放量验证了选题（R × A 共振）；每千次播放 1.67 条评论说明转化没有跟上。随后，经 FFmpeg 实测的视觉 DNA 明确了该保留什么、该修复什么：47 个镜头，中位数 1.08 秒；最快剪辑（平均 0.95 秒）紧挨高潮之前；1.5 秒近似定格后接 0.84 秒黑场；9:16 居中裁切会丢掉片名、群像远景、最终定格和所有字幕。</w:t>
      </w:r>
    </w:p>
    <w:p>
      <w:pPr>
        <w:pStyle w:val="Heading1"/>
        <w:keepNext/>
        <w:spacing w:after="120" w:before="280"/>
      </w:pPr>
      <w:r>
        <w:t xml:space="preserve">6. 走过的弯路，以及它为何重要</w:t>
      </w:r>
    </w:p>
    <w:p>
      <w:pPr>
        <w:spacing w:after="120" w:line="300"/>
      </w:pPr>
      <w:r>
        <w:t xml:space="preserve">续集的第一版方案让 Opus 5.5 给文生视频模型写 prompt。在家中电脑上，它在自己设置的入口闸门处判定“FAIL”：没有参考图，也拒绝编造分数。转向 HyperFrames 后，C24 结构试制片证明了可控层（任意跳帧倒计时都正确，切黑落在第 139 帧，lint 0 错误，对比度 13/13），同时也暴露了边界：R 0.82 与 A 0.75 被占位人物拖累。V2 之所以是正确的下一步，是因为它的像素已经存在。</w:t>
      </w:r>
    </w:p>
    <w:p>
      <w:pPr>
        <w:pStyle w:val="Heading1"/>
        <w:keepNext/>
        <w:pageBreakBefore/>
        <w:spacing w:after="120" w:before="280"/>
      </w:pPr>
      <w:r>
        <w:t xml:space="preserve">7. V2 改了什么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857500"/>
            <wp:effectExtent t="0" r="0" b="0" l="0"/>
            <wp:docPr id="1" name="fig_timeline_zh.png" descr="图 2 —— V1 与 V2 的时间结构" title="图 2 —— V1 与 V2 的时间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079"/>
          <w:sz w:val="18"/>
          <w:szCs w:val="18"/>
        </w:rPr>
        <w:t xml:space="preserve">图 2 —— V1 与 V2 的时间结构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100"/>
        <w:gridCol w:w="3238"/>
        <w:gridCol w:w="2100"/>
      </w:tblGrid>
      <w:tr>
        <w:trPr>
          <w:tblHeader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判断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主版本时长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62.49 秒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56.34 秒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−9.8%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Short 时长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—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46.54 秒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比 V1 短 25.5%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开场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阵容 / 片名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最强笑点先行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明显升级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钩子完成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较慢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4.15 秒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更强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角色理解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依赖“认脸”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明确的角色标签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大幅升级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9:16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多处失效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逐镜头重新构图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大幅升级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结尾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悬而未决的飞跃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飞跃 + Episode 2 桥段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商业价值升级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CTA 系统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弱 / 泛泛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TO BE CONTINUED → EP 2 → SUBSCRIBE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明显升级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生产方式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视频生成</w:t>
            </w:r>
          </w:p>
        </w:tc>
        <w:tc>
          <w:tcPr>
            <w:tcW w:type="dxa" w:w="3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可编程的 HyperFrames 重剪</w:t>
            </w:r>
          </w:p>
        </w:tc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P 层显著提升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8. 诚实地解读重新打分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fig_rap_zh.png" descr="图 3 —— CSR-RAP 结构得分：V1 与 V2" title="图 3 —— CSR-RAP 结构得分：V1 与 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079"/>
          <w:sz w:val="18"/>
          <w:szCs w:val="18"/>
        </w:rPr>
        <w:t xml:space="preserve">图 3 —— CSR-RAP 结构得分：V1 与 V2</w:t>
      </w:r>
    </w:p>
    <w:p>
      <w:pPr>
        <w:spacing w:after="120" w:line="300"/>
      </w:pPr>
      <w:r>
        <w:t xml:space="preserve">R 从 88 升至 92（笑点先行、角色标签、删除无效台词）。A 从 90 变为 89：结构更贴合 Shorts，但 CTA 长度尚未检验。P 从 76 升至 94（分析 → 提取 DNA → 重新设计 → 渲染）。最强耦合如今是 R × P = 0.865，这是一种会随每一集复利累积的生产优势。结构质量 +27.9% 并不等于播放量 +27.9%。</w:t>
      </w:r>
    </w:p>
    <w:p>
      <w:pPr>
        <w:pStyle w:val="Heading1"/>
        <w:keepNext/>
        <w:spacing w:after="120" w:before="280"/>
      </w:pPr>
      <w:r>
        <w:t xml:space="preserve">9. 下一步必须做什么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两次上传（youtube.com/shorts/mEztESwn7mI 与 youtu.be/6MnhRmSR_TA）冻结 24–72 小时。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拉取 Shorts 指标（播放、Feed 展示、选择观看比例、平均观看时长、平均观看百分比、点赞、评论、分享、订阅）与 16:9 指标（展示次数、点击率、平均观看时长、留存、订阅）。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看三个窗口：0–4.15 秒（冷开场能否阻止划走？）、约 40 秒（“慢下来 → 迟到者”能否拉高注意力？）、最后 8.6 秒（结尾卡在转化还是导致退出？）。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如果结尾卡处出现留存断崖且订阅没有提升，下一版把停留从约 2.5 秒缩短到约 1–1.5 秒。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计算观测型 RAP 得分（建议定义：选择观看比例、平均观看百分比、CCI 目标 &gt; 2.5、每千次播放新增订阅、Short ÷ 横版平均观看百分比），在定稿 Episode 2 简报前交回 CSR-RAP 智能体。</w:t>
      </w:r>
    </w:p>
    <w:p>
      <w:pPr>
        <w:pStyle w:val="Heading1"/>
        <w:keepNext/>
        <w:spacing w:after="120" w:before="280"/>
      </w:pPr>
      <w:r>
        <w:t xml:space="preserve">10. 局限与验证欠账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B1F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尚无 V2 数据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所有关于 V2 的结论都是结构性的。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分数是判断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CSR-RAP 评估设计质量，而不是观众行为。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示意截图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带标注的截图为模拟画面；fork 公开发布前需替换。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确定性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渲染视觉一致但非逐比特一致（C24 中 144 帧有 61 帧相同）。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生成层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Episode 2 的人脸、手部、钥匙仍未验证。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1F2A"/>
                <w:sz w:val="19"/>
                <w:szCs w:val="19"/>
              </w:rPr>
              <w:t xml:space="preserve">肖像</w:t>
            </w:r>
          </w:p>
        </w:tc>
        <w:tc>
          <w:tcPr>
            <w:tcW w:type="dxa" w:w="7238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1F2A"/>
                <w:sz w:val="19"/>
                <w:szCs w:val="19"/>
              </w:rPr>
              <w:t xml:space="preserve">视频讽刺真实公众人物；角色标签可降低但不能消除这一点。每次发布前复核平台政策。</w:t>
            </w:r>
          </w:p>
        </w:tc>
      </w:tr>
    </w:tbl>
    <w:p>
      <w:pPr>
        <w:pStyle w:val="Heading1"/>
        <w:keepNext/>
        <w:spacing w:after="120" w:before="280"/>
      </w:pPr>
      <w:r>
        <w:t xml:space="preserve">附录 —— 带标注的安装截图（示意图）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419350"/>
            <wp:effectExtent t="0" r="0" b="0" l="0"/>
            <wp:docPr id="1" name="mock_03_hyperframes_zh.png" descr="图 4 —— 安装 HyperFrames 并运行 doctor（示意图）" title="图 4 —— 安装 HyperFrames 并运行 doctor（示意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079"/>
          <w:sz w:val="18"/>
          <w:szCs w:val="18"/>
        </w:rPr>
        <w:t xml:space="preserve">图 4 —— 安装 HyperFrames 并运行 doctor（示意图）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647950"/>
            <wp:effectExtent t="0" r="0" b="0" l="0"/>
            <wp:docPr id="1" name="mock_04_gates_zh.png" descr="图 5 —— 验证闸门（示意图；数值取自 C24 QA 报告）" title="图 5 —— 验证闸门（示意图；数值取自 C24 QA 报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079"/>
          <w:sz w:val="18"/>
          <w:szCs w:val="18"/>
        </w:rPr>
        <w:t xml:space="preserve">图 5 —— 验证闸门（示意图；数值取自 C24 QA 报告）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079"/>
        <w:sz w:val="16"/>
        <w:szCs w:val="16"/>
      </w:rPr>
      <w:t xml:space="preserve">每一个数字均可在 docs/SOURCES.md 中追溯   ·   </w:t>
    </w:r>
    <w:r>
      <w:rPr>
        <w:color w:val="6B70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B1F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eastAsia="Microsoft YaHei" w:hAnsi="Cambria"/>
      <w:b/>
      <w:bCs/>
      <w:color w:val="1B1F2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eastAsia="Microsoft YaHei" w:hAnsi="Cambria"/>
      <w:b/>
      <w:bCs/>
      <w:color w:val="1F8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3aa5d569f43e1652afb48c8218b7356d9dd472.png"/><Relationship Id="rId9" Type="http://schemas.openxmlformats.org/officeDocument/2006/relationships/image" Target="media/32b3ab541232de66a243bbf25f05dd42057d0c21.png"/><Relationship Id="rId10" Type="http://schemas.openxmlformats.org/officeDocument/2006/relationships/image" Target="media/07ec552599ad2573f70b1bfc164ca5a983d1578e.png"/><Relationship Id="rId11" Type="http://schemas.openxmlformats.org/officeDocument/2006/relationships/image" Target="media/f61df82591f6dbbfc8fdab5c18f3769a5975e638.png"/><Relationship Id="rId12" Type="http://schemas.openxmlformats.org/officeDocument/2006/relationships/image" Target="media/48a77b7479c1d4fa4f4b6f49ddda4c315f99065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执行备忘录 —— gstack 教程 #5</dc:title>
  <dc:creator>gstack tutorial #5</dc:creator>
  <cp:lastModifiedBy>Un-named</cp:lastModifiedBy>
  <cp:revision>1</cp:revision>
  <dcterms:created xsi:type="dcterms:W3CDTF">2026-09-29T00:43:04.634Z</dcterms:created>
  <dcterms:modified xsi:type="dcterms:W3CDTF">2026-09-29T00:43:04.634Z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