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EED8D" w14:textId="677928DF" w:rsidR="004F24B4" w:rsidRDefault="00FD44B6">
      <w:r>
        <w:t xml:space="preserve">Michael </w:t>
      </w:r>
      <w:proofErr w:type="spellStart"/>
      <w:r>
        <w:t>Lygas</w:t>
      </w:r>
      <w:proofErr w:type="spellEnd"/>
    </w:p>
    <w:p w14:paraId="2E21E641" w14:textId="07CB49BA" w:rsidR="00FD44B6" w:rsidRDefault="00B450CB">
      <w:r>
        <w:t xml:space="preserve">1) </w:t>
      </w:r>
      <w:r w:rsidR="00FD44B6">
        <w:t>Main Observations:</w:t>
      </w:r>
    </w:p>
    <w:p w14:paraId="4A1B9AD3" w14:textId="427F999E" w:rsidR="00FD44B6" w:rsidRDefault="00FD44B6" w:rsidP="004D206E">
      <w:pPr>
        <w:pStyle w:val="ListParagraph"/>
        <w:numPr>
          <w:ilvl w:val="0"/>
          <w:numId w:val="2"/>
        </w:numPr>
      </w:pPr>
      <w:r>
        <w:t xml:space="preserve">In category, we can verify that “theater” has the </w:t>
      </w:r>
      <w:r w:rsidR="000F5042">
        <w:t>largest</w:t>
      </w:r>
      <w:r>
        <w:t xml:space="preserve"> amount of contribution asks.   We can also verify that “music” is the most successful (77%).  </w:t>
      </w:r>
      <w:r w:rsidR="000F5042">
        <w:t xml:space="preserve"> </w:t>
      </w:r>
      <w:r w:rsidR="00926F7B">
        <w:t xml:space="preserve">And we note that </w:t>
      </w:r>
      <w:r w:rsidR="00F84A0E">
        <w:t xml:space="preserve">100% of </w:t>
      </w:r>
      <w:r w:rsidR="00926F7B">
        <w:t>“</w:t>
      </w:r>
      <w:r>
        <w:t xml:space="preserve">journalism” </w:t>
      </w:r>
      <w:r w:rsidR="000F5042">
        <w:t>campaigns</w:t>
      </w:r>
      <w:r>
        <w:t xml:space="preserve"> have been canceled.</w:t>
      </w:r>
    </w:p>
    <w:p w14:paraId="34352155" w14:textId="77777777" w:rsidR="00D56CF2" w:rsidRDefault="00D56CF2" w:rsidP="00D56CF2">
      <w:pPr>
        <w:pStyle w:val="ListParagraph"/>
      </w:pPr>
    </w:p>
    <w:p w14:paraId="24ADB531" w14:textId="77777777" w:rsidR="00AC6B0A" w:rsidRDefault="00AC6B0A" w:rsidP="00AC6B0A">
      <w:pPr>
        <w:pStyle w:val="ListParagraph"/>
      </w:pPr>
    </w:p>
    <w:p w14:paraId="6A045D4B" w14:textId="39F1695C" w:rsidR="00B747A7" w:rsidRDefault="00AC6B0A" w:rsidP="00B747A7">
      <w:pPr>
        <w:pStyle w:val="ListParagraph"/>
      </w:pPr>
      <w:r>
        <w:rPr>
          <w:noProof/>
        </w:rPr>
        <w:drawing>
          <wp:inline distT="0" distB="0" distL="0" distR="0" wp14:anchorId="7D63B72C" wp14:editId="4C7057E8">
            <wp:extent cx="5943600" cy="5070475"/>
            <wp:effectExtent l="0" t="0" r="0" b="15875"/>
            <wp:docPr id="5" name="Chart 5">
              <a:extLst xmlns:a="http://schemas.openxmlformats.org/drawingml/2006/main">
                <a:ext uri="{FF2B5EF4-FFF2-40B4-BE49-F238E27FC236}">
                  <a16:creationId xmlns:a16="http://schemas.microsoft.com/office/drawing/2014/main" id="{A12F2175-98F8-43AB-91B6-17A532CBF9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8F617D3" w14:textId="63FCAF73" w:rsidR="004D206E" w:rsidRDefault="004D206E" w:rsidP="004D206E">
      <w:pPr>
        <w:pStyle w:val="ListParagraph"/>
      </w:pPr>
    </w:p>
    <w:p w14:paraId="6FE3B8A6" w14:textId="0E2FAB66" w:rsidR="004D206E" w:rsidRDefault="004D206E" w:rsidP="004D206E">
      <w:pPr>
        <w:pStyle w:val="ListParagraph"/>
      </w:pPr>
    </w:p>
    <w:p w14:paraId="55CF1B88" w14:textId="77777777" w:rsidR="004D206E" w:rsidRDefault="004D206E" w:rsidP="004D206E">
      <w:pPr>
        <w:pStyle w:val="ListParagraph"/>
      </w:pPr>
    </w:p>
    <w:p w14:paraId="68DBE82B" w14:textId="5766ACEF" w:rsidR="000F5042" w:rsidRDefault="000F5042" w:rsidP="000F5042">
      <w:pPr>
        <w:ind w:left="360"/>
      </w:pPr>
    </w:p>
    <w:p w14:paraId="031C8CB3" w14:textId="77777777" w:rsidR="0092464C" w:rsidRDefault="0092464C" w:rsidP="0092464C">
      <w:pPr>
        <w:ind w:left="360"/>
      </w:pPr>
    </w:p>
    <w:p w14:paraId="51BDC2AA" w14:textId="77777777" w:rsidR="0092464C" w:rsidRDefault="0092464C" w:rsidP="0092464C">
      <w:pPr>
        <w:pStyle w:val="ListParagraph"/>
      </w:pPr>
    </w:p>
    <w:p w14:paraId="2B4BC742" w14:textId="77777777" w:rsidR="0092464C" w:rsidRDefault="0092464C" w:rsidP="0092464C">
      <w:pPr>
        <w:pStyle w:val="ListParagraph"/>
      </w:pPr>
    </w:p>
    <w:p w14:paraId="38C22FCF" w14:textId="77777777" w:rsidR="0092464C" w:rsidRDefault="0092464C" w:rsidP="0092464C">
      <w:pPr>
        <w:pStyle w:val="ListParagraph"/>
      </w:pPr>
    </w:p>
    <w:p w14:paraId="28C81C30" w14:textId="12A26E53" w:rsidR="00E95178" w:rsidRDefault="000F5042" w:rsidP="00636124">
      <w:pPr>
        <w:pStyle w:val="ListParagraph"/>
        <w:numPr>
          <w:ilvl w:val="0"/>
          <w:numId w:val="2"/>
        </w:numPr>
      </w:pPr>
      <w:r>
        <w:lastRenderedPageBreak/>
        <w:t>In sub-category, we can verify that “plays” has the largest amount of contribution asks.   We can also verify that rock and classical music are 100% successful.</w:t>
      </w:r>
    </w:p>
    <w:p w14:paraId="7C6F2B28" w14:textId="77777777" w:rsidR="0002039B" w:rsidRDefault="0002039B" w:rsidP="0002039B"/>
    <w:p w14:paraId="102797D7" w14:textId="1223F586" w:rsidR="00E95178" w:rsidRDefault="00E95178" w:rsidP="00E95178">
      <w:pPr>
        <w:pStyle w:val="ListParagraph"/>
      </w:pPr>
    </w:p>
    <w:p w14:paraId="39876B85" w14:textId="6E7827F9" w:rsidR="0033098D" w:rsidRDefault="0033098D" w:rsidP="00636124">
      <w:pPr>
        <w:pStyle w:val="ListParagraph"/>
      </w:pPr>
    </w:p>
    <w:p w14:paraId="44600B8D" w14:textId="4A39C779" w:rsidR="0033098D" w:rsidRDefault="00197138" w:rsidP="0033098D">
      <w:r>
        <w:rPr>
          <w:noProof/>
        </w:rPr>
        <w:drawing>
          <wp:inline distT="0" distB="0" distL="0" distR="0" wp14:anchorId="25A64555" wp14:editId="4B30345A">
            <wp:extent cx="6619875" cy="3677285"/>
            <wp:effectExtent l="0" t="0" r="9525" b="18415"/>
            <wp:docPr id="8" name="Chart 8">
              <a:extLst xmlns:a="http://schemas.openxmlformats.org/drawingml/2006/main">
                <a:ext uri="{FF2B5EF4-FFF2-40B4-BE49-F238E27FC236}">
                  <a16:creationId xmlns:a16="http://schemas.microsoft.com/office/drawing/2014/main" id="{70E6B807-C442-40E3-8A1B-42B5CFD4F9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0" w:name="_GoBack"/>
      <w:bookmarkEnd w:id="0"/>
    </w:p>
    <w:p w14:paraId="011338AE" w14:textId="17DDDB28" w:rsidR="00D2777C" w:rsidRDefault="003354DD" w:rsidP="00636124">
      <w:pPr>
        <w:pStyle w:val="ListParagraph"/>
        <w:numPr>
          <w:ilvl w:val="0"/>
          <w:numId w:val="2"/>
        </w:numPr>
      </w:pPr>
      <w:r>
        <w:lastRenderedPageBreak/>
        <w:t xml:space="preserve">By month, we can show that most campaigns were created in the months of May thru July.   April and May were the most successful months when aggregating </w:t>
      </w:r>
      <w:r w:rsidR="00DE776B">
        <w:t xml:space="preserve">data </w:t>
      </w:r>
      <w:r>
        <w:t xml:space="preserve">over the past </w:t>
      </w:r>
      <w:r w:rsidR="009B52D1">
        <w:t>9</w:t>
      </w:r>
      <w:r>
        <w:t xml:space="preserve"> years</w:t>
      </w:r>
      <w:r w:rsidR="009B52D1">
        <w:t>.</w:t>
      </w:r>
      <w:r w:rsidR="00D2777C">
        <w:rPr>
          <w:noProof/>
        </w:rPr>
        <w:drawing>
          <wp:inline distT="0" distB="0" distL="0" distR="0" wp14:anchorId="10CF6D45" wp14:editId="342F03C2">
            <wp:extent cx="5943600"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95650"/>
                    </a:xfrm>
                    <a:prstGeom prst="rect">
                      <a:avLst/>
                    </a:prstGeom>
                  </pic:spPr>
                </pic:pic>
              </a:graphicData>
            </a:graphic>
          </wp:inline>
        </w:drawing>
      </w:r>
    </w:p>
    <w:p w14:paraId="57C5743D" w14:textId="77777777" w:rsidR="00790E3E" w:rsidRDefault="00790E3E" w:rsidP="00790E3E">
      <w:pPr>
        <w:pStyle w:val="ListParagraph"/>
      </w:pPr>
    </w:p>
    <w:p w14:paraId="42AFE229" w14:textId="77777777" w:rsidR="0025755C" w:rsidRDefault="0025755C" w:rsidP="0025755C">
      <w:pPr>
        <w:ind w:left="360"/>
      </w:pPr>
    </w:p>
    <w:p w14:paraId="152907D2" w14:textId="77777777" w:rsidR="0025755C" w:rsidRDefault="0025755C" w:rsidP="0025755C">
      <w:pPr>
        <w:ind w:left="360"/>
      </w:pPr>
    </w:p>
    <w:p w14:paraId="27E55B4B" w14:textId="77777777" w:rsidR="0025755C" w:rsidRDefault="0025755C" w:rsidP="0025755C">
      <w:pPr>
        <w:ind w:left="360"/>
      </w:pPr>
    </w:p>
    <w:p w14:paraId="0E78D9F7" w14:textId="77777777" w:rsidR="0025755C" w:rsidRDefault="0025755C" w:rsidP="0025755C">
      <w:pPr>
        <w:ind w:left="360"/>
      </w:pPr>
    </w:p>
    <w:p w14:paraId="06F00989" w14:textId="13E380DE" w:rsidR="00CB1873" w:rsidRDefault="00790E3E" w:rsidP="00B93542">
      <w:pPr>
        <w:pStyle w:val="ListParagraph"/>
        <w:numPr>
          <w:ilvl w:val="0"/>
          <w:numId w:val="2"/>
        </w:numPr>
      </w:pPr>
      <w:r>
        <w:t xml:space="preserve">The higher the </w:t>
      </w:r>
      <w:proofErr w:type="gramStart"/>
      <w:r>
        <w:t>$  goal</w:t>
      </w:r>
      <w:proofErr w:type="gramEnd"/>
      <w:r>
        <w:t xml:space="preserve">, the greater likelihood </w:t>
      </w:r>
      <w:r w:rsidR="005D3C5A">
        <w:t xml:space="preserve"> the campaign is </w:t>
      </w:r>
      <w:r>
        <w:t>of failing</w:t>
      </w:r>
      <w:r w:rsidR="005D3C5A">
        <w:t>.</w:t>
      </w:r>
    </w:p>
    <w:p w14:paraId="75B6ED1E" w14:textId="358E9FD7" w:rsidR="002B33BB" w:rsidRDefault="0012518C" w:rsidP="002B33BB">
      <w:pPr>
        <w:pStyle w:val="ListParagraph"/>
      </w:pPr>
      <w:r>
        <w:rPr>
          <w:noProof/>
        </w:rPr>
        <mc:AlternateContent>
          <mc:Choice Requires="cx2">
            <w:drawing>
              <wp:inline distT="0" distB="0" distL="0" distR="0" wp14:anchorId="3B96C18A" wp14:editId="2C546240">
                <wp:extent cx="4572000" cy="2743200"/>
                <wp:effectExtent l="0" t="0" r="0" b="0"/>
                <wp:docPr id="3" name="Chart 3">
                  <a:extLst xmlns:a="http://schemas.openxmlformats.org/drawingml/2006/main">
                    <a:ext uri="{FF2B5EF4-FFF2-40B4-BE49-F238E27FC236}">
                      <a16:creationId xmlns:a16="http://schemas.microsoft.com/office/drawing/2014/main" id="{542874D7-8AF7-4044-82E7-C8FB375B692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3B96C18A" wp14:editId="2C546240">
                <wp:extent cx="4572000" cy="2743200"/>
                <wp:effectExtent l="0" t="0" r="0" b="0"/>
                <wp:docPr id="3" name="Chart 3">
                  <a:extLst xmlns:a="http://schemas.openxmlformats.org/drawingml/2006/main">
                    <a:ext uri="{FF2B5EF4-FFF2-40B4-BE49-F238E27FC236}">
                      <a16:creationId xmlns:a16="http://schemas.microsoft.com/office/drawing/2014/main" id="{542874D7-8AF7-4044-82E7-C8FB375B692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542874D7-8AF7-4044-82E7-C8FB375B692D}"/>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4572000" cy="2743200"/>
                        </a:xfrm>
                        <a:prstGeom prst="rect">
                          <a:avLst/>
                        </a:prstGeom>
                      </pic:spPr>
                    </pic:pic>
                  </a:graphicData>
                </a:graphic>
              </wp:inline>
            </w:drawing>
          </mc:Fallback>
        </mc:AlternateContent>
      </w:r>
    </w:p>
    <w:p w14:paraId="1AB32C2C" w14:textId="77777777" w:rsidR="001F1E5F" w:rsidRDefault="001F1E5F" w:rsidP="001F1E5F">
      <w:pPr>
        <w:pStyle w:val="ListParagraph"/>
        <w:rPr>
          <w:cs/>
        </w:rPr>
      </w:pPr>
    </w:p>
    <w:p w14:paraId="5429C976" w14:textId="77777777" w:rsidR="001F1E5F" w:rsidRDefault="001F1E5F" w:rsidP="001F1E5F">
      <w:pPr>
        <w:pStyle w:val="ListParagraph"/>
      </w:pPr>
    </w:p>
    <w:p w14:paraId="653C088F" w14:textId="7FB3B585" w:rsidR="009B52D1" w:rsidRDefault="00CB1873" w:rsidP="009B52D1">
      <w:r>
        <w:t xml:space="preserve">2)  </w:t>
      </w:r>
      <w:r w:rsidR="00F6520D">
        <w:t>Some of the limitations of this dataset include:</w:t>
      </w:r>
    </w:p>
    <w:p w14:paraId="2C47ADA6" w14:textId="516C076D" w:rsidR="00F6520D" w:rsidRDefault="003F1590" w:rsidP="00E24983">
      <w:pPr>
        <w:pStyle w:val="ListParagraph"/>
        <w:numPr>
          <w:ilvl w:val="0"/>
          <w:numId w:val="2"/>
        </w:numPr>
        <w:spacing w:line="276" w:lineRule="auto"/>
      </w:pPr>
      <w:r>
        <w:t>Not having full year data for 2009 or 2017.   Related to that, it is important not to rely on just one year if doing predictive analysis as state or outcome of campaigns vary year over year.</w:t>
      </w:r>
    </w:p>
    <w:p w14:paraId="3865B1AC" w14:textId="77777777" w:rsidR="00E24983" w:rsidRDefault="00E24983" w:rsidP="00E24983">
      <w:pPr>
        <w:pStyle w:val="ListParagraph"/>
        <w:spacing w:line="276" w:lineRule="auto"/>
      </w:pPr>
    </w:p>
    <w:p w14:paraId="5240B810" w14:textId="65049444" w:rsidR="00E24983" w:rsidRDefault="003F1590" w:rsidP="00E24983">
      <w:pPr>
        <w:pStyle w:val="ListParagraph"/>
        <w:numPr>
          <w:ilvl w:val="0"/>
          <w:numId w:val="2"/>
        </w:numPr>
        <w:spacing w:line="276" w:lineRule="auto"/>
      </w:pPr>
      <w:r>
        <w:t>Not providing quantitative data such as survey results as to why a person would choose to donate or not to a campaign or why it would be cancelled.</w:t>
      </w:r>
    </w:p>
    <w:p w14:paraId="1BBA399B" w14:textId="77777777" w:rsidR="00E24983" w:rsidRDefault="00E24983" w:rsidP="00E24983">
      <w:pPr>
        <w:pStyle w:val="ListParagraph"/>
        <w:spacing w:line="276" w:lineRule="auto"/>
      </w:pPr>
    </w:p>
    <w:p w14:paraId="17729967" w14:textId="1DA5A81E" w:rsidR="003F1590" w:rsidRDefault="003F1590" w:rsidP="00E24983">
      <w:pPr>
        <w:pStyle w:val="ListParagraph"/>
        <w:numPr>
          <w:ilvl w:val="0"/>
          <w:numId w:val="2"/>
        </w:numPr>
        <w:spacing w:line="276" w:lineRule="auto"/>
      </w:pPr>
      <w:r>
        <w:t xml:space="preserve">Relying only on one </w:t>
      </w:r>
      <w:r w:rsidR="00DC0500">
        <w:t>crowdfunding</w:t>
      </w:r>
      <w:r>
        <w:t xml:space="preserve"> service</w:t>
      </w:r>
    </w:p>
    <w:p w14:paraId="3BB423A5" w14:textId="08C839A0" w:rsidR="00CB1873" w:rsidRDefault="00CB1873" w:rsidP="009B52D1"/>
    <w:p w14:paraId="35AF02CA" w14:textId="52C68C42" w:rsidR="00927E53" w:rsidRDefault="00CB1873" w:rsidP="009B52D1">
      <w:r>
        <w:t xml:space="preserve">3) </w:t>
      </w:r>
      <w:r w:rsidR="00927E53">
        <w:t>Other possible charts/ tables that can be created include:</w:t>
      </w:r>
    </w:p>
    <w:p w14:paraId="2C40C847" w14:textId="27FD8B4B" w:rsidR="00927E53" w:rsidRDefault="00927E53" w:rsidP="00F25A8F">
      <w:pPr>
        <w:pStyle w:val="ListParagraph"/>
        <w:numPr>
          <w:ilvl w:val="0"/>
          <w:numId w:val="3"/>
        </w:numPr>
      </w:pPr>
      <w:r>
        <w:t>A map chart show</w:t>
      </w:r>
      <w:r w:rsidR="00E24983">
        <w:t>s</w:t>
      </w:r>
      <w:r>
        <w:t xml:space="preserve"> goal, pledged and average donation by country or by currency</w:t>
      </w:r>
    </w:p>
    <w:p w14:paraId="44D580BB" w14:textId="77777777" w:rsidR="00E24983" w:rsidRDefault="00E24983" w:rsidP="00E24983">
      <w:pPr>
        <w:pStyle w:val="ListParagraph"/>
      </w:pPr>
    </w:p>
    <w:p w14:paraId="1BC7103E" w14:textId="2963F9E9" w:rsidR="00E24983" w:rsidRDefault="00927E53" w:rsidP="00E24983">
      <w:pPr>
        <w:pStyle w:val="ListParagraph"/>
        <w:numPr>
          <w:ilvl w:val="0"/>
          <w:numId w:val="3"/>
        </w:numPr>
      </w:pPr>
      <w:r>
        <w:t>Correlations between pledged amount (dependent variable) and independent variables such as backers count, spotlight, staff picked or count of words in blurb</w:t>
      </w:r>
      <w:r w:rsidR="006663E6">
        <w:t>.</w:t>
      </w:r>
    </w:p>
    <w:p w14:paraId="355BBF4F" w14:textId="77777777" w:rsidR="00E24983" w:rsidRDefault="00E24983" w:rsidP="00E24983">
      <w:pPr>
        <w:pStyle w:val="ListParagraph"/>
      </w:pPr>
    </w:p>
    <w:p w14:paraId="5BCA4D30" w14:textId="46E0026F" w:rsidR="006663E6" w:rsidRDefault="006663E6" w:rsidP="00F25A8F">
      <w:pPr>
        <w:pStyle w:val="ListParagraph"/>
        <w:numPr>
          <w:ilvl w:val="0"/>
          <w:numId w:val="3"/>
        </w:numPr>
      </w:pPr>
      <w:r>
        <w:t xml:space="preserve">Time between </w:t>
      </w:r>
      <w:r w:rsidR="00E24983">
        <w:t>“</w:t>
      </w:r>
      <w:r>
        <w:t>launched at</w:t>
      </w:r>
      <w:r w:rsidR="00E24983">
        <w:t>”</w:t>
      </w:r>
      <w:r>
        <w:t xml:space="preserve"> and </w:t>
      </w:r>
      <w:r w:rsidR="00E24983">
        <w:t>“</w:t>
      </w:r>
      <w:r>
        <w:t>deadline</w:t>
      </w:r>
      <w:r w:rsidR="00E24983">
        <w:t>”</w:t>
      </w:r>
      <w:r>
        <w:t xml:space="preserve"> as </w:t>
      </w:r>
      <w:r w:rsidR="00E24983">
        <w:t xml:space="preserve">a </w:t>
      </w:r>
      <w:r>
        <w:t xml:space="preserve">correlation </w:t>
      </w:r>
      <w:r w:rsidR="00E24983">
        <w:t xml:space="preserve">factor </w:t>
      </w:r>
      <w:r>
        <w:t xml:space="preserve">to attainment </w:t>
      </w:r>
      <w:r w:rsidR="00E24983">
        <w:t>or</w:t>
      </w:r>
      <w:r w:rsidR="00F25A8F">
        <w:t xml:space="preserve"> percent </w:t>
      </w:r>
      <w:r w:rsidR="00E24983">
        <w:t xml:space="preserve">of goal </w:t>
      </w:r>
      <w:r w:rsidR="00F25A8F">
        <w:t>funded</w:t>
      </w:r>
      <w:r w:rsidR="005F6118">
        <w:t>.</w:t>
      </w:r>
    </w:p>
    <w:sectPr w:rsidR="006663E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923E7" w14:textId="77777777" w:rsidR="008918AE" w:rsidRDefault="008918AE" w:rsidP="00926F7B">
      <w:pPr>
        <w:spacing w:after="0"/>
      </w:pPr>
      <w:r>
        <w:separator/>
      </w:r>
    </w:p>
  </w:endnote>
  <w:endnote w:type="continuationSeparator" w:id="0">
    <w:p w14:paraId="6D2C01C7" w14:textId="77777777" w:rsidR="008918AE" w:rsidRDefault="008918AE" w:rsidP="00926F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613861"/>
      <w:docPartObj>
        <w:docPartGallery w:val="Page Numbers (Bottom of Page)"/>
        <w:docPartUnique/>
      </w:docPartObj>
    </w:sdtPr>
    <w:sdtEndPr/>
    <w:sdtContent>
      <w:sdt>
        <w:sdtPr>
          <w:id w:val="1728636285"/>
          <w:docPartObj>
            <w:docPartGallery w:val="Page Numbers (Top of Page)"/>
            <w:docPartUnique/>
          </w:docPartObj>
        </w:sdtPr>
        <w:sdtEndPr/>
        <w:sdtContent>
          <w:p w14:paraId="59D84332" w14:textId="2B4E024D" w:rsidR="00F25A8F" w:rsidRDefault="00F25A8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4BDA2B7" w14:textId="77777777" w:rsidR="00F25A8F" w:rsidRDefault="00F25A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A3210" w14:textId="77777777" w:rsidR="008918AE" w:rsidRDefault="008918AE" w:rsidP="00926F7B">
      <w:pPr>
        <w:spacing w:after="0"/>
      </w:pPr>
      <w:r>
        <w:separator/>
      </w:r>
    </w:p>
  </w:footnote>
  <w:footnote w:type="continuationSeparator" w:id="0">
    <w:p w14:paraId="52E0E2A5" w14:textId="77777777" w:rsidR="008918AE" w:rsidRDefault="008918AE" w:rsidP="00926F7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6FED"/>
    <w:multiLevelType w:val="hybridMultilevel"/>
    <w:tmpl w:val="5490A9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AF1C3A"/>
    <w:multiLevelType w:val="hybridMultilevel"/>
    <w:tmpl w:val="048844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A25658"/>
    <w:multiLevelType w:val="hybridMultilevel"/>
    <w:tmpl w:val="914EC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FA8"/>
    <w:rsid w:val="0002039B"/>
    <w:rsid w:val="00091E9D"/>
    <w:rsid w:val="000F5042"/>
    <w:rsid w:val="0012518C"/>
    <w:rsid w:val="00197138"/>
    <w:rsid w:val="001F1E5F"/>
    <w:rsid w:val="00241221"/>
    <w:rsid w:val="0025755C"/>
    <w:rsid w:val="00291B66"/>
    <w:rsid w:val="002B33BB"/>
    <w:rsid w:val="002D7DB9"/>
    <w:rsid w:val="0033098D"/>
    <w:rsid w:val="003354DD"/>
    <w:rsid w:val="0035395D"/>
    <w:rsid w:val="003A043C"/>
    <w:rsid w:val="003F1590"/>
    <w:rsid w:val="004D206E"/>
    <w:rsid w:val="004D385D"/>
    <w:rsid w:val="004F24B4"/>
    <w:rsid w:val="005438EE"/>
    <w:rsid w:val="005545DC"/>
    <w:rsid w:val="005547FD"/>
    <w:rsid w:val="00565649"/>
    <w:rsid w:val="005D3C5A"/>
    <w:rsid w:val="005E58DB"/>
    <w:rsid w:val="005F6118"/>
    <w:rsid w:val="006315D4"/>
    <w:rsid w:val="00636124"/>
    <w:rsid w:val="006663E6"/>
    <w:rsid w:val="006C07D7"/>
    <w:rsid w:val="006C53C1"/>
    <w:rsid w:val="006D51D0"/>
    <w:rsid w:val="00726BE3"/>
    <w:rsid w:val="0076139D"/>
    <w:rsid w:val="00790E3E"/>
    <w:rsid w:val="00795164"/>
    <w:rsid w:val="00881B64"/>
    <w:rsid w:val="008918AE"/>
    <w:rsid w:val="00895883"/>
    <w:rsid w:val="0092464C"/>
    <w:rsid w:val="00926F7B"/>
    <w:rsid w:val="00927E53"/>
    <w:rsid w:val="009B52D1"/>
    <w:rsid w:val="00A039E8"/>
    <w:rsid w:val="00AC6B0A"/>
    <w:rsid w:val="00B450CB"/>
    <w:rsid w:val="00B747A7"/>
    <w:rsid w:val="00B93542"/>
    <w:rsid w:val="00C15120"/>
    <w:rsid w:val="00C535DD"/>
    <w:rsid w:val="00CB1873"/>
    <w:rsid w:val="00D2777C"/>
    <w:rsid w:val="00D56CF2"/>
    <w:rsid w:val="00D74199"/>
    <w:rsid w:val="00DC0500"/>
    <w:rsid w:val="00DE776B"/>
    <w:rsid w:val="00E02E76"/>
    <w:rsid w:val="00E144B0"/>
    <w:rsid w:val="00E24983"/>
    <w:rsid w:val="00E46B87"/>
    <w:rsid w:val="00E61CD9"/>
    <w:rsid w:val="00E95178"/>
    <w:rsid w:val="00EB2DD2"/>
    <w:rsid w:val="00EE5E80"/>
    <w:rsid w:val="00F25A8F"/>
    <w:rsid w:val="00F37623"/>
    <w:rsid w:val="00F6520D"/>
    <w:rsid w:val="00F80AE4"/>
    <w:rsid w:val="00F84A0E"/>
    <w:rsid w:val="00F94D4E"/>
    <w:rsid w:val="00FA0FA8"/>
    <w:rsid w:val="00FD44B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0C203"/>
  <w15:chartTrackingRefBased/>
  <w15:docId w15:val="{AFAC4E5A-A333-469B-9F58-78151E351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4B6"/>
    <w:pPr>
      <w:ind w:left="720"/>
      <w:contextualSpacing/>
    </w:pPr>
  </w:style>
  <w:style w:type="paragraph" w:styleId="Header">
    <w:name w:val="header"/>
    <w:basedOn w:val="Normal"/>
    <w:link w:val="HeaderChar"/>
    <w:uiPriority w:val="99"/>
    <w:unhideWhenUsed/>
    <w:rsid w:val="00926F7B"/>
    <w:pPr>
      <w:tabs>
        <w:tab w:val="center" w:pos="4680"/>
        <w:tab w:val="right" w:pos="9360"/>
      </w:tabs>
      <w:spacing w:after="0"/>
    </w:pPr>
  </w:style>
  <w:style w:type="character" w:customStyle="1" w:styleId="HeaderChar">
    <w:name w:val="Header Char"/>
    <w:basedOn w:val="DefaultParagraphFont"/>
    <w:link w:val="Header"/>
    <w:uiPriority w:val="99"/>
    <w:rsid w:val="00926F7B"/>
  </w:style>
  <w:style w:type="paragraph" w:styleId="Footer">
    <w:name w:val="footer"/>
    <w:basedOn w:val="Normal"/>
    <w:link w:val="FooterChar"/>
    <w:uiPriority w:val="99"/>
    <w:unhideWhenUsed/>
    <w:rsid w:val="00926F7B"/>
    <w:pPr>
      <w:tabs>
        <w:tab w:val="center" w:pos="4680"/>
        <w:tab w:val="right" w:pos="9360"/>
      </w:tabs>
      <w:spacing w:after="0"/>
    </w:pPr>
  </w:style>
  <w:style w:type="character" w:customStyle="1" w:styleId="FooterChar">
    <w:name w:val="Footer Char"/>
    <w:basedOn w:val="DefaultParagraphFont"/>
    <w:link w:val="Footer"/>
    <w:uiPriority w:val="99"/>
    <w:rsid w:val="00926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microsoft.com/office/2014/relationships/chartEx" Target="charts/chartEx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ikel\OneDrive\Desktop\PREWORK_ML\StarterBook_Solved_M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ikel\OneDrive\Desktop\PREWORK_ML\StarterBook_Solved_ML.xlsx"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mikel\OneDrive\Desktop\PREWORK_ML\StarterBook_Solved_M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[StarterBook_Solved_ML.xlsx]pt1 (PERCENTAGE)!PivotTable2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Outcome by Category for</a:t>
            </a:r>
            <a:r>
              <a:rPr lang="en-US" b="1" baseline="0"/>
              <a:t> Total Kickstarter Projects</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rgbClr val="FFFF00"/>
          </a:solidFill>
          <a:ln>
            <a:noFill/>
          </a:ln>
          <a:effectLst/>
        </c:spPr>
        <c:marker>
          <c:symbol val="none"/>
        </c:marker>
        <c:dLbl>
          <c:idx val="0"/>
          <c:spPr>
            <a:solidFill>
              <a:srgbClr val="FFFF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
        <c:spPr>
          <a:solidFill>
            <a:srgbClr val="FFFF00"/>
          </a:solidFill>
          <a:ln>
            <a:noFill/>
          </a:ln>
          <a:effectLst/>
        </c:spPr>
        <c:dLbl>
          <c:idx val="0"/>
          <c:tx>
            <c:strRef>
              <c:f>'pt1 (PERCENTAGE)'!$B$18</c:f>
              <c:strCache>
                <c:ptCount val="1"/>
                <c:pt idx="0">
                  <c:v>7.69%</c:v>
                </c:pt>
              </c:strCache>
            </c:strRef>
          </c:tx>
          <c:spPr>
            <a:solidFill>
              <a:srgbClr val="FFFF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{43EEBD95-8061-441D-AF38-1F3EE1A4EBB8}</c15:txfldGUID>
                  <c15:f>'pt1 (PERCENTAGE)'!$B$18</c15:f>
                  <c15:dlblFieldTableCache>
                    <c:ptCount val="1"/>
                    <c:pt idx="0">
                      <c:v>7.69%</c:v>
                    </c:pt>
                  </c15:dlblFieldTableCache>
                </c15:dlblFTEntry>
              </c15:dlblFieldTable>
              <c15:showDataLabelsRange val="0"/>
            </c:ext>
          </c:extLst>
        </c:dLbl>
      </c:pivotFmt>
      <c:pivotFmt>
        <c:idx val="5"/>
        <c:spPr>
          <a:solidFill>
            <a:schemeClr val="accent2"/>
          </a:solidFill>
          <a:ln>
            <a:noFill/>
          </a:ln>
          <a:effectLst/>
        </c:spPr>
        <c:dLbl>
          <c:idx val="0"/>
          <c:tx>
            <c:strRef>
              <c:f>'pt1 (PERCENTAGE)'!$C$18</c:f>
              <c:strCache>
                <c:ptCount val="1"/>
                <c:pt idx="0">
                  <c:v>34.62%</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{3F1B89C1-8081-45A2-81DD-4FC2A897CFFF}</c15:txfldGUID>
                  <c15:f>'pt1 (PERCENTAGE)'!$C$18</c15:f>
                  <c15:dlblFieldTableCache>
                    <c:ptCount val="1"/>
                    <c:pt idx="0">
                      <c:v>34.62%</c:v>
                    </c:pt>
                  </c15:dlblFieldTableCache>
                </c15:dlblFTEntry>
              </c15:dlblFieldTable>
              <c15:showDataLabelsRange val="0"/>
            </c:ext>
          </c:extLst>
        </c:dLbl>
      </c:pivotFmt>
      <c:pivotFmt>
        <c:idx val="6"/>
        <c:spPr>
          <a:solidFill>
            <a:srgbClr val="92D050"/>
          </a:solidFill>
          <a:ln>
            <a:noFill/>
          </a:ln>
          <a:effectLst/>
        </c:spPr>
        <c:dLbl>
          <c:idx val="0"/>
          <c:tx>
            <c:strRef>
              <c:f>'pt1 (PERCENTAGE)'!$E$18</c:f>
              <c:strCache>
                <c:ptCount val="1"/>
                <c:pt idx="0">
                  <c:v>57.69%</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{12B08C0F-A482-460A-B48D-DD8072FB9762}</c15:txfldGUID>
                  <c15:f>'pt1 (PERCENTAGE)'!$E$18</c15:f>
                  <c15:dlblFieldTableCache>
                    <c:ptCount val="1"/>
                    <c:pt idx="0">
                      <c:v>57.69%</c:v>
                    </c:pt>
                  </c15:dlblFieldTableCache>
                </c15:dlblFTEntry>
              </c15:dlblFieldTable>
              <c15:showDataLabelsRange val="0"/>
            </c:ext>
          </c:extLst>
        </c:dLbl>
      </c:pivotFmt>
      <c:pivotFmt>
        <c:idx val="7"/>
        <c:spPr>
          <a:solidFill>
            <a:srgbClr val="92D050"/>
          </a:solidFill>
          <a:ln>
            <a:noFill/>
          </a:ln>
          <a:effectLst/>
        </c:spPr>
        <c:dLbl>
          <c:idx val="0"/>
          <c:tx>
            <c:strRef>
              <c:f>'pt1 (PERCENTAGE)'!$E$22</c:f>
              <c:strCache>
                <c:ptCount val="1"/>
                <c:pt idx="0">
                  <c:v>77.14%</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{6D38502D-026B-4B7B-8587-A517DA0AAD81}</c15:txfldGUID>
                  <c15:f>'pt1 (PERCENTAGE)'!$E$22</c15:f>
                  <c15:dlblFieldTableCache>
                    <c:ptCount val="1"/>
                    <c:pt idx="0">
                      <c:v>77.14%</c:v>
                    </c:pt>
                  </c15:dlblFieldTableCache>
                </c15:dlblFTEntry>
              </c15:dlblFieldTable>
              <c15:showDataLabelsRange val="0"/>
            </c:ext>
          </c:extLst>
        </c:dLbl>
      </c:pivotFmt>
      <c:pivotFmt>
        <c:idx val="8"/>
        <c:spPr>
          <a:solidFill>
            <a:srgbClr val="FFFF00"/>
          </a:solidFill>
          <a:ln>
            <a:noFill/>
          </a:ln>
          <a:effectLst/>
        </c:spPr>
        <c:dLbl>
          <c:idx val="0"/>
          <c:tx>
            <c:strRef>
              <c:f>'pt1 (PERCENTAGE)'!$B$22</c:f>
              <c:strCache>
                <c:ptCount val="1"/>
                <c:pt idx="0">
                  <c:v>2.86%</c:v>
                </c:pt>
              </c:strCache>
            </c:strRef>
          </c:tx>
          <c:spPr>
            <a:solidFill>
              <a:srgbClr val="FFFF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{8617826E-FB14-48D6-9F69-89E7F74BE4EE}</c15:txfldGUID>
                  <c15:f>'pt1 (PERCENTAGE)'!$B$22</c15:f>
                  <c15:dlblFieldTableCache>
                    <c:ptCount val="1"/>
                    <c:pt idx="0">
                      <c:v>2.86%</c:v>
                    </c:pt>
                  </c15:dlblFieldTableCache>
                </c15:dlblFTEntry>
              </c15:dlblFieldTable>
              <c15:showDataLabelsRange val="0"/>
            </c:ext>
          </c:extLst>
        </c:dLbl>
      </c:pivotFmt>
      <c:pivotFmt>
        <c:idx val="9"/>
        <c:spPr>
          <a:solidFill>
            <a:schemeClr val="accent2"/>
          </a:solidFill>
          <a:ln>
            <a:noFill/>
          </a:ln>
          <a:effectLst/>
        </c:spPr>
        <c:dLbl>
          <c:idx val="0"/>
          <c:tx>
            <c:strRef>
              <c:f>'pt1 (PERCENTAGE)'!$C$22</c:f>
              <c:strCache>
                <c:ptCount val="1"/>
                <c:pt idx="0">
                  <c:v>17.14%</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{A09C56CC-03BB-4A46-83B5-FF5A2232C364}</c15:txfldGUID>
                  <c15:f>'pt1 (PERCENTAGE)'!$C$22</c15:f>
                  <c15:dlblFieldTableCache>
                    <c:ptCount val="1"/>
                    <c:pt idx="0">
                      <c:v>17.14%</c:v>
                    </c:pt>
                  </c15:dlblFieldTableCache>
                </c15:dlblFTEntry>
              </c15:dlblFieldTable>
              <c15:showDataLabelsRange val="0"/>
            </c:ext>
          </c:extLst>
        </c:dLbl>
      </c:pivotFmt>
      <c:pivotFmt>
        <c:idx val="10"/>
        <c:spPr>
          <a:solidFill>
            <a:schemeClr val="accent3"/>
          </a:solidFill>
          <a:ln>
            <a:noFill/>
          </a:ln>
          <a:effectLst/>
        </c:spPr>
        <c:dLbl>
          <c:idx val="0"/>
          <c:tx>
            <c:strRef>
              <c:f>'pt1 (PERCENTAGE)'!$D$22</c:f>
              <c:strCache>
                <c:ptCount val="1"/>
                <c:pt idx="0">
                  <c:v>2.86%</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{DA32537C-9B56-467C-A4C3-34ECAA248C83}</c15:txfldGUID>
                  <c15:f>'pt1 (PERCENTAGE)'!$D$22</c15:f>
                  <c15:dlblFieldTableCache>
                    <c:ptCount val="1"/>
                    <c:pt idx="0">
                      <c:v>2.86%</c:v>
                    </c:pt>
                  </c15:dlblFieldTableCache>
                </c15:dlblFTEntry>
              </c15:dlblFieldTable>
              <c15:showDataLabelsRange val="0"/>
            </c:ext>
          </c:extLst>
        </c:dLbl>
      </c:pivotFmt>
      <c:pivotFmt>
        <c:idx val="11"/>
        <c:spPr>
          <a:solidFill>
            <a:srgbClr val="92D050"/>
          </a:solidFill>
          <a:ln>
            <a:noFill/>
          </a:ln>
          <a:effectLst/>
        </c:spPr>
        <c:dLbl>
          <c:idx val="0"/>
          <c:tx>
            <c:strRef>
              <c:f>'pt1 (PERCENTAGE)'!$E$19</c:f>
              <c:strCache>
                <c:ptCount val="1"/>
                <c:pt idx="0">
                  <c:v>17.00%</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{E18E3BEB-ABE6-49EB-B3BC-F22B9B2A3407}</c15:txfldGUID>
                  <c15:f>'pt1 (PERCENTAGE)'!$E$19</c15:f>
                  <c15:dlblFieldTableCache>
                    <c:ptCount val="1"/>
                    <c:pt idx="0">
                      <c:v>17.00%</c:v>
                    </c:pt>
                  </c15:dlblFieldTableCache>
                </c15:dlblFTEntry>
              </c15:dlblFieldTable>
              <c15:showDataLabelsRange val="0"/>
            </c:ext>
          </c:extLst>
        </c:dLbl>
      </c:pivotFmt>
      <c:pivotFmt>
        <c:idx val="12"/>
        <c:spPr>
          <a:solidFill>
            <a:schemeClr val="accent2"/>
          </a:solidFill>
          <a:ln>
            <a:noFill/>
          </a:ln>
          <a:effectLst/>
        </c:spPr>
        <c:dLbl>
          <c:idx val="0"/>
          <c:tx>
            <c:strRef>
              <c:f>'pt1 (PERCENTAGE)'!$C$19</c:f>
              <c:strCache>
                <c:ptCount val="1"/>
                <c:pt idx="0">
                  <c:v>70.00%</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{E05E000B-DD97-44A8-B6F1-80F24D13A3E4}</c15:txfldGUID>
                  <c15:f>'pt1 (PERCENTAGE)'!$C$19</c15:f>
                  <c15:dlblFieldTableCache>
                    <c:ptCount val="1"/>
                    <c:pt idx="0">
                      <c:v>70.00%</c:v>
                    </c:pt>
                  </c15:dlblFieldTableCache>
                </c15:dlblFTEntry>
              </c15:dlblFieldTable>
              <c15:showDataLabelsRange val="0"/>
            </c:ext>
          </c:extLst>
        </c:dLbl>
      </c:pivotFmt>
      <c:pivotFmt>
        <c:idx val="13"/>
        <c:spPr>
          <a:solidFill>
            <a:srgbClr val="FFFF00"/>
          </a:solidFill>
          <a:ln>
            <a:noFill/>
          </a:ln>
          <a:effectLst/>
        </c:spPr>
        <c:dLbl>
          <c:idx val="0"/>
          <c:tx>
            <c:strRef>
              <c:f>'pt1 (PERCENTAGE)'!$B$19</c:f>
              <c:strCache>
                <c:ptCount val="1"/>
                <c:pt idx="0">
                  <c:v>10.00%</c:v>
                </c:pt>
              </c:strCache>
            </c:strRef>
          </c:tx>
          <c:spPr>
            <a:solidFill>
              <a:srgbClr val="FFFF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{59B3AF20-C8E7-45C9-847C-331322F7685E}</c15:txfldGUID>
                  <c15:f>'pt1 (PERCENTAGE)'!$B$19</c15:f>
                  <c15:dlblFieldTableCache>
                    <c:ptCount val="1"/>
                    <c:pt idx="0">
                      <c:v>10.00%</c:v>
                    </c:pt>
                  </c15:dlblFieldTableCache>
                </c15:dlblFTEntry>
              </c15:dlblFieldTable>
              <c15:showDataLabelsRange val="0"/>
            </c:ext>
          </c:extLst>
        </c:dLbl>
      </c:pivotFmt>
      <c:pivotFmt>
        <c:idx val="14"/>
        <c:spPr>
          <a:solidFill>
            <a:schemeClr val="accent3"/>
          </a:solidFill>
          <a:ln>
            <a:noFill/>
          </a:ln>
          <a:effectLst/>
        </c:spPr>
        <c:dLbl>
          <c:idx val="0"/>
          <c:tx>
            <c:strRef>
              <c:f>'pt1 (PERCENTAGE)'!$D$19</c:f>
              <c:strCache>
                <c:ptCount val="1"/>
                <c:pt idx="0">
                  <c:v>3.00%</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{2319FD30-AC51-4D44-9258-971F9C098E78}</c15:txfldGUID>
                  <c15:f>'pt1 (PERCENTAGE)'!$D$19</c15:f>
                  <c15:dlblFieldTableCache>
                    <c:ptCount val="1"/>
                    <c:pt idx="0">
                      <c:v>3.00%</c:v>
                    </c:pt>
                  </c15:dlblFieldTableCache>
                </c15:dlblFTEntry>
              </c15:dlblFieldTable>
              <c15:showDataLabelsRange val="0"/>
            </c:ext>
          </c:extLst>
        </c:dLbl>
      </c:pivotFmt>
      <c:pivotFmt>
        <c:idx val="15"/>
        <c:spPr>
          <a:solidFill>
            <a:srgbClr val="FFFF00"/>
          </a:solidFill>
          <a:ln>
            <a:noFill/>
          </a:ln>
          <a:effectLst/>
        </c:spPr>
        <c:dLbl>
          <c:idx val="0"/>
          <c:tx>
            <c:strRef>
              <c:f>'pt1 (PERCENTAGE)'!$B$21</c:f>
              <c:strCache>
                <c:ptCount val="1"/>
                <c:pt idx="0">
                  <c:v>100.00%</c:v>
                </c:pt>
              </c:strCache>
            </c:strRef>
          </c:tx>
          <c:spPr>
            <a:solidFill>
              <a:srgbClr val="FFFF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{3722A638-1F43-49F1-9752-3733485F956C}</c15:txfldGUID>
                  <c15:f>'pt1 (PERCENTAGE)'!$B$21</c15:f>
                  <c15:dlblFieldTableCache>
                    <c:ptCount val="1"/>
                    <c:pt idx="0">
                      <c:v>100.00%</c:v>
                    </c:pt>
                  </c15:dlblFieldTableCache>
                </c15:dlblFTEntry>
              </c15:dlblFieldTable>
              <c15:showDataLabelsRange val="0"/>
            </c:ext>
          </c:extLst>
        </c:dLbl>
      </c:pivotFmt>
      <c:pivotFmt>
        <c:idx val="16"/>
        <c:spPr>
          <a:solidFill>
            <a:srgbClr val="92D050"/>
          </a:solidFill>
          <a:ln>
            <a:noFill/>
          </a:ln>
          <a:effectLst/>
        </c:spPr>
        <c:dLbl>
          <c:idx val="0"/>
          <c:tx>
            <c:strRef>
              <c:f>'pt1 (PERCENTAGE)'!$E$20</c:f>
              <c:strCache>
                <c:ptCount val="1"/>
                <c:pt idx="0">
                  <c:v>36.36%</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{8629DF84-13CF-4EFF-B004-DB7112561F96}</c15:txfldGUID>
                  <c15:f>'pt1 (PERCENTAGE)'!$E$20</c15:f>
                  <c15:dlblFieldTableCache>
                    <c:ptCount val="1"/>
                    <c:pt idx="0">
                      <c:v>36.36%</c:v>
                    </c:pt>
                  </c15:dlblFieldTableCache>
                </c15:dlblFTEntry>
              </c15:dlblFieldTable>
              <c15:showDataLabelsRange val="0"/>
            </c:ext>
          </c:extLst>
        </c:dLbl>
      </c:pivotFmt>
      <c:pivotFmt>
        <c:idx val="17"/>
        <c:spPr>
          <a:solidFill>
            <a:schemeClr val="accent2"/>
          </a:solidFill>
          <a:ln>
            <a:noFill/>
          </a:ln>
          <a:effectLst/>
        </c:spPr>
        <c:dLbl>
          <c:idx val="0"/>
          <c:tx>
            <c:strRef>
              <c:f>'pt1 (PERCENTAGE)'!$C$20</c:f>
              <c:strCache>
                <c:ptCount val="1"/>
                <c:pt idx="0">
                  <c:v>63.64%</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{3C39169A-66B0-4248-9F38-8014B727EEB1}</c15:txfldGUID>
                  <c15:f>'pt1 (PERCENTAGE)'!$C$20</c15:f>
                  <c15:dlblFieldTableCache>
                    <c:ptCount val="1"/>
                    <c:pt idx="0">
                      <c:v>63.64%</c:v>
                    </c:pt>
                  </c15:dlblFieldTableCache>
                </c15:dlblFTEntry>
              </c15:dlblFieldTable>
              <c15:showDataLabelsRange val="0"/>
            </c:ext>
          </c:extLst>
        </c:dLbl>
      </c:pivotFmt>
      <c:pivotFmt>
        <c:idx val="18"/>
        <c:spPr>
          <a:solidFill>
            <a:srgbClr val="92D050"/>
          </a:solidFill>
          <a:ln>
            <a:noFill/>
          </a:ln>
          <a:effectLst/>
        </c:spPr>
        <c:dLbl>
          <c:idx val="0"/>
          <c:tx>
            <c:strRef>
              <c:f>'pt1 (PERCENTAGE)'!$E$23</c:f>
              <c:strCache>
                <c:ptCount val="1"/>
                <c:pt idx="0">
                  <c:v>46.82%</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{DAA149B3-0701-46FC-9A44-566A8CDB61C8}</c15:txfldGUID>
                  <c15:f>'pt1 (PERCENTAGE)'!$E$23</c15:f>
                  <c15:dlblFieldTableCache>
                    <c:ptCount val="1"/>
                    <c:pt idx="0">
                      <c:v>46.82%</c:v>
                    </c:pt>
                  </c15:dlblFieldTableCache>
                </c15:dlblFTEntry>
              </c15:dlblFieldTable>
              <c15:showDataLabelsRange val="0"/>
            </c:ext>
          </c:extLst>
        </c:dLbl>
      </c:pivotFmt>
      <c:pivotFmt>
        <c:idx val="19"/>
        <c:spPr>
          <a:solidFill>
            <a:schemeClr val="accent2"/>
          </a:solidFill>
          <a:ln>
            <a:noFill/>
          </a:ln>
          <a:effectLst/>
        </c:spPr>
        <c:dLbl>
          <c:idx val="0"/>
          <c:tx>
            <c:strRef>
              <c:f>'pt1 (PERCENTAGE)'!$C$23</c:f>
              <c:strCache>
                <c:ptCount val="1"/>
                <c:pt idx="0">
                  <c:v>53.18%</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{9A9AC37F-5588-4F48-B7ED-F1426EBCDB74}</c15:txfldGUID>
                  <c15:f>'pt1 (PERCENTAGE)'!$C$23</c15:f>
                  <c15:dlblFieldTableCache>
                    <c:ptCount val="1"/>
                    <c:pt idx="0">
                      <c:v>53.18%</c:v>
                    </c:pt>
                  </c15:dlblFieldTableCache>
                </c15:dlblFTEntry>
              </c15:dlblFieldTable>
              <c15:showDataLabelsRange val="0"/>
            </c:ext>
          </c:extLst>
        </c:dLbl>
      </c:pivotFmt>
      <c:pivotFmt>
        <c:idx val="20"/>
        <c:spPr>
          <a:solidFill>
            <a:srgbClr val="92D050"/>
          </a:solidFill>
          <a:ln>
            <a:noFill/>
          </a:ln>
          <a:effectLst/>
        </c:spPr>
        <c:dLbl>
          <c:idx val="0"/>
          <c:tx>
            <c:strRef>
              <c:f>'pt1 (PERCENTAGE)'!$E$26</c:f>
              <c:strCache>
                <c:ptCount val="1"/>
                <c:pt idx="0">
                  <c:v>60.23%</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{A06A9092-C289-4F11-8315-0BA53F514D63}</c15:txfldGUID>
                  <c15:f>'pt1 (PERCENTAGE)'!$E$26</c15:f>
                  <c15:dlblFieldTableCache>
                    <c:ptCount val="1"/>
                    <c:pt idx="0">
                      <c:v>60.23%</c:v>
                    </c:pt>
                  </c15:dlblFieldTableCache>
                </c15:dlblFTEntry>
              </c15:dlblFieldTable>
              <c15:showDataLabelsRange val="0"/>
            </c:ext>
          </c:extLst>
        </c:dLbl>
      </c:pivotFmt>
      <c:pivotFmt>
        <c:idx val="21"/>
        <c:spPr>
          <a:solidFill>
            <a:schemeClr val="accent2"/>
          </a:solidFill>
          <a:ln>
            <a:noFill/>
          </a:ln>
          <a:effectLst/>
        </c:spPr>
        <c:dLbl>
          <c:idx val="0"/>
          <c:tx>
            <c:strRef>
              <c:f>'pt1 (PERCENTAGE)'!$C$26</c:f>
              <c:strCache>
                <c:ptCount val="1"/>
                <c:pt idx="0">
                  <c:v>35.39%</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{091F42F6-85C5-41FD-9E79-AADF22210F6F}</c15:txfldGUID>
                  <c15:f>'pt1 (PERCENTAGE)'!$C$26</c15:f>
                  <c15:dlblFieldTableCache>
                    <c:ptCount val="1"/>
                    <c:pt idx="0">
                      <c:v>35.39%</c:v>
                    </c:pt>
                  </c15:dlblFieldTableCache>
                </c15:dlblFTEntry>
              </c15:dlblFieldTable>
              <c15:showDataLabelsRange val="0"/>
            </c:ext>
          </c:extLst>
        </c:dLbl>
      </c:pivotFmt>
      <c:pivotFmt>
        <c:idx val="22"/>
        <c:spPr>
          <a:solidFill>
            <a:srgbClr val="FFFF00"/>
          </a:solidFill>
          <a:ln>
            <a:noFill/>
          </a:ln>
          <a:effectLst/>
        </c:spPr>
        <c:dLbl>
          <c:idx val="0"/>
          <c:tx>
            <c:strRef>
              <c:f>'pt1 (PERCENTAGE)'!$B$26</c:f>
              <c:strCache>
                <c:ptCount val="1"/>
                <c:pt idx="0">
                  <c:v>2.66%</c:v>
                </c:pt>
              </c:strCache>
            </c:strRef>
          </c:tx>
          <c:spPr>
            <a:solidFill>
              <a:srgbClr val="FFFF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{1070500D-1FB1-4700-A5C6-8CB7E79F604E}</c15:txfldGUID>
                  <c15:f>'pt1 (PERCENTAGE)'!$B$26</c15:f>
                  <c15:dlblFieldTableCache>
                    <c:ptCount val="1"/>
                    <c:pt idx="0">
                      <c:v>2.66%</c:v>
                    </c:pt>
                  </c15:dlblFieldTableCache>
                </c15:dlblFTEntry>
              </c15:dlblFieldTable>
              <c15:showDataLabelsRange val="0"/>
            </c:ext>
          </c:extLst>
        </c:dLbl>
      </c:pivotFmt>
      <c:pivotFmt>
        <c:idx val="23"/>
        <c:spPr>
          <a:solidFill>
            <a:schemeClr val="accent3"/>
          </a:solidFill>
          <a:ln>
            <a:noFill/>
          </a:ln>
          <a:effectLst/>
        </c:spPr>
        <c:dLbl>
          <c:idx val="0"/>
          <c:tx>
            <c:strRef>
              <c:f>'pt1 (PERCENTAGE)'!$D$26</c:f>
              <c:strCache>
                <c:ptCount val="1"/>
                <c:pt idx="0">
                  <c:v>1.72%</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{B2187958-E0B2-468C-8D15-606DFCD14647}</c15:txfldGUID>
                  <c15:f>'pt1 (PERCENTAGE)'!$D$26</c15:f>
                  <c15:dlblFieldTableCache>
                    <c:ptCount val="1"/>
                    <c:pt idx="0">
                      <c:v>1.72%</c:v>
                    </c:pt>
                  </c15:dlblFieldTableCache>
                </c15:dlblFTEntry>
              </c15:dlblFieldTable>
              <c15:showDataLabelsRange val="0"/>
            </c:ext>
          </c:extLst>
        </c:dLbl>
      </c:pivotFmt>
      <c:pivotFmt>
        <c:idx val="24"/>
        <c:spPr>
          <a:solidFill>
            <a:srgbClr val="92D050"/>
          </a:solidFill>
          <a:ln>
            <a:noFill/>
          </a:ln>
          <a:effectLst/>
        </c:spPr>
        <c:dLbl>
          <c:idx val="0"/>
          <c:tx>
            <c:strRef>
              <c:f>'pt1 (PERCENTAGE)'!$E$25</c:f>
              <c:strCache>
                <c:ptCount val="1"/>
                <c:pt idx="0">
                  <c:v>34.83%</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{3920B613-6D41-4E3E-8503-626BB8800D34}</c15:txfldGUID>
                  <c15:f>'pt1 (PERCENTAGE)'!$E$25</c15:f>
                  <c15:dlblFieldTableCache>
                    <c:ptCount val="1"/>
                    <c:pt idx="0">
                      <c:v>34.83%</c:v>
                    </c:pt>
                  </c15:dlblFieldTableCache>
                </c15:dlblFTEntry>
              </c15:dlblFieldTable>
              <c15:showDataLabelsRange val="0"/>
            </c:ext>
          </c:extLst>
        </c:dLbl>
      </c:pivotFmt>
      <c:pivotFmt>
        <c:idx val="25"/>
        <c:spPr>
          <a:solidFill>
            <a:schemeClr val="accent2"/>
          </a:solidFill>
          <a:ln>
            <a:noFill/>
          </a:ln>
          <a:effectLst/>
        </c:spPr>
        <c:dLbl>
          <c:idx val="0"/>
          <c:tx>
            <c:strRef>
              <c:f>'pt1 (PERCENTAGE)'!$C$25</c:f>
              <c:strCache>
                <c:ptCount val="1"/>
                <c:pt idx="0">
                  <c:v>35.50%</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{16F4A884-D76B-4F6D-96AF-8E050366BE26}</c15:txfldGUID>
                  <c15:f>'pt1 (PERCENTAGE)'!$C$25</c15:f>
                  <c15:dlblFieldTableCache>
                    <c:ptCount val="1"/>
                    <c:pt idx="0">
                      <c:v>35.50%</c:v>
                    </c:pt>
                  </c15:dlblFieldTableCache>
                </c15:dlblFTEntry>
              </c15:dlblFieldTable>
              <c15:showDataLabelsRange val="0"/>
            </c:ext>
          </c:extLst>
        </c:dLbl>
      </c:pivotFmt>
      <c:pivotFmt>
        <c:idx val="26"/>
        <c:spPr>
          <a:solidFill>
            <a:srgbClr val="FFFF00"/>
          </a:solidFill>
          <a:ln>
            <a:noFill/>
          </a:ln>
          <a:effectLst/>
        </c:spPr>
        <c:dLbl>
          <c:idx val="0"/>
          <c:tx>
            <c:strRef>
              <c:f>'pt1 (PERCENTAGE)'!$B$25</c:f>
              <c:strCache>
                <c:ptCount val="1"/>
                <c:pt idx="0">
                  <c:v>29.67%</c:v>
                </c:pt>
              </c:strCache>
            </c:strRef>
          </c:tx>
          <c:spPr>
            <a:solidFill>
              <a:srgbClr val="FFFF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{CCA5263B-6CB9-4AE0-8921-4D11A65A3B7F}</c15:txfldGUID>
                  <c15:f>'pt1 (PERCENTAGE)'!$B$25</c15:f>
                  <c15:dlblFieldTableCache>
                    <c:ptCount val="1"/>
                    <c:pt idx="0">
                      <c:v>29.67%</c:v>
                    </c:pt>
                  </c15:dlblFieldTableCache>
                </c15:dlblFTEntry>
              </c15:dlblFieldTable>
              <c15:showDataLabelsRange val="0"/>
            </c:ext>
          </c:extLst>
        </c:dLbl>
      </c:pivotFmt>
      <c:pivotFmt>
        <c:idx val="27"/>
        <c:spPr>
          <a:solidFill>
            <a:srgbClr val="92D050"/>
          </a:solidFill>
          <a:ln>
            <a:noFill/>
          </a:ln>
          <a:effectLst/>
        </c:spPr>
        <c:dLbl>
          <c:idx val="0"/>
          <c:tx>
            <c:strRef>
              <c:f>'pt1 (PERCENTAGE)'!$E$24</c:f>
              <c:strCache>
                <c:ptCount val="1"/>
                <c:pt idx="0">
                  <c:v>33.76%</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{6C9EA3E5-CDD0-4A2E-8E0B-16BAC1A0D37B}</c15:txfldGUID>
                  <c15:f>'pt1 (PERCENTAGE)'!$E$24</c15:f>
                  <c15:dlblFieldTableCache>
                    <c:ptCount val="1"/>
                    <c:pt idx="0">
                      <c:v>33.76%</c:v>
                    </c:pt>
                  </c15:dlblFieldTableCache>
                </c15:dlblFTEntry>
              </c15:dlblFieldTable>
              <c15:showDataLabelsRange val="0"/>
            </c:ext>
          </c:extLst>
        </c:dLbl>
      </c:pivotFmt>
      <c:pivotFmt>
        <c:idx val="28"/>
        <c:spPr>
          <a:solidFill>
            <a:schemeClr val="accent2"/>
          </a:solidFill>
          <a:ln>
            <a:noFill/>
          </a:ln>
          <a:effectLst/>
        </c:spPr>
        <c:dLbl>
          <c:idx val="0"/>
          <c:tx>
            <c:strRef>
              <c:f>'pt1 (PERCENTAGE)'!$C$24</c:f>
              <c:strCache>
                <c:ptCount val="1"/>
                <c:pt idx="0">
                  <c:v>53.59%</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{2433A904-E98D-44DD-B19F-A19097B463B2}</c15:txfldGUID>
                  <c15:f>'pt1 (PERCENTAGE)'!$C$24</c15:f>
                  <c15:dlblFieldTableCache>
                    <c:ptCount val="1"/>
                    <c:pt idx="0">
                      <c:v>53.59%</c:v>
                    </c:pt>
                  </c15:dlblFieldTableCache>
                </c15:dlblFTEntry>
              </c15:dlblFieldTable>
              <c15:showDataLabelsRange val="0"/>
            </c:ext>
          </c:extLst>
        </c:dLbl>
      </c:pivotFmt>
      <c:pivotFmt>
        <c:idx val="29"/>
        <c:spPr>
          <a:solidFill>
            <a:srgbClr val="FFFF00"/>
          </a:solidFill>
          <a:ln>
            <a:noFill/>
          </a:ln>
          <a:effectLst/>
        </c:spPr>
        <c:dLbl>
          <c:idx val="0"/>
          <c:tx>
            <c:strRef>
              <c:f>'pt1 (PERCENTAGE)'!$B$24</c:f>
              <c:strCache>
                <c:ptCount val="1"/>
                <c:pt idx="0">
                  <c:v>12.66%</c:v>
                </c:pt>
              </c:strCache>
            </c:strRef>
          </c:tx>
          <c:spPr>
            <a:solidFill>
              <a:srgbClr val="FFFF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{F8626686-FA40-483F-9627-1D8F43CDAC28}</c15:txfldGUID>
                  <c15:f>'pt1 (PERCENTAGE)'!$B$24</c15:f>
                  <c15:dlblFieldTableCache>
                    <c:ptCount val="1"/>
                    <c:pt idx="0">
                      <c:v>12.66%</c:v>
                    </c:pt>
                  </c15:dlblFieldTableCache>
                </c15:dlblFTEntry>
              </c15:dlblFieldTable>
              <c15:showDataLabelsRange val="0"/>
            </c:ext>
          </c:extLst>
        </c:dLbl>
      </c:pivotFmt>
      <c:pivotFmt>
        <c:idx val="30"/>
        <c:spPr>
          <a:solidFill>
            <a:srgbClr val="FFFF00"/>
          </a:solidFill>
          <a:ln>
            <a:noFill/>
          </a:ln>
          <a:effectLst/>
        </c:spPr>
        <c:marker>
          <c:symbol val="none"/>
        </c:marker>
        <c:dLbl>
          <c:idx val="0"/>
          <c:spPr>
            <a:solidFill>
              <a:srgbClr val="FFFF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1"/>
        <c:spPr>
          <a:solidFill>
            <a:srgbClr val="FFFF00"/>
          </a:solidFill>
          <a:ln>
            <a:noFill/>
          </a:ln>
          <a:effectLst/>
        </c:spPr>
        <c:dLbl>
          <c:idx val="0"/>
          <c:tx>
            <c:strRef>
              <c:f>'pt1 (PERCENTAGE)'!$B$18</c:f>
              <c:strCache>
                <c:ptCount val="1"/>
                <c:pt idx="0">
                  <c:v>7.69%</c:v>
                </c:pt>
              </c:strCache>
            </c:strRef>
          </c:tx>
          <c:spPr>
            <a:solidFill>
              <a:srgbClr val="FFFF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{1437A0DF-831D-4FEB-9F5C-00685743510D}</c15:txfldGUID>
                  <c15:f>'pt1 (PERCENTAGE)'!$B$18</c15:f>
                  <c15:dlblFieldTableCache>
                    <c:ptCount val="1"/>
                    <c:pt idx="0">
                      <c:v>7.69%</c:v>
                    </c:pt>
                  </c15:dlblFieldTableCache>
                </c15:dlblFTEntry>
              </c15:dlblFieldTable>
              <c15:showDataLabelsRange val="0"/>
            </c:ext>
          </c:extLst>
        </c:dLbl>
      </c:pivotFmt>
      <c:pivotFmt>
        <c:idx val="32"/>
        <c:spPr>
          <a:solidFill>
            <a:srgbClr val="FFFF00"/>
          </a:solidFill>
          <a:ln>
            <a:noFill/>
          </a:ln>
          <a:effectLst/>
        </c:spPr>
        <c:dLbl>
          <c:idx val="0"/>
          <c:tx>
            <c:strRef>
              <c:f>'pt1 (PERCENTAGE)'!$B$19</c:f>
              <c:strCache>
                <c:ptCount val="1"/>
                <c:pt idx="0">
                  <c:v>10.00%</c:v>
                </c:pt>
              </c:strCache>
            </c:strRef>
          </c:tx>
          <c:spPr>
            <a:solidFill>
              <a:srgbClr val="FFFF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{CB1EBBB2-51C0-4CDC-904F-667B7A7BC8B2}</c15:txfldGUID>
                  <c15:f>'pt1 (PERCENTAGE)'!$B$19</c15:f>
                  <c15:dlblFieldTableCache>
                    <c:ptCount val="1"/>
                    <c:pt idx="0">
                      <c:v>10.00%</c:v>
                    </c:pt>
                  </c15:dlblFieldTableCache>
                </c15:dlblFTEntry>
              </c15:dlblFieldTable>
              <c15:showDataLabelsRange val="0"/>
            </c:ext>
          </c:extLst>
        </c:dLbl>
      </c:pivotFmt>
      <c:pivotFmt>
        <c:idx val="33"/>
        <c:spPr>
          <a:solidFill>
            <a:srgbClr val="FFFF00"/>
          </a:solidFill>
          <a:ln>
            <a:noFill/>
          </a:ln>
          <a:effectLst/>
        </c:spPr>
        <c:dLbl>
          <c:idx val="0"/>
          <c:tx>
            <c:strRef>
              <c:f>'pt1 (PERCENTAGE)'!$B$21</c:f>
              <c:strCache>
                <c:ptCount val="1"/>
                <c:pt idx="0">
                  <c:v>100.00%</c:v>
                </c:pt>
              </c:strCache>
            </c:strRef>
          </c:tx>
          <c:spPr>
            <a:solidFill>
              <a:srgbClr val="FFFF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{46FD9849-5025-484F-A146-E53FF33D7AA7}</c15:txfldGUID>
                  <c15:f>'pt1 (PERCENTAGE)'!$B$21</c15:f>
                  <c15:dlblFieldTableCache>
                    <c:ptCount val="1"/>
                    <c:pt idx="0">
                      <c:v>100.00%</c:v>
                    </c:pt>
                  </c15:dlblFieldTableCache>
                </c15:dlblFTEntry>
              </c15:dlblFieldTable>
              <c15:showDataLabelsRange val="0"/>
            </c:ext>
          </c:extLst>
        </c:dLbl>
      </c:pivotFmt>
      <c:pivotFmt>
        <c:idx val="34"/>
        <c:spPr>
          <a:solidFill>
            <a:srgbClr val="FFFF00"/>
          </a:solidFill>
          <a:ln>
            <a:noFill/>
          </a:ln>
          <a:effectLst/>
        </c:spPr>
        <c:dLbl>
          <c:idx val="0"/>
          <c:tx>
            <c:strRef>
              <c:f>'pt1 (PERCENTAGE)'!$B$22</c:f>
              <c:strCache>
                <c:ptCount val="1"/>
                <c:pt idx="0">
                  <c:v>2.86%</c:v>
                </c:pt>
              </c:strCache>
            </c:strRef>
          </c:tx>
          <c:spPr>
            <a:solidFill>
              <a:srgbClr val="FFFF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{08553B6B-B00E-42D2-951D-A4097D12A7C9}</c15:txfldGUID>
                  <c15:f>'pt1 (PERCENTAGE)'!$B$22</c15:f>
                  <c15:dlblFieldTableCache>
                    <c:ptCount val="1"/>
                    <c:pt idx="0">
                      <c:v>2.86%</c:v>
                    </c:pt>
                  </c15:dlblFieldTableCache>
                </c15:dlblFTEntry>
              </c15:dlblFieldTable>
              <c15:showDataLabelsRange val="0"/>
            </c:ext>
          </c:extLst>
        </c:dLbl>
      </c:pivotFmt>
      <c:pivotFmt>
        <c:idx val="35"/>
        <c:spPr>
          <a:solidFill>
            <a:srgbClr val="FFFF00"/>
          </a:solidFill>
          <a:ln>
            <a:noFill/>
          </a:ln>
          <a:effectLst/>
        </c:spPr>
        <c:dLbl>
          <c:idx val="0"/>
          <c:tx>
            <c:strRef>
              <c:f>'pt1 (PERCENTAGE)'!$B$24</c:f>
              <c:strCache>
                <c:ptCount val="1"/>
                <c:pt idx="0">
                  <c:v>12.66%</c:v>
                </c:pt>
              </c:strCache>
            </c:strRef>
          </c:tx>
          <c:spPr>
            <a:solidFill>
              <a:srgbClr val="FFFF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{41C0FBC1-B560-4F57-A634-63E172B88FCA}</c15:txfldGUID>
                  <c15:f>'pt1 (PERCENTAGE)'!$B$24</c15:f>
                  <c15:dlblFieldTableCache>
                    <c:ptCount val="1"/>
                    <c:pt idx="0">
                      <c:v>12.66%</c:v>
                    </c:pt>
                  </c15:dlblFieldTableCache>
                </c15:dlblFTEntry>
              </c15:dlblFieldTable>
              <c15:showDataLabelsRange val="0"/>
            </c:ext>
          </c:extLst>
        </c:dLbl>
      </c:pivotFmt>
      <c:pivotFmt>
        <c:idx val="36"/>
        <c:spPr>
          <a:solidFill>
            <a:srgbClr val="FFFF00"/>
          </a:solidFill>
          <a:ln>
            <a:noFill/>
          </a:ln>
          <a:effectLst/>
        </c:spPr>
        <c:dLbl>
          <c:idx val="0"/>
          <c:tx>
            <c:strRef>
              <c:f>'pt1 (PERCENTAGE)'!$B$25</c:f>
              <c:strCache>
                <c:ptCount val="1"/>
                <c:pt idx="0">
                  <c:v>29.67%</c:v>
                </c:pt>
              </c:strCache>
            </c:strRef>
          </c:tx>
          <c:spPr>
            <a:solidFill>
              <a:srgbClr val="FFFF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{7651B8D7-54D1-42D8-823F-28C9E9DF4DFF}</c15:txfldGUID>
                  <c15:f>'pt1 (PERCENTAGE)'!$B$25</c15:f>
                  <c15:dlblFieldTableCache>
                    <c:ptCount val="1"/>
                    <c:pt idx="0">
                      <c:v>29.67%</c:v>
                    </c:pt>
                  </c15:dlblFieldTableCache>
                </c15:dlblFTEntry>
              </c15:dlblFieldTable>
              <c15:showDataLabelsRange val="0"/>
            </c:ext>
          </c:extLst>
        </c:dLbl>
      </c:pivotFmt>
      <c:pivotFmt>
        <c:idx val="37"/>
        <c:spPr>
          <a:solidFill>
            <a:srgbClr val="FFFF00"/>
          </a:solidFill>
          <a:ln>
            <a:noFill/>
          </a:ln>
          <a:effectLst/>
        </c:spPr>
        <c:dLbl>
          <c:idx val="0"/>
          <c:tx>
            <c:strRef>
              <c:f>'pt1 (PERCENTAGE)'!$B$26</c:f>
              <c:strCache>
                <c:ptCount val="1"/>
                <c:pt idx="0">
                  <c:v>2.66%</c:v>
                </c:pt>
              </c:strCache>
            </c:strRef>
          </c:tx>
          <c:spPr>
            <a:solidFill>
              <a:srgbClr val="FFFF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{9F5F5FF3-5B86-424B-964C-AD2B1FA9B3BA}</c15:txfldGUID>
                  <c15:f>'pt1 (PERCENTAGE)'!$B$26</c15:f>
                  <c15:dlblFieldTableCache>
                    <c:ptCount val="1"/>
                    <c:pt idx="0">
                      <c:v>2.66%</c:v>
                    </c:pt>
                  </c15:dlblFieldTableCache>
                </c15:dlblFTEntry>
              </c15:dlblFieldTable>
              <c15:showDataLabelsRange val="0"/>
            </c:ext>
          </c:extLst>
        </c:dLbl>
      </c:pivotFmt>
      <c:pivotFmt>
        <c:idx val="3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9"/>
        <c:spPr>
          <a:solidFill>
            <a:schemeClr val="accent2"/>
          </a:solidFill>
          <a:ln>
            <a:noFill/>
          </a:ln>
          <a:effectLst/>
        </c:spPr>
        <c:dLbl>
          <c:idx val="0"/>
          <c:tx>
            <c:strRef>
              <c:f>'pt1 (PERCENTAGE)'!$C$18</c:f>
              <c:strCache>
                <c:ptCount val="1"/>
                <c:pt idx="0">
                  <c:v>34.62%</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{6CF34C32-7845-4F67-A705-53FA088DC900}</c15:txfldGUID>
                  <c15:f>'pt1 (PERCENTAGE)'!$C$18</c15:f>
                  <c15:dlblFieldTableCache>
                    <c:ptCount val="1"/>
                    <c:pt idx="0">
                      <c:v>34.62%</c:v>
                    </c:pt>
                  </c15:dlblFieldTableCache>
                </c15:dlblFTEntry>
              </c15:dlblFieldTable>
              <c15:showDataLabelsRange val="0"/>
            </c:ext>
          </c:extLst>
        </c:dLbl>
      </c:pivotFmt>
      <c:pivotFmt>
        <c:idx val="40"/>
        <c:spPr>
          <a:solidFill>
            <a:schemeClr val="accent2"/>
          </a:solidFill>
          <a:ln>
            <a:noFill/>
          </a:ln>
          <a:effectLst/>
        </c:spPr>
        <c:dLbl>
          <c:idx val="0"/>
          <c:tx>
            <c:strRef>
              <c:f>'pt1 (PERCENTAGE)'!$C$19</c:f>
              <c:strCache>
                <c:ptCount val="1"/>
                <c:pt idx="0">
                  <c:v>70.00%</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{57A22522-BA02-409B-95E9-64B13FC449DC}</c15:txfldGUID>
                  <c15:f>'pt1 (PERCENTAGE)'!$C$19</c15:f>
                  <c15:dlblFieldTableCache>
                    <c:ptCount val="1"/>
                    <c:pt idx="0">
                      <c:v>70.00%</c:v>
                    </c:pt>
                  </c15:dlblFieldTableCache>
                </c15:dlblFTEntry>
              </c15:dlblFieldTable>
              <c15:showDataLabelsRange val="0"/>
            </c:ext>
          </c:extLst>
        </c:dLbl>
      </c:pivotFmt>
      <c:pivotFmt>
        <c:idx val="41"/>
        <c:spPr>
          <a:solidFill>
            <a:schemeClr val="accent2"/>
          </a:solidFill>
          <a:ln>
            <a:noFill/>
          </a:ln>
          <a:effectLst/>
        </c:spPr>
        <c:dLbl>
          <c:idx val="0"/>
          <c:tx>
            <c:strRef>
              <c:f>'pt1 (PERCENTAGE)'!$C$20</c:f>
              <c:strCache>
                <c:ptCount val="1"/>
                <c:pt idx="0">
                  <c:v>63.64%</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{A13206A2-E465-45EF-9D03-EC55DBBA7656}</c15:txfldGUID>
                  <c15:f>'pt1 (PERCENTAGE)'!$C$20</c15:f>
                  <c15:dlblFieldTableCache>
                    <c:ptCount val="1"/>
                    <c:pt idx="0">
                      <c:v>63.64%</c:v>
                    </c:pt>
                  </c15:dlblFieldTableCache>
                </c15:dlblFTEntry>
              </c15:dlblFieldTable>
              <c15:showDataLabelsRange val="0"/>
            </c:ext>
          </c:extLst>
        </c:dLbl>
      </c:pivotFmt>
      <c:pivotFmt>
        <c:idx val="42"/>
        <c:spPr>
          <a:solidFill>
            <a:schemeClr val="accent2"/>
          </a:solidFill>
          <a:ln>
            <a:noFill/>
          </a:ln>
          <a:effectLst/>
        </c:spPr>
        <c:dLbl>
          <c:idx val="0"/>
          <c:tx>
            <c:strRef>
              <c:f>'pt1 (PERCENTAGE)'!$C$22</c:f>
              <c:strCache>
                <c:ptCount val="1"/>
                <c:pt idx="0">
                  <c:v>17.14%</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{EA408694-DC2C-4942-8F0E-DE1B07AE050C}</c15:txfldGUID>
                  <c15:f>'pt1 (PERCENTAGE)'!$C$22</c15:f>
                  <c15:dlblFieldTableCache>
                    <c:ptCount val="1"/>
                    <c:pt idx="0">
                      <c:v>17.14%</c:v>
                    </c:pt>
                  </c15:dlblFieldTableCache>
                </c15:dlblFTEntry>
              </c15:dlblFieldTable>
              <c15:showDataLabelsRange val="0"/>
            </c:ext>
          </c:extLst>
        </c:dLbl>
      </c:pivotFmt>
      <c:pivotFmt>
        <c:idx val="43"/>
        <c:spPr>
          <a:solidFill>
            <a:schemeClr val="accent2"/>
          </a:solidFill>
          <a:ln>
            <a:noFill/>
          </a:ln>
          <a:effectLst/>
        </c:spPr>
        <c:dLbl>
          <c:idx val="0"/>
          <c:tx>
            <c:strRef>
              <c:f>'pt1 (PERCENTAGE)'!$C$23</c:f>
              <c:strCache>
                <c:ptCount val="1"/>
                <c:pt idx="0">
                  <c:v>53.18%</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{35418942-31CD-4D8A-BC19-D5017DB8DC2F}</c15:txfldGUID>
                  <c15:f>'pt1 (PERCENTAGE)'!$C$23</c15:f>
                  <c15:dlblFieldTableCache>
                    <c:ptCount val="1"/>
                    <c:pt idx="0">
                      <c:v>53.18%</c:v>
                    </c:pt>
                  </c15:dlblFieldTableCache>
                </c15:dlblFTEntry>
              </c15:dlblFieldTable>
              <c15:showDataLabelsRange val="0"/>
            </c:ext>
          </c:extLst>
        </c:dLbl>
      </c:pivotFmt>
      <c:pivotFmt>
        <c:idx val="44"/>
        <c:spPr>
          <a:solidFill>
            <a:schemeClr val="accent2"/>
          </a:solidFill>
          <a:ln>
            <a:noFill/>
          </a:ln>
          <a:effectLst/>
        </c:spPr>
        <c:dLbl>
          <c:idx val="0"/>
          <c:tx>
            <c:strRef>
              <c:f>'pt1 (PERCENTAGE)'!$C$24</c:f>
              <c:strCache>
                <c:ptCount val="1"/>
                <c:pt idx="0">
                  <c:v>53.59%</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{7ECDB647-F12C-41EF-8684-785B38D4F8EB}</c15:txfldGUID>
                  <c15:f>'pt1 (PERCENTAGE)'!$C$24</c15:f>
                  <c15:dlblFieldTableCache>
                    <c:ptCount val="1"/>
                    <c:pt idx="0">
                      <c:v>53.59%</c:v>
                    </c:pt>
                  </c15:dlblFieldTableCache>
                </c15:dlblFTEntry>
              </c15:dlblFieldTable>
              <c15:showDataLabelsRange val="0"/>
            </c:ext>
          </c:extLst>
        </c:dLbl>
      </c:pivotFmt>
      <c:pivotFmt>
        <c:idx val="45"/>
        <c:spPr>
          <a:solidFill>
            <a:schemeClr val="accent2"/>
          </a:solidFill>
          <a:ln>
            <a:noFill/>
          </a:ln>
          <a:effectLst/>
        </c:spPr>
        <c:dLbl>
          <c:idx val="0"/>
          <c:tx>
            <c:strRef>
              <c:f>'pt1 (PERCENTAGE)'!$C$25</c:f>
              <c:strCache>
                <c:ptCount val="1"/>
                <c:pt idx="0">
                  <c:v>35.50%</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{BAF4B252-3705-47E2-8F1C-7F1DA5B97A1F}</c15:txfldGUID>
                  <c15:f>'pt1 (PERCENTAGE)'!$C$25</c15:f>
                  <c15:dlblFieldTableCache>
                    <c:ptCount val="1"/>
                    <c:pt idx="0">
                      <c:v>35.50%</c:v>
                    </c:pt>
                  </c15:dlblFieldTableCache>
                </c15:dlblFTEntry>
              </c15:dlblFieldTable>
              <c15:showDataLabelsRange val="0"/>
            </c:ext>
          </c:extLst>
        </c:dLbl>
      </c:pivotFmt>
      <c:pivotFmt>
        <c:idx val="46"/>
        <c:spPr>
          <a:solidFill>
            <a:schemeClr val="accent2"/>
          </a:solidFill>
          <a:ln>
            <a:noFill/>
          </a:ln>
          <a:effectLst/>
        </c:spPr>
        <c:dLbl>
          <c:idx val="0"/>
          <c:tx>
            <c:strRef>
              <c:f>'pt1 (PERCENTAGE)'!$C$26</c:f>
              <c:strCache>
                <c:ptCount val="1"/>
                <c:pt idx="0">
                  <c:v>35.39%</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{81D682AC-A930-437E-B725-AB6B4F201BA9}</c15:txfldGUID>
                  <c15:f>'pt1 (PERCENTAGE)'!$C$26</c15:f>
                  <c15:dlblFieldTableCache>
                    <c:ptCount val="1"/>
                    <c:pt idx="0">
                      <c:v>35.39%</c:v>
                    </c:pt>
                  </c15:dlblFieldTableCache>
                </c15:dlblFTEntry>
              </c15:dlblFieldTable>
              <c15:showDataLabelsRange val="0"/>
            </c:ext>
          </c:extLst>
        </c:dLbl>
      </c:pivotFmt>
      <c:pivotFmt>
        <c:idx val="4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8"/>
        <c:spPr>
          <a:solidFill>
            <a:schemeClr val="accent3"/>
          </a:solidFill>
          <a:ln>
            <a:noFill/>
          </a:ln>
          <a:effectLst/>
        </c:spPr>
        <c:dLbl>
          <c:idx val="0"/>
          <c:tx>
            <c:strRef>
              <c:f>'pt1 (PERCENTAGE)'!$D$19</c:f>
              <c:strCache>
                <c:ptCount val="1"/>
                <c:pt idx="0">
                  <c:v>3.00%</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{6895D35D-7027-4A55-AD58-78D0C8273279}</c15:txfldGUID>
                  <c15:f>'pt1 (PERCENTAGE)'!$D$19</c15:f>
                  <c15:dlblFieldTableCache>
                    <c:ptCount val="1"/>
                    <c:pt idx="0">
                      <c:v>3.00%</c:v>
                    </c:pt>
                  </c15:dlblFieldTableCache>
                </c15:dlblFTEntry>
              </c15:dlblFieldTable>
              <c15:showDataLabelsRange val="0"/>
            </c:ext>
          </c:extLst>
        </c:dLbl>
      </c:pivotFmt>
      <c:pivotFmt>
        <c:idx val="49"/>
        <c:spPr>
          <a:solidFill>
            <a:schemeClr val="accent3"/>
          </a:solidFill>
          <a:ln>
            <a:noFill/>
          </a:ln>
          <a:effectLst/>
        </c:spPr>
        <c:dLbl>
          <c:idx val="0"/>
          <c:tx>
            <c:strRef>
              <c:f>'pt1 (PERCENTAGE)'!$D$22</c:f>
              <c:strCache>
                <c:ptCount val="1"/>
                <c:pt idx="0">
                  <c:v>2.86%</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{F58F50E6-E7E4-45FF-8FCD-DC07695457E5}</c15:txfldGUID>
                  <c15:f>'pt1 (PERCENTAGE)'!$D$22</c15:f>
                  <c15:dlblFieldTableCache>
                    <c:ptCount val="1"/>
                    <c:pt idx="0">
                      <c:v>2.86%</c:v>
                    </c:pt>
                  </c15:dlblFieldTableCache>
                </c15:dlblFTEntry>
              </c15:dlblFieldTable>
              <c15:showDataLabelsRange val="0"/>
            </c:ext>
          </c:extLst>
        </c:dLbl>
      </c:pivotFmt>
      <c:pivotFmt>
        <c:idx val="50"/>
        <c:spPr>
          <a:solidFill>
            <a:schemeClr val="accent3"/>
          </a:solidFill>
          <a:ln>
            <a:noFill/>
          </a:ln>
          <a:effectLst/>
        </c:spPr>
        <c:dLbl>
          <c:idx val="0"/>
          <c:tx>
            <c:strRef>
              <c:f>'pt1 (PERCENTAGE)'!$D$26</c:f>
              <c:strCache>
                <c:ptCount val="1"/>
                <c:pt idx="0">
                  <c:v>1.72%</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{7F569748-5674-4684-B08B-CE2454B5D18B}</c15:txfldGUID>
                  <c15:f>'pt1 (PERCENTAGE)'!$D$26</c15:f>
                  <c15:dlblFieldTableCache>
                    <c:ptCount val="1"/>
                    <c:pt idx="0">
                      <c:v>1.72%</c:v>
                    </c:pt>
                  </c15:dlblFieldTableCache>
                </c15:dlblFTEntry>
              </c15:dlblFieldTable>
              <c15:showDataLabelsRange val="0"/>
            </c:ext>
          </c:extLst>
        </c:dLbl>
      </c:pivotFmt>
      <c:pivotFmt>
        <c:idx val="51"/>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2"/>
        <c:spPr>
          <a:solidFill>
            <a:srgbClr val="92D050"/>
          </a:solidFill>
          <a:ln>
            <a:noFill/>
          </a:ln>
          <a:effectLst/>
        </c:spPr>
        <c:dLbl>
          <c:idx val="0"/>
          <c:tx>
            <c:strRef>
              <c:f>'pt1 (PERCENTAGE)'!$E$18</c:f>
              <c:strCache>
                <c:ptCount val="1"/>
                <c:pt idx="0">
                  <c:v>57.69%</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{C78E5A11-D20A-4DC6-8F65-150A2B72B0F9}</c15:txfldGUID>
                  <c15:f>'pt1 (PERCENTAGE)'!$E$18</c15:f>
                  <c15:dlblFieldTableCache>
                    <c:ptCount val="1"/>
                    <c:pt idx="0">
                      <c:v>57.69%</c:v>
                    </c:pt>
                  </c15:dlblFieldTableCache>
                </c15:dlblFTEntry>
              </c15:dlblFieldTable>
              <c15:showDataLabelsRange val="0"/>
            </c:ext>
          </c:extLst>
        </c:dLbl>
      </c:pivotFmt>
      <c:pivotFmt>
        <c:idx val="53"/>
        <c:spPr>
          <a:solidFill>
            <a:srgbClr val="92D050"/>
          </a:solidFill>
          <a:ln>
            <a:noFill/>
          </a:ln>
          <a:effectLst/>
        </c:spPr>
        <c:dLbl>
          <c:idx val="0"/>
          <c:tx>
            <c:strRef>
              <c:f>'pt1 (PERCENTAGE)'!$E$19</c:f>
              <c:strCache>
                <c:ptCount val="1"/>
                <c:pt idx="0">
                  <c:v>17.00%</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{FB1FA26F-DAA8-4FC8-9FD5-ABF5D9F1AAD1}</c15:txfldGUID>
                  <c15:f>'pt1 (PERCENTAGE)'!$E$19</c15:f>
                  <c15:dlblFieldTableCache>
                    <c:ptCount val="1"/>
                    <c:pt idx="0">
                      <c:v>17.00%</c:v>
                    </c:pt>
                  </c15:dlblFieldTableCache>
                </c15:dlblFTEntry>
              </c15:dlblFieldTable>
              <c15:showDataLabelsRange val="0"/>
            </c:ext>
          </c:extLst>
        </c:dLbl>
      </c:pivotFmt>
      <c:pivotFmt>
        <c:idx val="54"/>
        <c:spPr>
          <a:solidFill>
            <a:srgbClr val="92D050"/>
          </a:solidFill>
          <a:ln>
            <a:noFill/>
          </a:ln>
          <a:effectLst/>
        </c:spPr>
        <c:dLbl>
          <c:idx val="0"/>
          <c:tx>
            <c:strRef>
              <c:f>'pt1 (PERCENTAGE)'!$E$20</c:f>
              <c:strCache>
                <c:ptCount val="1"/>
                <c:pt idx="0">
                  <c:v>36.36%</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{4362FA40-F49D-4195-B81E-E9BBCD953BEE}</c15:txfldGUID>
                  <c15:f>'pt1 (PERCENTAGE)'!$E$20</c15:f>
                  <c15:dlblFieldTableCache>
                    <c:ptCount val="1"/>
                    <c:pt idx="0">
                      <c:v>36.36%</c:v>
                    </c:pt>
                  </c15:dlblFieldTableCache>
                </c15:dlblFTEntry>
              </c15:dlblFieldTable>
              <c15:showDataLabelsRange val="0"/>
            </c:ext>
          </c:extLst>
        </c:dLbl>
      </c:pivotFmt>
      <c:pivotFmt>
        <c:idx val="55"/>
        <c:spPr>
          <a:solidFill>
            <a:srgbClr val="92D050"/>
          </a:solidFill>
          <a:ln>
            <a:noFill/>
          </a:ln>
          <a:effectLst/>
        </c:spPr>
        <c:dLbl>
          <c:idx val="0"/>
          <c:tx>
            <c:strRef>
              <c:f>'pt1 (PERCENTAGE)'!$E$22</c:f>
              <c:strCache>
                <c:ptCount val="1"/>
                <c:pt idx="0">
                  <c:v>77.14%</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{3DEC5A65-F6AF-47A5-BFC6-873732990D05}</c15:txfldGUID>
                  <c15:f>'pt1 (PERCENTAGE)'!$E$22</c15:f>
                  <c15:dlblFieldTableCache>
                    <c:ptCount val="1"/>
                    <c:pt idx="0">
                      <c:v>77.14%</c:v>
                    </c:pt>
                  </c15:dlblFieldTableCache>
                </c15:dlblFTEntry>
              </c15:dlblFieldTable>
              <c15:showDataLabelsRange val="0"/>
            </c:ext>
          </c:extLst>
        </c:dLbl>
      </c:pivotFmt>
      <c:pivotFmt>
        <c:idx val="56"/>
        <c:spPr>
          <a:solidFill>
            <a:srgbClr val="92D050"/>
          </a:solidFill>
          <a:ln>
            <a:noFill/>
          </a:ln>
          <a:effectLst/>
        </c:spPr>
        <c:dLbl>
          <c:idx val="0"/>
          <c:tx>
            <c:strRef>
              <c:f>'pt1 (PERCENTAGE)'!$E$23</c:f>
              <c:strCache>
                <c:ptCount val="1"/>
                <c:pt idx="0">
                  <c:v>46.82%</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{A95AD99C-F09D-45EA-AC46-5542C9C5FD3D}</c15:txfldGUID>
                  <c15:f>'pt1 (PERCENTAGE)'!$E$23</c15:f>
                  <c15:dlblFieldTableCache>
                    <c:ptCount val="1"/>
                    <c:pt idx="0">
                      <c:v>46.82%</c:v>
                    </c:pt>
                  </c15:dlblFieldTableCache>
                </c15:dlblFTEntry>
              </c15:dlblFieldTable>
              <c15:showDataLabelsRange val="0"/>
            </c:ext>
          </c:extLst>
        </c:dLbl>
      </c:pivotFmt>
      <c:pivotFmt>
        <c:idx val="57"/>
        <c:spPr>
          <a:solidFill>
            <a:srgbClr val="92D050"/>
          </a:solidFill>
          <a:ln>
            <a:noFill/>
          </a:ln>
          <a:effectLst/>
        </c:spPr>
        <c:dLbl>
          <c:idx val="0"/>
          <c:tx>
            <c:strRef>
              <c:f>'pt1 (PERCENTAGE)'!$E$24</c:f>
              <c:strCache>
                <c:ptCount val="1"/>
                <c:pt idx="0">
                  <c:v>33.76%</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{4C86B518-6565-42AD-8513-2C2D8D9ED96C}</c15:txfldGUID>
                  <c15:f>'pt1 (PERCENTAGE)'!$E$24</c15:f>
                  <c15:dlblFieldTableCache>
                    <c:ptCount val="1"/>
                    <c:pt idx="0">
                      <c:v>33.76%</c:v>
                    </c:pt>
                  </c15:dlblFieldTableCache>
                </c15:dlblFTEntry>
              </c15:dlblFieldTable>
              <c15:showDataLabelsRange val="0"/>
            </c:ext>
          </c:extLst>
        </c:dLbl>
      </c:pivotFmt>
      <c:pivotFmt>
        <c:idx val="58"/>
        <c:spPr>
          <a:solidFill>
            <a:srgbClr val="92D050"/>
          </a:solidFill>
          <a:ln>
            <a:noFill/>
          </a:ln>
          <a:effectLst/>
        </c:spPr>
        <c:dLbl>
          <c:idx val="0"/>
          <c:tx>
            <c:strRef>
              <c:f>'pt1 (PERCENTAGE)'!$E$25</c:f>
              <c:strCache>
                <c:ptCount val="1"/>
                <c:pt idx="0">
                  <c:v>34.83%</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{12A8D6D7-7632-4D84-B494-1AAF2B29A7D1}</c15:txfldGUID>
                  <c15:f>'pt1 (PERCENTAGE)'!$E$25</c15:f>
                  <c15:dlblFieldTableCache>
                    <c:ptCount val="1"/>
                    <c:pt idx="0">
                      <c:v>34.83%</c:v>
                    </c:pt>
                  </c15:dlblFieldTableCache>
                </c15:dlblFTEntry>
              </c15:dlblFieldTable>
              <c15:showDataLabelsRange val="0"/>
            </c:ext>
          </c:extLst>
        </c:dLbl>
      </c:pivotFmt>
      <c:pivotFmt>
        <c:idx val="59"/>
        <c:spPr>
          <a:solidFill>
            <a:srgbClr val="92D050"/>
          </a:solidFill>
          <a:ln>
            <a:noFill/>
          </a:ln>
          <a:effectLst/>
        </c:spPr>
        <c:dLbl>
          <c:idx val="0"/>
          <c:tx>
            <c:strRef>
              <c:f>'pt1 (PERCENTAGE)'!$E$26</c:f>
              <c:strCache>
                <c:ptCount val="1"/>
                <c:pt idx="0">
                  <c:v>60.23%</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{3362DFF0-6B07-4695-B98E-0423549DD3EE}</c15:txfldGUID>
                  <c15:f>'pt1 (PERCENTAGE)'!$E$26</c15:f>
                  <c15:dlblFieldTableCache>
                    <c:ptCount val="1"/>
                    <c:pt idx="0">
                      <c:v>60.23%</c:v>
                    </c:pt>
                  </c15:dlblFieldTableCache>
                </c15:dlblFTEntry>
              </c15:dlblFieldTable>
              <c15:showDataLabelsRange val="0"/>
            </c:ext>
          </c:extLst>
        </c:dLbl>
      </c:pivotFmt>
      <c:pivotFmt>
        <c:idx val="60"/>
        <c:spPr>
          <a:solidFill>
            <a:srgbClr val="FFFF00"/>
          </a:solidFill>
          <a:ln>
            <a:noFill/>
          </a:ln>
          <a:effectLst/>
        </c:spPr>
        <c:marker>
          <c:symbol val="none"/>
        </c:marker>
        <c:dLbl>
          <c:idx val="0"/>
          <c:spPr>
            <a:solidFill>
              <a:srgbClr val="FFFF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1"/>
        <c:spPr>
          <a:solidFill>
            <a:srgbClr val="FFFF00"/>
          </a:solidFill>
          <a:ln>
            <a:noFill/>
          </a:ln>
          <a:effectLst/>
        </c:spPr>
        <c:dLbl>
          <c:idx val="0"/>
          <c:tx>
            <c:strRef>
              <c:f>'pt1 (PERCENTAGE)'!$B$18</c:f>
              <c:strCache>
                <c:ptCount val="1"/>
                <c:pt idx="0">
                  <c:v>7.69%</c:v>
                </c:pt>
              </c:strCache>
            </c:strRef>
          </c:tx>
          <c:spPr>
            <a:solidFill>
              <a:srgbClr val="FFFF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{343402D6-9BBA-49AD-9AD6-67F8E6C19AAC}</c15:txfldGUID>
                  <c15:f>'pt1 (PERCENTAGE)'!$B$18</c15:f>
                  <c15:dlblFieldTableCache>
                    <c:ptCount val="1"/>
                    <c:pt idx="0">
                      <c:v>7.69%</c:v>
                    </c:pt>
                  </c15:dlblFieldTableCache>
                </c15:dlblFTEntry>
              </c15:dlblFieldTable>
              <c15:showDataLabelsRange val="0"/>
            </c:ext>
          </c:extLst>
        </c:dLbl>
      </c:pivotFmt>
      <c:pivotFmt>
        <c:idx val="62"/>
        <c:spPr>
          <a:solidFill>
            <a:srgbClr val="FFFF00"/>
          </a:solidFill>
          <a:ln>
            <a:noFill/>
          </a:ln>
          <a:effectLst/>
        </c:spPr>
        <c:dLbl>
          <c:idx val="0"/>
          <c:tx>
            <c:strRef>
              <c:f>'pt1 (PERCENTAGE)'!$B$19</c:f>
              <c:strCache>
                <c:ptCount val="1"/>
                <c:pt idx="0">
                  <c:v>10.00%</c:v>
                </c:pt>
              </c:strCache>
            </c:strRef>
          </c:tx>
          <c:spPr>
            <a:solidFill>
              <a:srgbClr val="FFFF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{703A724D-2644-4F36-9B5F-2066AA5E0951}</c15:txfldGUID>
                  <c15:f>'pt1 (PERCENTAGE)'!$B$19</c15:f>
                  <c15:dlblFieldTableCache>
                    <c:ptCount val="1"/>
                    <c:pt idx="0">
                      <c:v>10.00%</c:v>
                    </c:pt>
                  </c15:dlblFieldTableCache>
                </c15:dlblFTEntry>
              </c15:dlblFieldTable>
              <c15:showDataLabelsRange val="0"/>
            </c:ext>
          </c:extLst>
        </c:dLbl>
      </c:pivotFmt>
      <c:pivotFmt>
        <c:idx val="63"/>
        <c:spPr>
          <a:solidFill>
            <a:srgbClr val="FFFF00"/>
          </a:solidFill>
          <a:ln>
            <a:noFill/>
          </a:ln>
          <a:effectLst/>
        </c:spPr>
        <c:dLbl>
          <c:idx val="0"/>
          <c:tx>
            <c:strRef>
              <c:f>'pt1 (PERCENTAGE)'!$B$21</c:f>
              <c:strCache>
                <c:ptCount val="1"/>
                <c:pt idx="0">
                  <c:v>100.00%</c:v>
                </c:pt>
              </c:strCache>
            </c:strRef>
          </c:tx>
          <c:spPr>
            <a:solidFill>
              <a:srgbClr val="FFFF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{D058041C-9194-4A8B-885D-0989D0A78F81}</c15:txfldGUID>
                  <c15:f>'pt1 (PERCENTAGE)'!$B$21</c15:f>
                  <c15:dlblFieldTableCache>
                    <c:ptCount val="1"/>
                    <c:pt idx="0">
                      <c:v>100.00%</c:v>
                    </c:pt>
                  </c15:dlblFieldTableCache>
                </c15:dlblFTEntry>
              </c15:dlblFieldTable>
              <c15:showDataLabelsRange val="0"/>
            </c:ext>
          </c:extLst>
        </c:dLbl>
      </c:pivotFmt>
      <c:pivotFmt>
        <c:idx val="64"/>
        <c:spPr>
          <a:solidFill>
            <a:srgbClr val="FFFF00"/>
          </a:solidFill>
          <a:ln>
            <a:noFill/>
          </a:ln>
          <a:effectLst/>
        </c:spPr>
        <c:dLbl>
          <c:idx val="0"/>
          <c:tx>
            <c:strRef>
              <c:f>'pt1 (PERCENTAGE)'!$B$22</c:f>
              <c:strCache>
                <c:ptCount val="1"/>
                <c:pt idx="0">
                  <c:v>2.86%</c:v>
                </c:pt>
              </c:strCache>
            </c:strRef>
          </c:tx>
          <c:spPr>
            <a:solidFill>
              <a:srgbClr val="FFFF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{B11063B3-D139-4F46-BFF9-D304EDED4B5B}</c15:txfldGUID>
                  <c15:f>'pt1 (PERCENTAGE)'!$B$22</c15:f>
                  <c15:dlblFieldTableCache>
                    <c:ptCount val="1"/>
                    <c:pt idx="0">
                      <c:v>2.86%</c:v>
                    </c:pt>
                  </c15:dlblFieldTableCache>
                </c15:dlblFTEntry>
              </c15:dlblFieldTable>
              <c15:showDataLabelsRange val="0"/>
            </c:ext>
          </c:extLst>
        </c:dLbl>
      </c:pivotFmt>
      <c:pivotFmt>
        <c:idx val="65"/>
        <c:spPr>
          <a:solidFill>
            <a:srgbClr val="FFFF00"/>
          </a:solidFill>
          <a:ln>
            <a:noFill/>
          </a:ln>
          <a:effectLst/>
        </c:spPr>
        <c:dLbl>
          <c:idx val="0"/>
          <c:tx>
            <c:strRef>
              <c:f>'pt1 (PERCENTAGE)'!$B$24</c:f>
              <c:strCache>
                <c:ptCount val="1"/>
                <c:pt idx="0">
                  <c:v>12.66%</c:v>
                </c:pt>
              </c:strCache>
            </c:strRef>
          </c:tx>
          <c:spPr>
            <a:solidFill>
              <a:srgbClr val="FFFF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{959E809D-E263-43EF-9545-2B372E5F24B3}</c15:txfldGUID>
                  <c15:f>'pt1 (PERCENTAGE)'!$B$24</c15:f>
                  <c15:dlblFieldTableCache>
                    <c:ptCount val="1"/>
                    <c:pt idx="0">
                      <c:v>12.66%</c:v>
                    </c:pt>
                  </c15:dlblFieldTableCache>
                </c15:dlblFTEntry>
              </c15:dlblFieldTable>
              <c15:showDataLabelsRange val="0"/>
            </c:ext>
          </c:extLst>
        </c:dLbl>
      </c:pivotFmt>
      <c:pivotFmt>
        <c:idx val="66"/>
        <c:spPr>
          <a:solidFill>
            <a:srgbClr val="FFFF00"/>
          </a:solidFill>
          <a:ln>
            <a:noFill/>
          </a:ln>
          <a:effectLst/>
        </c:spPr>
        <c:dLbl>
          <c:idx val="0"/>
          <c:tx>
            <c:strRef>
              <c:f>'pt1 (PERCENTAGE)'!$B$25</c:f>
              <c:strCache>
                <c:ptCount val="1"/>
                <c:pt idx="0">
                  <c:v>29.67%</c:v>
                </c:pt>
              </c:strCache>
            </c:strRef>
          </c:tx>
          <c:spPr>
            <a:solidFill>
              <a:srgbClr val="FFFF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{FC45607E-7583-4E10-A0BA-213442420878}</c15:txfldGUID>
                  <c15:f>'pt1 (PERCENTAGE)'!$B$25</c15:f>
                  <c15:dlblFieldTableCache>
                    <c:ptCount val="1"/>
                    <c:pt idx="0">
                      <c:v>29.67%</c:v>
                    </c:pt>
                  </c15:dlblFieldTableCache>
                </c15:dlblFTEntry>
              </c15:dlblFieldTable>
              <c15:showDataLabelsRange val="0"/>
            </c:ext>
          </c:extLst>
        </c:dLbl>
      </c:pivotFmt>
      <c:pivotFmt>
        <c:idx val="67"/>
        <c:spPr>
          <a:solidFill>
            <a:srgbClr val="FFFF00"/>
          </a:solidFill>
          <a:ln>
            <a:noFill/>
          </a:ln>
          <a:effectLst/>
        </c:spPr>
        <c:dLbl>
          <c:idx val="0"/>
          <c:tx>
            <c:strRef>
              <c:f>'pt1 (PERCENTAGE)'!$B$26</c:f>
              <c:strCache>
                <c:ptCount val="1"/>
                <c:pt idx="0">
                  <c:v>2.66%</c:v>
                </c:pt>
              </c:strCache>
            </c:strRef>
          </c:tx>
          <c:spPr>
            <a:solidFill>
              <a:srgbClr val="FFFF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{18DBB013-D32C-4BCA-89F2-22CCAC81A0B4}</c15:txfldGUID>
                  <c15:f>'pt1 (PERCENTAGE)'!$B$26</c15:f>
                  <c15:dlblFieldTableCache>
                    <c:ptCount val="1"/>
                    <c:pt idx="0">
                      <c:v>2.66%</c:v>
                    </c:pt>
                  </c15:dlblFieldTableCache>
                </c15:dlblFTEntry>
              </c15:dlblFieldTable>
              <c15:showDataLabelsRange val="0"/>
            </c:ext>
          </c:extLst>
        </c:dLbl>
      </c:pivotFmt>
      <c:pivotFmt>
        <c:idx val="6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9"/>
        <c:spPr>
          <a:solidFill>
            <a:schemeClr val="accent2"/>
          </a:solidFill>
          <a:ln>
            <a:noFill/>
          </a:ln>
          <a:effectLst/>
        </c:spPr>
        <c:dLbl>
          <c:idx val="0"/>
          <c:tx>
            <c:strRef>
              <c:f>'pt1 (PERCENTAGE)'!$C$18</c:f>
              <c:strCache>
                <c:ptCount val="1"/>
                <c:pt idx="0">
                  <c:v>34.62%</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{80FDC386-DA01-4D3E-844B-64167DF1997D}</c15:txfldGUID>
                  <c15:f>'pt1 (PERCENTAGE)'!$C$18</c15:f>
                  <c15:dlblFieldTableCache>
                    <c:ptCount val="1"/>
                    <c:pt idx="0">
                      <c:v>34.62%</c:v>
                    </c:pt>
                  </c15:dlblFieldTableCache>
                </c15:dlblFTEntry>
              </c15:dlblFieldTable>
              <c15:showDataLabelsRange val="0"/>
            </c:ext>
          </c:extLst>
        </c:dLbl>
      </c:pivotFmt>
      <c:pivotFmt>
        <c:idx val="70"/>
        <c:spPr>
          <a:solidFill>
            <a:schemeClr val="accent2"/>
          </a:solidFill>
          <a:ln>
            <a:noFill/>
          </a:ln>
          <a:effectLst/>
        </c:spPr>
        <c:dLbl>
          <c:idx val="0"/>
          <c:tx>
            <c:strRef>
              <c:f>'pt1 (PERCENTAGE)'!$C$19</c:f>
              <c:strCache>
                <c:ptCount val="1"/>
                <c:pt idx="0">
                  <c:v>70.00%</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{31311AB5-18F1-42C4-B37E-153D2263C909}</c15:txfldGUID>
                  <c15:f>'pt1 (PERCENTAGE)'!$C$19</c15:f>
                  <c15:dlblFieldTableCache>
                    <c:ptCount val="1"/>
                    <c:pt idx="0">
                      <c:v>70.00%</c:v>
                    </c:pt>
                  </c15:dlblFieldTableCache>
                </c15:dlblFTEntry>
              </c15:dlblFieldTable>
              <c15:showDataLabelsRange val="0"/>
            </c:ext>
          </c:extLst>
        </c:dLbl>
      </c:pivotFmt>
      <c:pivotFmt>
        <c:idx val="71"/>
        <c:spPr>
          <a:solidFill>
            <a:schemeClr val="accent2"/>
          </a:solidFill>
          <a:ln>
            <a:noFill/>
          </a:ln>
          <a:effectLst/>
        </c:spPr>
        <c:dLbl>
          <c:idx val="0"/>
          <c:tx>
            <c:strRef>
              <c:f>'pt1 (PERCENTAGE)'!$C$20</c:f>
              <c:strCache>
                <c:ptCount val="1"/>
                <c:pt idx="0">
                  <c:v>63.64%</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{C5139537-00D2-426A-8CAB-B9A56757A9DC}</c15:txfldGUID>
                  <c15:f>'pt1 (PERCENTAGE)'!$C$20</c15:f>
                  <c15:dlblFieldTableCache>
                    <c:ptCount val="1"/>
                    <c:pt idx="0">
                      <c:v>63.64%</c:v>
                    </c:pt>
                  </c15:dlblFieldTableCache>
                </c15:dlblFTEntry>
              </c15:dlblFieldTable>
              <c15:showDataLabelsRange val="0"/>
            </c:ext>
          </c:extLst>
        </c:dLbl>
      </c:pivotFmt>
      <c:pivotFmt>
        <c:idx val="72"/>
        <c:spPr>
          <a:solidFill>
            <a:schemeClr val="accent2"/>
          </a:solidFill>
          <a:ln>
            <a:noFill/>
          </a:ln>
          <a:effectLst/>
        </c:spPr>
        <c:dLbl>
          <c:idx val="0"/>
          <c:tx>
            <c:strRef>
              <c:f>'pt1 (PERCENTAGE)'!$C$22</c:f>
              <c:strCache>
                <c:ptCount val="1"/>
                <c:pt idx="0">
                  <c:v>17.14%</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{FF956266-2041-44B0-9B78-079B96201B35}</c15:txfldGUID>
                  <c15:f>'pt1 (PERCENTAGE)'!$C$22</c15:f>
                  <c15:dlblFieldTableCache>
                    <c:ptCount val="1"/>
                    <c:pt idx="0">
                      <c:v>17.14%</c:v>
                    </c:pt>
                  </c15:dlblFieldTableCache>
                </c15:dlblFTEntry>
              </c15:dlblFieldTable>
              <c15:showDataLabelsRange val="0"/>
            </c:ext>
          </c:extLst>
        </c:dLbl>
      </c:pivotFmt>
      <c:pivotFmt>
        <c:idx val="73"/>
        <c:spPr>
          <a:solidFill>
            <a:schemeClr val="accent2"/>
          </a:solidFill>
          <a:ln>
            <a:noFill/>
          </a:ln>
          <a:effectLst/>
        </c:spPr>
        <c:dLbl>
          <c:idx val="0"/>
          <c:tx>
            <c:strRef>
              <c:f>'pt1 (PERCENTAGE)'!$C$23</c:f>
              <c:strCache>
                <c:ptCount val="1"/>
                <c:pt idx="0">
                  <c:v>53.18%</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{2AAF0AA9-FEF1-42E8-8A92-33E8C79972D4}</c15:txfldGUID>
                  <c15:f>'pt1 (PERCENTAGE)'!$C$23</c15:f>
                  <c15:dlblFieldTableCache>
                    <c:ptCount val="1"/>
                    <c:pt idx="0">
                      <c:v>53.18%</c:v>
                    </c:pt>
                  </c15:dlblFieldTableCache>
                </c15:dlblFTEntry>
              </c15:dlblFieldTable>
              <c15:showDataLabelsRange val="0"/>
            </c:ext>
          </c:extLst>
        </c:dLbl>
      </c:pivotFmt>
      <c:pivotFmt>
        <c:idx val="74"/>
        <c:spPr>
          <a:solidFill>
            <a:schemeClr val="accent2"/>
          </a:solidFill>
          <a:ln>
            <a:noFill/>
          </a:ln>
          <a:effectLst/>
        </c:spPr>
        <c:dLbl>
          <c:idx val="0"/>
          <c:tx>
            <c:strRef>
              <c:f>'pt1 (PERCENTAGE)'!$C$24</c:f>
              <c:strCache>
                <c:ptCount val="1"/>
                <c:pt idx="0">
                  <c:v>53.59%</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{36EE4BE4-8E8F-4F41-9880-093DD4E8047A}</c15:txfldGUID>
                  <c15:f>'pt1 (PERCENTAGE)'!$C$24</c15:f>
                  <c15:dlblFieldTableCache>
                    <c:ptCount val="1"/>
                    <c:pt idx="0">
                      <c:v>53.59%</c:v>
                    </c:pt>
                  </c15:dlblFieldTableCache>
                </c15:dlblFTEntry>
              </c15:dlblFieldTable>
              <c15:showDataLabelsRange val="0"/>
            </c:ext>
          </c:extLst>
        </c:dLbl>
      </c:pivotFmt>
      <c:pivotFmt>
        <c:idx val="75"/>
        <c:spPr>
          <a:solidFill>
            <a:schemeClr val="accent2"/>
          </a:solidFill>
          <a:ln>
            <a:noFill/>
          </a:ln>
          <a:effectLst/>
        </c:spPr>
        <c:dLbl>
          <c:idx val="0"/>
          <c:tx>
            <c:strRef>
              <c:f>'pt1 (PERCENTAGE)'!$C$25</c:f>
              <c:strCache>
                <c:ptCount val="1"/>
                <c:pt idx="0">
                  <c:v>35.50%</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{EADD6775-76E7-4774-8C27-E4D2DC97259F}</c15:txfldGUID>
                  <c15:f>'pt1 (PERCENTAGE)'!$C$25</c15:f>
                  <c15:dlblFieldTableCache>
                    <c:ptCount val="1"/>
                    <c:pt idx="0">
                      <c:v>35.50%</c:v>
                    </c:pt>
                  </c15:dlblFieldTableCache>
                </c15:dlblFTEntry>
              </c15:dlblFieldTable>
              <c15:showDataLabelsRange val="0"/>
            </c:ext>
          </c:extLst>
        </c:dLbl>
      </c:pivotFmt>
      <c:pivotFmt>
        <c:idx val="76"/>
        <c:spPr>
          <a:solidFill>
            <a:schemeClr val="accent2"/>
          </a:solidFill>
          <a:ln>
            <a:noFill/>
          </a:ln>
          <a:effectLst/>
        </c:spPr>
        <c:dLbl>
          <c:idx val="0"/>
          <c:tx>
            <c:strRef>
              <c:f>'pt1 (PERCENTAGE)'!$C$26</c:f>
              <c:strCache>
                <c:ptCount val="1"/>
                <c:pt idx="0">
                  <c:v>35.39%</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{B394E21F-8821-4F8F-8FD6-1167362FFC8C}</c15:txfldGUID>
                  <c15:f>'pt1 (PERCENTAGE)'!$C$26</c15:f>
                  <c15:dlblFieldTableCache>
                    <c:ptCount val="1"/>
                    <c:pt idx="0">
                      <c:v>35.39%</c:v>
                    </c:pt>
                  </c15:dlblFieldTableCache>
                </c15:dlblFTEntry>
              </c15:dlblFieldTable>
              <c15:showDataLabelsRange val="0"/>
            </c:ext>
          </c:extLst>
        </c:dLbl>
      </c:pivotFmt>
      <c:pivotFmt>
        <c:idx val="7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8"/>
        <c:spPr>
          <a:solidFill>
            <a:schemeClr val="accent3"/>
          </a:solidFill>
          <a:ln>
            <a:noFill/>
          </a:ln>
          <a:effectLst/>
        </c:spPr>
        <c:dLbl>
          <c:idx val="0"/>
          <c:tx>
            <c:strRef>
              <c:f>'pt1 (PERCENTAGE)'!$D$19</c:f>
              <c:strCache>
                <c:ptCount val="1"/>
                <c:pt idx="0">
                  <c:v>3.00%</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{38F14F88-719F-4A00-A3D3-3E1FF1C14DBD}</c15:txfldGUID>
                  <c15:f>'pt1 (PERCENTAGE)'!$D$19</c15:f>
                  <c15:dlblFieldTableCache>
                    <c:ptCount val="1"/>
                    <c:pt idx="0">
                      <c:v>3.00%</c:v>
                    </c:pt>
                  </c15:dlblFieldTableCache>
                </c15:dlblFTEntry>
              </c15:dlblFieldTable>
              <c15:showDataLabelsRange val="0"/>
            </c:ext>
          </c:extLst>
        </c:dLbl>
      </c:pivotFmt>
      <c:pivotFmt>
        <c:idx val="79"/>
        <c:spPr>
          <a:solidFill>
            <a:schemeClr val="accent3"/>
          </a:solidFill>
          <a:ln>
            <a:noFill/>
          </a:ln>
          <a:effectLst/>
        </c:spPr>
        <c:dLbl>
          <c:idx val="0"/>
          <c:tx>
            <c:strRef>
              <c:f>'pt1 (PERCENTAGE)'!$D$22</c:f>
              <c:strCache>
                <c:ptCount val="1"/>
                <c:pt idx="0">
                  <c:v>2.86%</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{2C014721-988F-45B2-BA33-6C690EAC0045}</c15:txfldGUID>
                  <c15:f>'pt1 (PERCENTAGE)'!$D$22</c15:f>
                  <c15:dlblFieldTableCache>
                    <c:ptCount val="1"/>
                    <c:pt idx="0">
                      <c:v>2.86%</c:v>
                    </c:pt>
                  </c15:dlblFieldTableCache>
                </c15:dlblFTEntry>
              </c15:dlblFieldTable>
              <c15:showDataLabelsRange val="0"/>
            </c:ext>
          </c:extLst>
        </c:dLbl>
      </c:pivotFmt>
      <c:pivotFmt>
        <c:idx val="80"/>
        <c:spPr>
          <a:solidFill>
            <a:schemeClr val="accent3"/>
          </a:solidFill>
          <a:ln>
            <a:noFill/>
          </a:ln>
          <a:effectLst/>
        </c:spPr>
        <c:dLbl>
          <c:idx val="0"/>
          <c:tx>
            <c:strRef>
              <c:f>'pt1 (PERCENTAGE)'!$D$26</c:f>
              <c:strCache>
                <c:ptCount val="1"/>
                <c:pt idx="0">
                  <c:v>1.72%</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{0C12B8BB-54C8-4064-9492-CF37708717B6}</c15:txfldGUID>
                  <c15:f>'pt1 (PERCENTAGE)'!$D$26</c15:f>
                  <c15:dlblFieldTableCache>
                    <c:ptCount val="1"/>
                    <c:pt idx="0">
                      <c:v>1.72%</c:v>
                    </c:pt>
                  </c15:dlblFieldTableCache>
                </c15:dlblFTEntry>
              </c15:dlblFieldTable>
              <c15:showDataLabelsRange val="0"/>
            </c:ext>
          </c:extLst>
        </c:dLbl>
      </c:pivotFmt>
      <c:pivotFmt>
        <c:idx val="81"/>
        <c:spPr>
          <a:solidFill>
            <a:srgbClr val="92D05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2"/>
        <c:spPr>
          <a:solidFill>
            <a:srgbClr val="92D050"/>
          </a:solidFill>
          <a:ln>
            <a:noFill/>
          </a:ln>
          <a:effectLst/>
        </c:spPr>
        <c:dLbl>
          <c:idx val="0"/>
          <c:tx>
            <c:strRef>
              <c:f>'pt1 (PERCENTAGE)'!$E$18</c:f>
              <c:strCache>
                <c:ptCount val="1"/>
                <c:pt idx="0">
                  <c:v>57.69%</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{1E2ED646-A130-4646-8228-475FC5805F27}</c15:txfldGUID>
                  <c15:f>'pt1 (PERCENTAGE)'!$E$18</c15:f>
                  <c15:dlblFieldTableCache>
                    <c:ptCount val="1"/>
                    <c:pt idx="0">
                      <c:v>57.69%</c:v>
                    </c:pt>
                  </c15:dlblFieldTableCache>
                </c15:dlblFTEntry>
              </c15:dlblFieldTable>
              <c15:showDataLabelsRange val="0"/>
            </c:ext>
          </c:extLst>
        </c:dLbl>
      </c:pivotFmt>
      <c:pivotFmt>
        <c:idx val="83"/>
        <c:spPr>
          <a:solidFill>
            <a:srgbClr val="92D050"/>
          </a:solidFill>
          <a:ln>
            <a:noFill/>
          </a:ln>
          <a:effectLst/>
        </c:spPr>
        <c:dLbl>
          <c:idx val="0"/>
          <c:tx>
            <c:strRef>
              <c:f>'pt1 (PERCENTAGE)'!$E$19</c:f>
              <c:strCache>
                <c:ptCount val="1"/>
                <c:pt idx="0">
                  <c:v>17.00%</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{F94614D1-59D3-4D2B-8DCC-AB68D71EB628}</c15:txfldGUID>
                  <c15:f>'pt1 (PERCENTAGE)'!$E$19</c15:f>
                  <c15:dlblFieldTableCache>
                    <c:ptCount val="1"/>
                    <c:pt idx="0">
                      <c:v>17.00%</c:v>
                    </c:pt>
                  </c15:dlblFieldTableCache>
                </c15:dlblFTEntry>
              </c15:dlblFieldTable>
              <c15:showDataLabelsRange val="0"/>
            </c:ext>
          </c:extLst>
        </c:dLbl>
      </c:pivotFmt>
      <c:pivotFmt>
        <c:idx val="84"/>
        <c:spPr>
          <a:solidFill>
            <a:srgbClr val="92D050"/>
          </a:solidFill>
          <a:ln>
            <a:noFill/>
          </a:ln>
          <a:effectLst/>
        </c:spPr>
        <c:dLbl>
          <c:idx val="0"/>
          <c:tx>
            <c:strRef>
              <c:f>'pt1 (PERCENTAGE)'!$E$20</c:f>
              <c:strCache>
                <c:ptCount val="1"/>
                <c:pt idx="0">
                  <c:v>36.36%</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{FA14DF59-4EC5-45BF-A0A8-557692E119BA}</c15:txfldGUID>
                  <c15:f>'pt1 (PERCENTAGE)'!$E$20</c15:f>
                  <c15:dlblFieldTableCache>
                    <c:ptCount val="1"/>
                    <c:pt idx="0">
                      <c:v>36.36%</c:v>
                    </c:pt>
                  </c15:dlblFieldTableCache>
                </c15:dlblFTEntry>
              </c15:dlblFieldTable>
              <c15:showDataLabelsRange val="0"/>
            </c:ext>
          </c:extLst>
        </c:dLbl>
      </c:pivotFmt>
      <c:pivotFmt>
        <c:idx val="85"/>
        <c:spPr>
          <a:solidFill>
            <a:srgbClr val="92D050"/>
          </a:solidFill>
          <a:ln>
            <a:noFill/>
          </a:ln>
          <a:effectLst/>
        </c:spPr>
        <c:dLbl>
          <c:idx val="0"/>
          <c:tx>
            <c:strRef>
              <c:f>'pt1 (PERCENTAGE)'!$E$22</c:f>
              <c:strCache>
                <c:ptCount val="1"/>
                <c:pt idx="0">
                  <c:v>77.14%</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{3431633B-A098-4C34-AD62-18932442267A}</c15:txfldGUID>
                  <c15:f>'pt1 (PERCENTAGE)'!$E$22</c15:f>
                  <c15:dlblFieldTableCache>
                    <c:ptCount val="1"/>
                    <c:pt idx="0">
                      <c:v>77.14%</c:v>
                    </c:pt>
                  </c15:dlblFieldTableCache>
                </c15:dlblFTEntry>
              </c15:dlblFieldTable>
              <c15:showDataLabelsRange val="0"/>
            </c:ext>
          </c:extLst>
        </c:dLbl>
      </c:pivotFmt>
      <c:pivotFmt>
        <c:idx val="86"/>
        <c:spPr>
          <a:solidFill>
            <a:srgbClr val="92D050"/>
          </a:solidFill>
          <a:ln>
            <a:noFill/>
          </a:ln>
          <a:effectLst/>
        </c:spPr>
        <c:dLbl>
          <c:idx val="0"/>
          <c:tx>
            <c:strRef>
              <c:f>'pt1 (PERCENTAGE)'!$E$23</c:f>
              <c:strCache>
                <c:ptCount val="1"/>
                <c:pt idx="0">
                  <c:v>46.82%</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{C165BE38-C11C-4C8F-BE66-A45A7E8118D4}</c15:txfldGUID>
                  <c15:f>'pt1 (PERCENTAGE)'!$E$23</c15:f>
                  <c15:dlblFieldTableCache>
                    <c:ptCount val="1"/>
                    <c:pt idx="0">
                      <c:v>46.82%</c:v>
                    </c:pt>
                  </c15:dlblFieldTableCache>
                </c15:dlblFTEntry>
              </c15:dlblFieldTable>
              <c15:showDataLabelsRange val="0"/>
            </c:ext>
          </c:extLst>
        </c:dLbl>
      </c:pivotFmt>
      <c:pivotFmt>
        <c:idx val="87"/>
        <c:spPr>
          <a:solidFill>
            <a:srgbClr val="92D050"/>
          </a:solidFill>
          <a:ln>
            <a:noFill/>
          </a:ln>
          <a:effectLst/>
        </c:spPr>
        <c:dLbl>
          <c:idx val="0"/>
          <c:tx>
            <c:strRef>
              <c:f>'pt1 (PERCENTAGE)'!$E$24</c:f>
              <c:strCache>
                <c:ptCount val="1"/>
                <c:pt idx="0">
                  <c:v>33.76%</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{B0F9C1B5-3AAD-4AAE-8CFD-E046F8C27B29}</c15:txfldGUID>
                  <c15:f>'pt1 (PERCENTAGE)'!$E$24</c15:f>
                  <c15:dlblFieldTableCache>
                    <c:ptCount val="1"/>
                    <c:pt idx="0">
                      <c:v>33.76%</c:v>
                    </c:pt>
                  </c15:dlblFieldTableCache>
                </c15:dlblFTEntry>
              </c15:dlblFieldTable>
              <c15:showDataLabelsRange val="0"/>
            </c:ext>
          </c:extLst>
        </c:dLbl>
      </c:pivotFmt>
      <c:pivotFmt>
        <c:idx val="88"/>
        <c:spPr>
          <a:solidFill>
            <a:srgbClr val="92D050"/>
          </a:solidFill>
          <a:ln>
            <a:noFill/>
          </a:ln>
          <a:effectLst/>
        </c:spPr>
        <c:dLbl>
          <c:idx val="0"/>
          <c:tx>
            <c:strRef>
              <c:f>'pt1 (PERCENTAGE)'!$E$25</c:f>
              <c:strCache>
                <c:ptCount val="1"/>
                <c:pt idx="0">
                  <c:v>34.83%</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{EE53A8E7-8C0B-4A28-9451-E337F517954A}</c15:txfldGUID>
                  <c15:f>'pt1 (PERCENTAGE)'!$E$25</c15:f>
                  <c15:dlblFieldTableCache>
                    <c:ptCount val="1"/>
                    <c:pt idx="0">
                      <c:v>34.83%</c:v>
                    </c:pt>
                  </c15:dlblFieldTableCache>
                </c15:dlblFTEntry>
              </c15:dlblFieldTable>
              <c15:showDataLabelsRange val="0"/>
            </c:ext>
          </c:extLst>
        </c:dLbl>
      </c:pivotFmt>
      <c:pivotFmt>
        <c:idx val="89"/>
        <c:spPr>
          <a:solidFill>
            <a:srgbClr val="92D050"/>
          </a:solidFill>
          <a:ln>
            <a:noFill/>
          </a:ln>
          <a:effectLst/>
        </c:spPr>
        <c:dLbl>
          <c:idx val="0"/>
          <c:tx>
            <c:strRef>
              <c:f>'pt1 (PERCENTAGE)'!$E$26</c:f>
              <c:strCache>
                <c:ptCount val="1"/>
                <c:pt idx="0">
                  <c:v>60.23%</c:v>
                </c:pt>
              </c:strCache>
            </c:strRef>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15:dlblFieldTable>
                <c15:dlblFTEntry>
                  <c15:txfldGUID>{C08D496E-E9F4-485A-B9C9-B560F86D26D2}</c15:txfldGUID>
                  <c15:f>'pt1 (PERCENTAGE)'!$E$26</c15:f>
                  <c15:dlblFieldTableCache>
                    <c:ptCount val="1"/>
                    <c:pt idx="0">
                      <c:v>60.23%</c:v>
                    </c:pt>
                  </c15:dlblFieldTableCache>
                </c15:dlblFTEntry>
              </c15:dlblFieldTable>
              <c15:showDataLabelsRange val="0"/>
            </c:ext>
          </c:extLst>
        </c:dLbl>
      </c:pivotFmt>
    </c:pivotFmts>
    <c:plotArea>
      <c:layout/>
      <c:barChart>
        <c:barDir val="col"/>
        <c:grouping val="stacked"/>
        <c:varyColors val="0"/>
        <c:ser>
          <c:idx val="0"/>
          <c:order val="0"/>
          <c:tx>
            <c:strRef>
              <c:f>'pt1 (PERCENTAGE)'!$B$18</c:f>
              <c:strCache>
                <c:ptCount val="1"/>
                <c:pt idx="0">
                  <c:v>canceled</c:v>
                </c:pt>
              </c:strCache>
            </c:strRef>
          </c:tx>
          <c:spPr>
            <a:solidFill>
              <a:srgbClr val="FFFF00"/>
            </a:solidFill>
            <a:ln>
              <a:noFill/>
            </a:ln>
            <a:effectLst/>
          </c:spPr>
          <c:invertIfNegative val="0"/>
          <c:dPt>
            <c:idx val="0"/>
            <c:invertIfNegative val="0"/>
            <c:bubble3D val="0"/>
            <c:spPr>
              <a:solidFill>
                <a:srgbClr val="FFFF00"/>
              </a:solidFill>
              <a:ln>
                <a:noFill/>
              </a:ln>
              <a:effectLst/>
            </c:spPr>
            <c:extLst>
              <c:ext xmlns:c16="http://schemas.microsoft.com/office/drawing/2014/chart" uri="{C3380CC4-5D6E-409C-BE32-E72D297353CC}">
                <c16:uniqueId val="{00000001-4345-42AE-AE58-5A1155959C14}"/>
              </c:ext>
            </c:extLst>
          </c:dPt>
          <c:dPt>
            <c:idx val="1"/>
            <c:invertIfNegative val="0"/>
            <c:bubble3D val="0"/>
            <c:spPr>
              <a:solidFill>
                <a:srgbClr val="FFFF00"/>
              </a:solidFill>
              <a:ln>
                <a:noFill/>
              </a:ln>
              <a:effectLst/>
            </c:spPr>
            <c:extLst>
              <c:ext xmlns:c16="http://schemas.microsoft.com/office/drawing/2014/chart" uri="{C3380CC4-5D6E-409C-BE32-E72D297353CC}">
                <c16:uniqueId val="{00000003-4345-42AE-AE58-5A1155959C14}"/>
              </c:ext>
            </c:extLst>
          </c:dPt>
          <c:dPt>
            <c:idx val="3"/>
            <c:invertIfNegative val="0"/>
            <c:bubble3D val="0"/>
            <c:spPr>
              <a:solidFill>
                <a:srgbClr val="FFFF00"/>
              </a:solidFill>
              <a:ln>
                <a:noFill/>
              </a:ln>
              <a:effectLst/>
            </c:spPr>
            <c:extLst>
              <c:ext xmlns:c16="http://schemas.microsoft.com/office/drawing/2014/chart" uri="{C3380CC4-5D6E-409C-BE32-E72D297353CC}">
                <c16:uniqueId val="{00000005-4345-42AE-AE58-5A1155959C14}"/>
              </c:ext>
            </c:extLst>
          </c:dPt>
          <c:dPt>
            <c:idx val="4"/>
            <c:invertIfNegative val="0"/>
            <c:bubble3D val="0"/>
            <c:spPr>
              <a:solidFill>
                <a:srgbClr val="FFFF00"/>
              </a:solidFill>
              <a:ln>
                <a:noFill/>
              </a:ln>
              <a:effectLst/>
            </c:spPr>
            <c:extLst>
              <c:ext xmlns:c16="http://schemas.microsoft.com/office/drawing/2014/chart" uri="{C3380CC4-5D6E-409C-BE32-E72D297353CC}">
                <c16:uniqueId val="{00000007-4345-42AE-AE58-5A1155959C14}"/>
              </c:ext>
            </c:extLst>
          </c:dPt>
          <c:dPt>
            <c:idx val="6"/>
            <c:invertIfNegative val="0"/>
            <c:bubble3D val="0"/>
            <c:spPr>
              <a:solidFill>
                <a:srgbClr val="FFFF00"/>
              </a:solidFill>
              <a:ln>
                <a:noFill/>
              </a:ln>
              <a:effectLst/>
            </c:spPr>
            <c:extLst>
              <c:ext xmlns:c16="http://schemas.microsoft.com/office/drawing/2014/chart" uri="{C3380CC4-5D6E-409C-BE32-E72D297353CC}">
                <c16:uniqueId val="{00000009-4345-42AE-AE58-5A1155959C14}"/>
              </c:ext>
            </c:extLst>
          </c:dPt>
          <c:dPt>
            <c:idx val="7"/>
            <c:invertIfNegative val="0"/>
            <c:bubble3D val="0"/>
            <c:spPr>
              <a:solidFill>
                <a:srgbClr val="FFFF00"/>
              </a:solidFill>
              <a:ln>
                <a:noFill/>
              </a:ln>
              <a:effectLst/>
            </c:spPr>
            <c:extLst>
              <c:ext xmlns:c16="http://schemas.microsoft.com/office/drawing/2014/chart" uri="{C3380CC4-5D6E-409C-BE32-E72D297353CC}">
                <c16:uniqueId val="{0000000B-4345-42AE-AE58-5A1155959C14}"/>
              </c:ext>
            </c:extLst>
          </c:dPt>
          <c:dPt>
            <c:idx val="8"/>
            <c:invertIfNegative val="0"/>
            <c:bubble3D val="0"/>
            <c:spPr>
              <a:solidFill>
                <a:srgbClr val="FFFF00"/>
              </a:solidFill>
              <a:ln>
                <a:noFill/>
              </a:ln>
              <a:effectLst/>
            </c:spPr>
            <c:extLst>
              <c:ext xmlns:c16="http://schemas.microsoft.com/office/drawing/2014/chart" uri="{C3380CC4-5D6E-409C-BE32-E72D297353CC}">
                <c16:uniqueId val="{0000000D-4345-42AE-AE58-5A1155959C14}"/>
              </c:ext>
            </c:extLst>
          </c:dPt>
          <c:dLbls>
            <c:dLbl>
              <c:idx val="0"/>
              <c:tx>
                <c:strRef>
                  <c:f>'pt1 (PERCENTAGE)'!$B$18</c:f>
                  <c:strCache>
                    <c:ptCount val="1"/>
                    <c:pt idx="0">
                      <c:v>7.69%</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{D10FFF7A-5D55-4B80-AC8A-1C750EC17A00}</c15:txfldGUID>
                      <c15:f>'pt1 (PERCENTAGE)'!$B$18</c15:f>
                      <c15:dlblFieldTableCache>
                        <c:ptCount val="1"/>
                        <c:pt idx="0">
                          <c:v>7.69%</c:v>
                        </c:pt>
                      </c15:dlblFieldTableCache>
                    </c15:dlblFTEntry>
                  </c15:dlblFieldTable>
                  <c15:showDataLabelsRange val="0"/>
                </c:ext>
                <c:ext xmlns:c16="http://schemas.microsoft.com/office/drawing/2014/chart" uri="{C3380CC4-5D6E-409C-BE32-E72D297353CC}">
                  <c16:uniqueId val="{00000001-4345-42AE-AE58-5A1155959C14}"/>
                </c:ext>
              </c:extLst>
            </c:dLbl>
            <c:dLbl>
              <c:idx val="1"/>
              <c:tx>
                <c:strRef>
                  <c:f>'pt1 (PERCENTAGE)'!$B$19</c:f>
                  <c:strCache>
                    <c:ptCount val="1"/>
                    <c:pt idx="0">
                      <c:v>10.00%</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{E0BAF535-9F4A-4B41-B2C1-10D77B1CD497}</c15:txfldGUID>
                      <c15:f>'pt1 (PERCENTAGE)'!$B$19</c15:f>
                      <c15:dlblFieldTableCache>
                        <c:ptCount val="1"/>
                        <c:pt idx="0">
                          <c:v>10.00%</c:v>
                        </c:pt>
                      </c15:dlblFieldTableCache>
                    </c15:dlblFTEntry>
                  </c15:dlblFieldTable>
                  <c15:showDataLabelsRange val="0"/>
                </c:ext>
                <c:ext xmlns:c16="http://schemas.microsoft.com/office/drawing/2014/chart" uri="{C3380CC4-5D6E-409C-BE32-E72D297353CC}">
                  <c16:uniqueId val="{00000003-4345-42AE-AE58-5A1155959C14}"/>
                </c:ext>
              </c:extLst>
            </c:dLbl>
            <c:dLbl>
              <c:idx val="3"/>
              <c:tx>
                <c:strRef>
                  <c:f>'pt1 (PERCENTAGE)'!$B$21</c:f>
                  <c:strCache>
                    <c:ptCount val="1"/>
                    <c:pt idx="0">
                      <c:v>100.00%</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{CD1F22C3-DD19-4922-84DC-DB9E1A2C0989}</c15:txfldGUID>
                      <c15:f>'pt1 (PERCENTAGE)'!$B$21</c15:f>
                      <c15:dlblFieldTableCache>
                        <c:ptCount val="1"/>
                        <c:pt idx="0">
                          <c:v>100.00%</c:v>
                        </c:pt>
                      </c15:dlblFieldTableCache>
                    </c15:dlblFTEntry>
                  </c15:dlblFieldTable>
                  <c15:showDataLabelsRange val="0"/>
                </c:ext>
                <c:ext xmlns:c16="http://schemas.microsoft.com/office/drawing/2014/chart" uri="{C3380CC4-5D6E-409C-BE32-E72D297353CC}">
                  <c16:uniqueId val="{00000005-4345-42AE-AE58-5A1155959C14}"/>
                </c:ext>
              </c:extLst>
            </c:dLbl>
            <c:dLbl>
              <c:idx val="4"/>
              <c:tx>
                <c:strRef>
                  <c:f>'pt1 (PERCENTAGE)'!$B$22</c:f>
                  <c:strCache>
                    <c:ptCount val="1"/>
                    <c:pt idx="0">
                      <c:v>2.86%</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{664C4DC9-FE45-42CF-8EFF-5F6774D8F017}</c15:txfldGUID>
                      <c15:f>'pt1 (PERCENTAGE)'!$B$22</c15:f>
                      <c15:dlblFieldTableCache>
                        <c:ptCount val="1"/>
                        <c:pt idx="0">
                          <c:v>2.86%</c:v>
                        </c:pt>
                      </c15:dlblFieldTableCache>
                    </c15:dlblFTEntry>
                  </c15:dlblFieldTable>
                  <c15:showDataLabelsRange val="0"/>
                </c:ext>
                <c:ext xmlns:c16="http://schemas.microsoft.com/office/drawing/2014/chart" uri="{C3380CC4-5D6E-409C-BE32-E72D297353CC}">
                  <c16:uniqueId val="{00000007-4345-42AE-AE58-5A1155959C14}"/>
                </c:ext>
              </c:extLst>
            </c:dLbl>
            <c:dLbl>
              <c:idx val="6"/>
              <c:tx>
                <c:strRef>
                  <c:f>'pt1 (PERCENTAGE)'!$B$24</c:f>
                  <c:strCache>
                    <c:ptCount val="1"/>
                    <c:pt idx="0">
                      <c:v>12.66%</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{992D4B40-49DE-4871-BEF0-281CE87F3439}</c15:txfldGUID>
                      <c15:f>'pt1 (PERCENTAGE)'!$B$24</c15:f>
                      <c15:dlblFieldTableCache>
                        <c:ptCount val="1"/>
                        <c:pt idx="0">
                          <c:v>12.66%</c:v>
                        </c:pt>
                      </c15:dlblFieldTableCache>
                    </c15:dlblFTEntry>
                  </c15:dlblFieldTable>
                  <c15:showDataLabelsRange val="0"/>
                </c:ext>
                <c:ext xmlns:c16="http://schemas.microsoft.com/office/drawing/2014/chart" uri="{C3380CC4-5D6E-409C-BE32-E72D297353CC}">
                  <c16:uniqueId val="{00000009-4345-42AE-AE58-5A1155959C14}"/>
                </c:ext>
              </c:extLst>
            </c:dLbl>
            <c:dLbl>
              <c:idx val="7"/>
              <c:tx>
                <c:strRef>
                  <c:f>'pt1 (PERCENTAGE)'!$B$25</c:f>
                  <c:strCache>
                    <c:ptCount val="1"/>
                    <c:pt idx="0">
                      <c:v>29.67%</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{150143F7-9D44-4CA1-8964-B8C255029E30}</c15:txfldGUID>
                      <c15:f>'pt1 (PERCENTAGE)'!$B$25</c15:f>
                      <c15:dlblFieldTableCache>
                        <c:ptCount val="1"/>
                        <c:pt idx="0">
                          <c:v>29.67%</c:v>
                        </c:pt>
                      </c15:dlblFieldTableCache>
                    </c15:dlblFTEntry>
                  </c15:dlblFieldTable>
                  <c15:showDataLabelsRange val="0"/>
                </c:ext>
                <c:ext xmlns:c16="http://schemas.microsoft.com/office/drawing/2014/chart" uri="{C3380CC4-5D6E-409C-BE32-E72D297353CC}">
                  <c16:uniqueId val="{0000000B-4345-42AE-AE58-5A1155959C14}"/>
                </c:ext>
              </c:extLst>
            </c:dLbl>
            <c:dLbl>
              <c:idx val="8"/>
              <c:tx>
                <c:strRef>
                  <c:f>'pt1 (PERCENTAGE)'!$B$26</c:f>
                  <c:strCache>
                    <c:ptCount val="1"/>
                    <c:pt idx="0">
                      <c:v>2.66%</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{EDE1977A-6771-444E-B45D-32D86654C58C}</c15:txfldGUID>
                      <c15:f>'pt1 (PERCENTAGE)'!$B$26</c15:f>
                      <c15:dlblFieldTableCache>
                        <c:ptCount val="1"/>
                        <c:pt idx="0">
                          <c:v>2.66%</c:v>
                        </c:pt>
                      </c15:dlblFieldTableCache>
                    </c15:dlblFTEntry>
                  </c15:dlblFieldTable>
                  <c15:showDataLabelsRange val="0"/>
                </c:ext>
                <c:ext xmlns:c16="http://schemas.microsoft.com/office/drawing/2014/chart" uri="{C3380CC4-5D6E-409C-BE32-E72D297353CC}">
                  <c16:uniqueId val="{0000000D-4345-42AE-AE58-5A1155959C14}"/>
                </c:ext>
              </c:extLst>
            </c:dLbl>
            <c:spPr>
              <a:solidFill>
                <a:srgbClr val="FFFF00"/>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'pt1 (PERCENTAGE)'!$B$18</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'pt1 (PERCENTAGE)'!$B$18</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E-4345-42AE-AE58-5A1155959C14}"/>
            </c:ext>
          </c:extLst>
        </c:ser>
        <c:ser>
          <c:idx val="1"/>
          <c:order val="1"/>
          <c:tx>
            <c:strRef>
              <c:f>'pt1 (PERCENTAGE)'!$B$18</c:f>
              <c:strCache>
                <c:ptCount val="1"/>
                <c:pt idx="0">
                  <c:v>failed</c:v>
                </c:pt>
              </c:strCache>
            </c:strRef>
          </c:tx>
          <c:spPr>
            <a:solidFill>
              <a:schemeClr val="accent2"/>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10-4345-42AE-AE58-5A1155959C14}"/>
              </c:ext>
            </c:extLst>
          </c:dPt>
          <c:dPt>
            <c:idx val="1"/>
            <c:invertIfNegative val="0"/>
            <c:bubble3D val="0"/>
            <c:spPr>
              <a:solidFill>
                <a:schemeClr val="accent2"/>
              </a:solidFill>
              <a:ln>
                <a:noFill/>
              </a:ln>
              <a:effectLst/>
            </c:spPr>
            <c:extLst>
              <c:ext xmlns:c16="http://schemas.microsoft.com/office/drawing/2014/chart" uri="{C3380CC4-5D6E-409C-BE32-E72D297353CC}">
                <c16:uniqueId val="{00000012-4345-42AE-AE58-5A1155959C14}"/>
              </c:ext>
            </c:extLst>
          </c:dPt>
          <c:dPt>
            <c:idx val="2"/>
            <c:invertIfNegative val="0"/>
            <c:bubble3D val="0"/>
            <c:spPr>
              <a:solidFill>
                <a:schemeClr val="accent2"/>
              </a:solidFill>
              <a:ln>
                <a:noFill/>
              </a:ln>
              <a:effectLst/>
            </c:spPr>
            <c:extLst>
              <c:ext xmlns:c16="http://schemas.microsoft.com/office/drawing/2014/chart" uri="{C3380CC4-5D6E-409C-BE32-E72D297353CC}">
                <c16:uniqueId val="{00000014-4345-42AE-AE58-5A1155959C14}"/>
              </c:ext>
            </c:extLst>
          </c:dPt>
          <c:dPt>
            <c:idx val="4"/>
            <c:invertIfNegative val="0"/>
            <c:bubble3D val="0"/>
            <c:spPr>
              <a:solidFill>
                <a:schemeClr val="accent2"/>
              </a:solidFill>
              <a:ln>
                <a:noFill/>
              </a:ln>
              <a:effectLst/>
            </c:spPr>
            <c:extLst>
              <c:ext xmlns:c16="http://schemas.microsoft.com/office/drawing/2014/chart" uri="{C3380CC4-5D6E-409C-BE32-E72D297353CC}">
                <c16:uniqueId val="{00000016-4345-42AE-AE58-5A1155959C14}"/>
              </c:ext>
            </c:extLst>
          </c:dPt>
          <c:dPt>
            <c:idx val="5"/>
            <c:invertIfNegative val="0"/>
            <c:bubble3D val="0"/>
            <c:spPr>
              <a:solidFill>
                <a:schemeClr val="accent2"/>
              </a:solidFill>
              <a:ln>
                <a:noFill/>
              </a:ln>
              <a:effectLst/>
            </c:spPr>
            <c:extLst>
              <c:ext xmlns:c16="http://schemas.microsoft.com/office/drawing/2014/chart" uri="{C3380CC4-5D6E-409C-BE32-E72D297353CC}">
                <c16:uniqueId val="{00000018-4345-42AE-AE58-5A1155959C14}"/>
              </c:ext>
            </c:extLst>
          </c:dPt>
          <c:dPt>
            <c:idx val="6"/>
            <c:invertIfNegative val="0"/>
            <c:bubble3D val="0"/>
            <c:spPr>
              <a:solidFill>
                <a:schemeClr val="accent2"/>
              </a:solidFill>
              <a:ln>
                <a:noFill/>
              </a:ln>
              <a:effectLst/>
            </c:spPr>
            <c:extLst>
              <c:ext xmlns:c16="http://schemas.microsoft.com/office/drawing/2014/chart" uri="{C3380CC4-5D6E-409C-BE32-E72D297353CC}">
                <c16:uniqueId val="{0000001A-4345-42AE-AE58-5A1155959C14}"/>
              </c:ext>
            </c:extLst>
          </c:dPt>
          <c:dPt>
            <c:idx val="7"/>
            <c:invertIfNegative val="0"/>
            <c:bubble3D val="0"/>
            <c:spPr>
              <a:solidFill>
                <a:schemeClr val="accent2"/>
              </a:solidFill>
              <a:ln>
                <a:noFill/>
              </a:ln>
              <a:effectLst/>
            </c:spPr>
            <c:extLst>
              <c:ext xmlns:c16="http://schemas.microsoft.com/office/drawing/2014/chart" uri="{C3380CC4-5D6E-409C-BE32-E72D297353CC}">
                <c16:uniqueId val="{0000001C-4345-42AE-AE58-5A1155959C14}"/>
              </c:ext>
            </c:extLst>
          </c:dPt>
          <c:dPt>
            <c:idx val="8"/>
            <c:invertIfNegative val="0"/>
            <c:bubble3D val="0"/>
            <c:spPr>
              <a:solidFill>
                <a:schemeClr val="accent2"/>
              </a:solidFill>
              <a:ln>
                <a:noFill/>
              </a:ln>
              <a:effectLst/>
            </c:spPr>
            <c:extLst>
              <c:ext xmlns:c16="http://schemas.microsoft.com/office/drawing/2014/chart" uri="{C3380CC4-5D6E-409C-BE32-E72D297353CC}">
                <c16:uniqueId val="{0000001E-4345-42AE-AE58-5A1155959C14}"/>
              </c:ext>
            </c:extLst>
          </c:dPt>
          <c:dLbls>
            <c:dLbl>
              <c:idx val="0"/>
              <c:tx>
                <c:strRef>
                  <c:f>'pt1 (PERCENTAGE)'!$C$18</c:f>
                  <c:strCache>
                    <c:ptCount val="1"/>
                    <c:pt idx="0">
                      <c:v>34.62%</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{5D31487D-7707-4473-A9DB-345C0431F2D6}</c15:txfldGUID>
                      <c15:f>'pt1 (PERCENTAGE)'!$C$18</c15:f>
                      <c15:dlblFieldTableCache>
                        <c:ptCount val="1"/>
                        <c:pt idx="0">
                          <c:v>34.62%</c:v>
                        </c:pt>
                      </c15:dlblFieldTableCache>
                    </c15:dlblFTEntry>
                  </c15:dlblFieldTable>
                  <c15:showDataLabelsRange val="0"/>
                </c:ext>
                <c:ext xmlns:c16="http://schemas.microsoft.com/office/drawing/2014/chart" uri="{C3380CC4-5D6E-409C-BE32-E72D297353CC}">
                  <c16:uniqueId val="{00000010-4345-42AE-AE58-5A1155959C14}"/>
                </c:ext>
              </c:extLst>
            </c:dLbl>
            <c:dLbl>
              <c:idx val="1"/>
              <c:tx>
                <c:strRef>
                  <c:f>'pt1 (PERCENTAGE)'!$C$19</c:f>
                  <c:strCache>
                    <c:ptCount val="1"/>
                    <c:pt idx="0">
                      <c:v>70.00%</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{D9545DC3-5BA2-4D39-99A2-9B36BFB628E4}</c15:txfldGUID>
                      <c15:f>'pt1 (PERCENTAGE)'!$C$19</c15:f>
                      <c15:dlblFieldTableCache>
                        <c:ptCount val="1"/>
                        <c:pt idx="0">
                          <c:v>70.00%</c:v>
                        </c:pt>
                      </c15:dlblFieldTableCache>
                    </c15:dlblFTEntry>
                  </c15:dlblFieldTable>
                  <c15:showDataLabelsRange val="0"/>
                </c:ext>
                <c:ext xmlns:c16="http://schemas.microsoft.com/office/drawing/2014/chart" uri="{C3380CC4-5D6E-409C-BE32-E72D297353CC}">
                  <c16:uniqueId val="{00000012-4345-42AE-AE58-5A1155959C14}"/>
                </c:ext>
              </c:extLst>
            </c:dLbl>
            <c:dLbl>
              <c:idx val="2"/>
              <c:tx>
                <c:strRef>
                  <c:f>'pt1 (PERCENTAGE)'!$C$20</c:f>
                  <c:strCache>
                    <c:ptCount val="1"/>
                    <c:pt idx="0">
                      <c:v>63.64%</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{67FB9D4C-F9FE-4E19-A770-8D9FCF511469}</c15:txfldGUID>
                      <c15:f>'pt1 (PERCENTAGE)'!$C$20</c15:f>
                      <c15:dlblFieldTableCache>
                        <c:ptCount val="1"/>
                        <c:pt idx="0">
                          <c:v>63.64%</c:v>
                        </c:pt>
                      </c15:dlblFieldTableCache>
                    </c15:dlblFTEntry>
                  </c15:dlblFieldTable>
                  <c15:showDataLabelsRange val="0"/>
                </c:ext>
                <c:ext xmlns:c16="http://schemas.microsoft.com/office/drawing/2014/chart" uri="{C3380CC4-5D6E-409C-BE32-E72D297353CC}">
                  <c16:uniqueId val="{00000014-4345-42AE-AE58-5A1155959C14}"/>
                </c:ext>
              </c:extLst>
            </c:dLbl>
            <c:dLbl>
              <c:idx val="4"/>
              <c:tx>
                <c:strRef>
                  <c:f>'pt1 (PERCENTAGE)'!$C$22</c:f>
                  <c:strCache>
                    <c:ptCount val="1"/>
                    <c:pt idx="0">
                      <c:v>17.14%</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{C299DF59-D089-431D-BE2A-374CF7EC9A45}</c15:txfldGUID>
                      <c15:f>'pt1 (PERCENTAGE)'!$C$22</c15:f>
                      <c15:dlblFieldTableCache>
                        <c:ptCount val="1"/>
                        <c:pt idx="0">
                          <c:v>17.14%</c:v>
                        </c:pt>
                      </c15:dlblFieldTableCache>
                    </c15:dlblFTEntry>
                  </c15:dlblFieldTable>
                  <c15:showDataLabelsRange val="0"/>
                </c:ext>
                <c:ext xmlns:c16="http://schemas.microsoft.com/office/drawing/2014/chart" uri="{C3380CC4-5D6E-409C-BE32-E72D297353CC}">
                  <c16:uniqueId val="{00000016-4345-42AE-AE58-5A1155959C14}"/>
                </c:ext>
              </c:extLst>
            </c:dLbl>
            <c:dLbl>
              <c:idx val="5"/>
              <c:tx>
                <c:strRef>
                  <c:f>'pt1 (PERCENTAGE)'!$C$23</c:f>
                  <c:strCache>
                    <c:ptCount val="1"/>
                    <c:pt idx="0">
                      <c:v>53.18%</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{5B4A6E34-D360-41A8-8DDF-602172095ED4}</c15:txfldGUID>
                      <c15:f>'pt1 (PERCENTAGE)'!$C$23</c15:f>
                      <c15:dlblFieldTableCache>
                        <c:ptCount val="1"/>
                        <c:pt idx="0">
                          <c:v>53.18%</c:v>
                        </c:pt>
                      </c15:dlblFieldTableCache>
                    </c15:dlblFTEntry>
                  </c15:dlblFieldTable>
                  <c15:showDataLabelsRange val="0"/>
                </c:ext>
                <c:ext xmlns:c16="http://schemas.microsoft.com/office/drawing/2014/chart" uri="{C3380CC4-5D6E-409C-BE32-E72D297353CC}">
                  <c16:uniqueId val="{00000018-4345-42AE-AE58-5A1155959C14}"/>
                </c:ext>
              </c:extLst>
            </c:dLbl>
            <c:dLbl>
              <c:idx val="6"/>
              <c:tx>
                <c:strRef>
                  <c:f>'pt1 (PERCENTAGE)'!$C$24</c:f>
                  <c:strCache>
                    <c:ptCount val="1"/>
                    <c:pt idx="0">
                      <c:v>53.59%</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{95CDA213-3050-46AE-875F-A3E8D67E970D}</c15:txfldGUID>
                      <c15:f>'pt1 (PERCENTAGE)'!$C$24</c15:f>
                      <c15:dlblFieldTableCache>
                        <c:ptCount val="1"/>
                        <c:pt idx="0">
                          <c:v>53.59%</c:v>
                        </c:pt>
                      </c15:dlblFieldTableCache>
                    </c15:dlblFTEntry>
                  </c15:dlblFieldTable>
                  <c15:showDataLabelsRange val="0"/>
                </c:ext>
                <c:ext xmlns:c16="http://schemas.microsoft.com/office/drawing/2014/chart" uri="{C3380CC4-5D6E-409C-BE32-E72D297353CC}">
                  <c16:uniqueId val="{0000001A-4345-42AE-AE58-5A1155959C14}"/>
                </c:ext>
              </c:extLst>
            </c:dLbl>
            <c:dLbl>
              <c:idx val="7"/>
              <c:tx>
                <c:strRef>
                  <c:f>'pt1 (PERCENTAGE)'!$C$25</c:f>
                  <c:strCache>
                    <c:ptCount val="1"/>
                    <c:pt idx="0">
                      <c:v>35.50%</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{D58242B8-21F2-460F-9572-D48A1CE714A2}</c15:txfldGUID>
                      <c15:f>'pt1 (PERCENTAGE)'!$C$25</c15:f>
                      <c15:dlblFieldTableCache>
                        <c:ptCount val="1"/>
                        <c:pt idx="0">
                          <c:v>35.50%</c:v>
                        </c:pt>
                      </c15:dlblFieldTableCache>
                    </c15:dlblFTEntry>
                  </c15:dlblFieldTable>
                  <c15:showDataLabelsRange val="0"/>
                </c:ext>
                <c:ext xmlns:c16="http://schemas.microsoft.com/office/drawing/2014/chart" uri="{C3380CC4-5D6E-409C-BE32-E72D297353CC}">
                  <c16:uniqueId val="{0000001C-4345-42AE-AE58-5A1155959C14}"/>
                </c:ext>
              </c:extLst>
            </c:dLbl>
            <c:dLbl>
              <c:idx val="8"/>
              <c:tx>
                <c:strRef>
                  <c:f>'pt1 (PERCENTAGE)'!$C$26</c:f>
                  <c:strCache>
                    <c:ptCount val="1"/>
                    <c:pt idx="0">
                      <c:v>35.39%</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{CD3EB489-214A-44BD-B09C-4DE0CE5E9145}</c15:txfldGUID>
                      <c15:f>'pt1 (PERCENTAGE)'!$C$26</c15:f>
                      <c15:dlblFieldTableCache>
                        <c:ptCount val="1"/>
                        <c:pt idx="0">
                          <c:v>35.39%</c:v>
                        </c:pt>
                      </c15:dlblFieldTableCache>
                    </c15:dlblFTEntry>
                  </c15:dlblFieldTable>
                  <c15:showDataLabelsRange val="0"/>
                </c:ext>
                <c:ext xmlns:c16="http://schemas.microsoft.com/office/drawing/2014/chart" uri="{C3380CC4-5D6E-409C-BE32-E72D297353CC}">
                  <c16:uniqueId val="{0000001E-4345-42AE-AE58-5A1155959C14}"/>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'pt1 (PERCENTAGE)'!$B$18</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'pt1 (PERCENTAGE)'!$B$18</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1F-4345-42AE-AE58-5A1155959C14}"/>
            </c:ext>
          </c:extLst>
        </c:ser>
        <c:ser>
          <c:idx val="2"/>
          <c:order val="2"/>
          <c:tx>
            <c:strRef>
              <c:f>'pt1 (PERCENTAGE)'!$B$18</c:f>
              <c:strCache>
                <c:ptCount val="1"/>
                <c:pt idx="0">
                  <c:v>live</c:v>
                </c:pt>
              </c:strCache>
            </c:strRef>
          </c:tx>
          <c:spPr>
            <a:solidFill>
              <a:schemeClr val="accent3"/>
            </a:solidFill>
            <a:ln>
              <a:noFill/>
            </a:ln>
            <a:effectLst/>
          </c:spPr>
          <c:invertIfNegative val="0"/>
          <c:dPt>
            <c:idx val="1"/>
            <c:invertIfNegative val="0"/>
            <c:bubble3D val="0"/>
            <c:spPr>
              <a:solidFill>
                <a:schemeClr val="accent3"/>
              </a:solidFill>
              <a:ln>
                <a:noFill/>
              </a:ln>
              <a:effectLst/>
            </c:spPr>
            <c:extLst>
              <c:ext xmlns:c16="http://schemas.microsoft.com/office/drawing/2014/chart" uri="{C3380CC4-5D6E-409C-BE32-E72D297353CC}">
                <c16:uniqueId val="{00000021-4345-42AE-AE58-5A1155959C14}"/>
              </c:ext>
            </c:extLst>
          </c:dPt>
          <c:dPt>
            <c:idx val="4"/>
            <c:invertIfNegative val="0"/>
            <c:bubble3D val="0"/>
            <c:spPr>
              <a:solidFill>
                <a:schemeClr val="accent3"/>
              </a:solidFill>
              <a:ln>
                <a:noFill/>
              </a:ln>
              <a:effectLst/>
            </c:spPr>
            <c:extLst>
              <c:ext xmlns:c16="http://schemas.microsoft.com/office/drawing/2014/chart" uri="{C3380CC4-5D6E-409C-BE32-E72D297353CC}">
                <c16:uniqueId val="{00000023-4345-42AE-AE58-5A1155959C14}"/>
              </c:ext>
            </c:extLst>
          </c:dPt>
          <c:dPt>
            <c:idx val="8"/>
            <c:invertIfNegative val="0"/>
            <c:bubble3D val="0"/>
            <c:spPr>
              <a:solidFill>
                <a:schemeClr val="accent3"/>
              </a:solidFill>
              <a:ln>
                <a:noFill/>
              </a:ln>
              <a:effectLst/>
            </c:spPr>
            <c:extLst>
              <c:ext xmlns:c16="http://schemas.microsoft.com/office/drawing/2014/chart" uri="{C3380CC4-5D6E-409C-BE32-E72D297353CC}">
                <c16:uniqueId val="{00000025-4345-42AE-AE58-5A1155959C14}"/>
              </c:ext>
            </c:extLst>
          </c:dPt>
          <c:dLbls>
            <c:dLbl>
              <c:idx val="1"/>
              <c:tx>
                <c:strRef>
                  <c:f>'pt1 (PERCENTAGE)'!$D$19</c:f>
                  <c:strCache>
                    <c:ptCount val="1"/>
                    <c:pt idx="0">
                      <c:v>3.00%</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{14F72ECF-B86F-40BB-A2AD-45FD84646416}</c15:txfldGUID>
                      <c15:f>'pt1 (PERCENTAGE)'!$D$19</c15:f>
                      <c15:dlblFieldTableCache>
                        <c:ptCount val="1"/>
                        <c:pt idx="0">
                          <c:v>3.00%</c:v>
                        </c:pt>
                      </c15:dlblFieldTableCache>
                    </c15:dlblFTEntry>
                  </c15:dlblFieldTable>
                  <c15:showDataLabelsRange val="0"/>
                </c:ext>
                <c:ext xmlns:c16="http://schemas.microsoft.com/office/drawing/2014/chart" uri="{C3380CC4-5D6E-409C-BE32-E72D297353CC}">
                  <c16:uniqueId val="{00000021-4345-42AE-AE58-5A1155959C14}"/>
                </c:ext>
              </c:extLst>
            </c:dLbl>
            <c:dLbl>
              <c:idx val="4"/>
              <c:tx>
                <c:strRef>
                  <c:f>'pt1 (PERCENTAGE)'!$D$22</c:f>
                  <c:strCache>
                    <c:ptCount val="1"/>
                    <c:pt idx="0">
                      <c:v>2.86%</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{B85FBAD3-94C6-48A4-A66E-E6619BFB02EE}</c15:txfldGUID>
                      <c15:f>'pt1 (PERCENTAGE)'!$D$22</c15:f>
                      <c15:dlblFieldTableCache>
                        <c:ptCount val="1"/>
                        <c:pt idx="0">
                          <c:v>2.86%</c:v>
                        </c:pt>
                      </c15:dlblFieldTableCache>
                    </c15:dlblFTEntry>
                  </c15:dlblFieldTable>
                  <c15:showDataLabelsRange val="0"/>
                </c:ext>
                <c:ext xmlns:c16="http://schemas.microsoft.com/office/drawing/2014/chart" uri="{C3380CC4-5D6E-409C-BE32-E72D297353CC}">
                  <c16:uniqueId val="{00000023-4345-42AE-AE58-5A1155959C14}"/>
                </c:ext>
              </c:extLst>
            </c:dLbl>
            <c:dLbl>
              <c:idx val="8"/>
              <c:tx>
                <c:strRef>
                  <c:f>'pt1 (PERCENTAGE)'!$D$26</c:f>
                  <c:strCache>
                    <c:ptCount val="1"/>
                    <c:pt idx="0">
                      <c:v>1.72%</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{93F339E1-A610-43C9-8C11-E87F92F3D354}</c15:txfldGUID>
                      <c15:f>'pt1 (PERCENTAGE)'!$D$26</c15:f>
                      <c15:dlblFieldTableCache>
                        <c:ptCount val="1"/>
                        <c:pt idx="0">
                          <c:v>1.72%</c:v>
                        </c:pt>
                      </c15:dlblFieldTableCache>
                    </c15:dlblFTEntry>
                  </c15:dlblFieldTable>
                  <c15:showDataLabelsRange val="0"/>
                </c:ext>
                <c:ext xmlns:c16="http://schemas.microsoft.com/office/drawing/2014/chart" uri="{C3380CC4-5D6E-409C-BE32-E72D297353CC}">
                  <c16:uniqueId val="{00000025-4345-42AE-AE58-5A1155959C14}"/>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'pt1 (PERCENTAGE)'!$B$18</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'pt1 (PERCENTAGE)'!$B$18</c:f>
              <c:numCache>
                <c:formatCode>General</c:formatCode>
                <c:ptCount val="9"/>
                <c:pt idx="1">
                  <c:v>6</c:v>
                </c:pt>
                <c:pt idx="4">
                  <c:v>20</c:v>
                </c:pt>
                <c:pt idx="8">
                  <c:v>24</c:v>
                </c:pt>
              </c:numCache>
            </c:numRef>
          </c:val>
          <c:extLst>
            <c:ext xmlns:c16="http://schemas.microsoft.com/office/drawing/2014/chart" uri="{C3380CC4-5D6E-409C-BE32-E72D297353CC}">
              <c16:uniqueId val="{00000026-4345-42AE-AE58-5A1155959C14}"/>
            </c:ext>
          </c:extLst>
        </c:ser>
        <c:ser>
          <c:idx val="3"/>
          <c:order val="3"/>
          <c:tx>
            <c:strRef>
              <c:f>'pt1 (PERCENTAGE)'!$B$18</c:f>
              <c:strCache>
                <c:ptCount val="1"/>
                <c:pt idx="0">
                  <c:v>successful</c:v>
                </c:pt>
              </c:strCache>
            </c:strRef>
          </c:tx>
          <c:spPr>
            <a:solidFill>
              <a:srgbClr val="92D050"/>
            </a:solidFill>
            <a:ln>
              <a:noFill/>
            </a:ln>
            <a:effectLst/>
          </c:spPr>
          <c:invertIfNegative val="0"/>
          <c:dPt>
            <c:idx val="0"/>
            <c:invertIfNegative val="0"/>
            <c:bubble3D val="0"/>
            <c:spPr>
              <a:solidFill>
                <a:srgbClr val="92D050"/>
              </a:solidFill>
              <a:ln>
                <a:noFill/>
              </a:ln>
              <a:effectLst/>
            </c:spPr>
            <c:extLst>
              <c:ext xmlns:c16="http://schemas.microsoft.com/office/drawing/2014/chart" uri="{C3380CC4-5D6E-409C-BE32-E72D297353CC}">
                <c16:uniqueId val="{00000028-4345-42AE-AE58-5A1155959C14}"/>
              </c:ext>
            </c:extLst>
          </c:dPt>
          <c:dPt>
            <c:idx val="1"/>
            <c:invertIfNegative val="0"/>
            <c:bubble3D val="0"/>
            <c:spPr>
              <a:solidFill>
                <a:srgbClr val="92D050"/>
              </a:solidFill>
              <a:ln>
                <a:noFill/>
              </a:ln>
              <a:effectLst/>
            </c:spPr>
            <c:extLst>
              <c:ext xmlns:c16="http://schemas.microsoft.com/office/drawing/2014/chart" uri="{C3380CC4-5D6E-409C-BE32-E72D297353CC}">
                <c16:uniqueId val="{0000002A-4345-42AE-AE58-5A1155959C14}"/>
              </c:ext>
            </c:extLst>
          </c:dPt>
          <c:dPt>
            <c:idx val="2"/>
            <c:invertIfNegative val="0"/>
            <c:bubble3D val="0"/>
            <c:spPr>
              <a:solidFill>
                <a:srgbClr val="92D050"/>
              </a:solidFill>
              <a:ln>
                <a:noFill/>
              </a:ln>
              <a:effectLst/>
            </c:spPr>
            <c:extLst>
              <c:ext xmlns:c16="http://schemas.microsoft.com/office/drawing/2014/chart" uri="{C3380CC4-5D6E-409C-BE32-E72D297353CC}">
                <c16:uniqueId val="{0000002C-4345-42AE-AE58-5A1155959C14}"/>
              </c:ext>
            </c:extLst>
          </c:dPt>
          <c:dPt>
            <c:idx val="4"/>
            <c:invertIfNegative val="0"/>
            <c:bubble3D val="0"/>
            <c:spPr>
              <a:solidFill>
                <a:srgbClr val="92D050"/>
              </a:solidFill>
              <a:ln>
                <a:noFill/>
              </a:ln>
              <a:effectLst/>
            </c:spPr>
            <c:extLst>
              <c:ext xmlns:c16="http://schemas.microsoft.com/office/drawing/2014/chart" uri="{C3380CC4-5D6E-409C-BE32-E72D297353CC}">
                <c16:uniqueId val="{0000002E-4345-42AE-AE58-5A1155959C14}"/>
              </c:ext>
            </c:extLst>
          </c:dPt>
          <c:dPt>
            <c:idx val="5"/>
            <c:invertIfNegative val="0"/>
            <c:bubble3D val="0"/>
            <c:spPr>
              <a:solidFill>
                <a:srgbClr val="92D050"/>
              </a:solidFill>
              <a:ln>
                <a:noFill/>
              </a:ln>
              <a:effectLst/>
            </c:spPr>
            <c:extLst>
              <c:ext xmlns:c16="http://schemas.microsoft.com/office/drawing/2014/chart" uri="{C3380CC4-5D6E-409C-BE32-E72D297353CC}">
                <c16:uniqueId val="{00000030-4345-42AE-AE58-5A1155959C14}"/>
              </c:ext>
            </c:extLst>
          </c:dPt>
          <c:dPt>
            <c:idx val="6"/>
            <c:invertIfNegative val="0"/>
            <c:bubble3D val="0"/>
            <c:spPr>
              <a:solidFill>
                <a:srgbClr val="92D050"/>
              </a:solidFill>
              <a:ln>
                <a:noFill/>
              </a:ln>
              <a:effectLst/>
            </c:spPr>
            <c:extLst>
              <c:ext xmlns:c16="http://schemas.microsoft.com/office/drawing/2014/chart" uri="{C3380CC4-5D6E-409C-BE32-E72D297353CC}">
                <c16:uniqueId val="{00000032-4345-42AE-AE58-5A1155959C14}"/>
              </c:ext>
            </c:extLst>
          </c:dPt>
          <c:dPt>
            <c:idx val="7"/>
            <c:invertIfNegative val="0"/>
            <c:bubble3D val="0"/>
            <c:spPr>
              <a:solidFill>
                <a:srgbClr val="92D050"/>
              </a:solidFill>
              <a:ln>
                <a:noFill/>
              </a:ln>
              <a:effectLst/>
            </c:spPr>
            <c:extLst>
              <c:ext xmlns:c16="http://schemas.microsoft.com/office/drawing/2014/chart" uri="{C3380CC4-5D6E-409C-BE32-E72D297353CC}">
                <c16:uniqueId val="{00000034-4345-42AE-AE58-5A1155959C14}"/>
              </c:ext>
            </c:extLst>
          </c:dPt>
          <c:dPt>
            <c:idx val="8"/>
            <c:invertIfNegative val="0"/>
            <c:bubble3D val="0"/>
            <c:spPr>
              <a:solidFill>
                <a:srgbClr val="92D050"/>
              </a:solidFill>
              <a:ln>
                <a:noFill/>
              </a:ln>
              <a:effectLst/>
            </c:spPr>
            <c:extLst>
              <c:ext xmlns:c16="http://schemas.microsoft.com/office/drawing/2014/chart" uri="{C3380CC4-5D6E-409C-BE32-E72D297353CC}">
                <c16:uniqueId val="{00000036-4345-42AE-AE58-5A1155959C14}"/>
              </c:ext>
            </c:extLst>
          </c:dPt>
          <c:dLbls>
            <c:dLbl>
              <c:idx val="0"/>
              <c:tx>
                <c:strRef>
                  <c:f>'pt1 (PERCENTAGE)'!$E$18</c:f>
                  <c:strCache>
                    <c:ptCount val="1"/>
                    <c:pt idx="0">
                      <c:v>57.69%</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{4B4679E3-4EB9-47CD-9DEA-20F932A5CA68}</c15:txfldGUID>
                      <c15:f>'pt1 (PERCENTAGE)'!$E$18</c15:f>
                      <c15:dlblFieldTableCache>
                        <c:ptCount val="1"/>
                        <c:pt idx="0">
                          <c:v>57.69%</c:v>
                        </c:pt>
                      </c15:dlblFieldTableCache>
                    </c15:dlblFTEntry>
                  </c15:dlblFieldTable>
                  <c15:showDataLabelsRange val="0"/>
                </c:ext>
                <c:ext xmlns:c16="http://schemas.microsoft.com/office/drawing/2014/chart" uri="{C3380CC4-5D6E-409C-BE32-E72D297353CC}">
                  <c16:uniqueId val="{00000028-4345-42AE-AE58-5A1155959C14}"/>
                </c:ext>
              </c:extLst>
            </c:dLbl>
            <c:dLbl>
              <c:idx val="1"/>
              <c:tx>
                <c:strRef>
                  <c:f>'pt1 (PERCENTAGE)'!$E$19</c:f>
                  <c:strCache>
                    <c:ptCount val="1"/>
                    <c:pt idx="0">
                      <c:v>17.00%</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{BEEC07CE-FFA7-430C-B5D3-AEAD08709B27}</c15:txfldGUID>
                      <c15:f>'pt1 (PERCENTAGE)'!$E$19</c15:f>
                      <c15:dlblFieldTableCache>
                        <c:ptCount val="1"/>
                        <c:pt idx="0">
                          <c:v>17.00%</c:v>
                        </c:pt>
                      </c15:dlblFieldTableCache>
                    </c15:dlblFTEntry>
                  </c15:dlblFieldTable>
                  <c15:showDataLabelsRange val="0"/>
                </c:ext>
                <c:ext xmlns:c16="http://schemas.microsoft.com/office/drawing/2014/chart" uri="{C3380CC4-5D6E-409C-BE32-E72D297353CC}">
                  <c16:uniqueId val="{0000002A-4345-42AE-AE58-5A1155959C14}"/>
                </c:ext>
              </c:extLst>
            </c:dLbl>
            <c:dLbl>
              <c:idx val="2"/>
              <c:tx>
                <c:strRef>
                  <c:f>'pt1 (PERCENTAGE)'!$E$20</c:f>
                  <c:strCache>
                    <c:ptCount val="1"/>
                    <c:pt idx="0">
                      <c:v>36.36%</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{315CAD0C-DD15-4239-8A03-E31814632EC2}</c15:txfldGUID>
                      <c15:f>'pt1 (PERCENTAGE)'!$E$20</c15:f>
                      <c15:dlblFieldTableCache>
                        <c:ptCount val="1"/>
                        <c:pt idx="0">
                          <c:v>36.36%</c:v>
                        </c:pt>
                      </c15:dlblFieldTableCache>
                    </c15:dlblFTEntry>
                  </c15:dlblFieldTable>
                  <c15:showDataLabelsRange val="0"/>
                </c:ext>
                <c:ext xmlns:c16="http://schemas.microsoft.com/office/drawing/2014/chart" uri="{C3380CC4-5D6E-409C-BE32-E72D297353CC}">
                  <c16:uniqueId val="{0000002C-4345-42AE-AE58-5A1155959C14}"/>
                </c:ext>
              </c:extLst>
            </c:dLbl>
            <c:dLbl>
              <c:idx val="4"/>
              <c:tx>
                <c:strRef>
                  <c:f>'pt1 (PERCENTAGE)'!$E$22</c:f>
                  <c:strCache>
                    <c:ptCount val="1"/>
                    <c:pt idx="0">
                      <c:v>77.14%</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{B1B32D95-27F2-4B08-9C6A-AA8D33839BEA}</c15:txfldGUID>
                      <c15:f>'pt1 (PERCENTAGE)'!$E$22</c15:f>
                      <c15:dlblFieldTableCache>
                        <c:ptCount val="1"/>
                        <c:pt idx="0">
                          <c:v>77.14%</c:v>
                        </c:pt>
                      </c15:dlblFieldTableCache>
                    </c15:dlblFTEntry>
                  </c15:dlblFieldTable>
                  <c15:showDataLabelsRange val="0"/>
                </c:ext>
                <c:ext xmlns:c16="http://schemas.microsoft.com/office/drawing/2014/chart" uri="{C3380CC4-5D6E-409C-BE32-E72D297353CC}">
                  <c16:uniqueId val="{0000002E-4345-42AE-AE58-5A1155959C14}"/>
                </c:ext>
              </c:extLst>
            </c:dLbl>
            <c:dLbl>
              <c:idx val="5"/>
              <c:tx>
                <c:strRef>
                  <c:f>'pt1 (PERCENTAGE)'!$E$23</c:f>
                  <c:strCache>
                    <c:ptCount val="1"/>
                    <c:pt idx="0">
                      <c:v>46.82%</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{5EBEE042-82FF-4B16-AF86-7E987DC248A5}</c15:txfldGUID>
                      <c15:f>'pt1 (PERCENTAGE)'!$E$23</c15:f>
                      <c15:dlblFieldTableCache>
                        <c:ptCount val="1"/>
                        <c:pt idx="0">
                          <c:v>46.82%</c:v>
                        </c:pt>
                      </c15:dlblFieldTableCache>
                    </c15:dlblFTEntry>
                  </c15:dlblFieldTable>
                  <c15:showDataLabelsRange val="0"/>
                </c:ext>
                <c:ext xmlns:c16="http://schemas.microsoft.com/office/drawing/2014/chart" uri="{C3380CC4-5D6E-409C-BE32-E72D297353CC}">
                  <c16:uniqueId val="{00000030-4345-42AE-AE58-5A1155959C14}"/>
                </c:ext>
              </c:extLst>
            </c:dLbl>
            <c:dLbl>
              <c:idx val="6"/>
              <c:tx>
                <c:strRef>
                  <c:f>'pt1 (PERCENTAGE)'!$E$24</c:f>
                  <c:strCache>
                    <c:ptCount val="1"/>
                    <c:pt idx="0">
                      <c:v>33.76%</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{8813BA94-3E57-4ADA-B2BB-F57B0F5A917F}</c15:txfldGUID>
                      <c15:f>'pt1 (PERCENTAGE)'!$E$24</c15:f>
                      <c15:dlblFieldTableCache>
                        <c:ptCount val="1"/>
                        <c:pt idx="0">
                          <c:v>33.76%</c:v>
                        </c:pt>
                      </c15:dlblFieldTableCache>
                    </c15:dlblFTEntry>
                  </c15:dlblFieldTable>
                  <c15:showDataLabelsRange val="0"/>
                </c:ext>
                <c:ext xmlns:c16="http://schemas.microsoft.com/office/drawing/2014/chart" uri="{C3380CC4-5D6E-409C-BE32-E72D297353CC}">
                  <c16:uniqueId val="{00000032-4345-42AE-AE58-5A1155959C14}"/>
                </c:ext>
              </c:extLst>
            </c:dLbl>
            <c:dLbl>
              <c:idx val="7"/>
              <c:tx>
                <c:strRef>
                  <c:f>'pt1 (PERCENTAGE)'!$E$25</c:f>
                  <c:strCache>
                    <c:ptCount val="1"/>
                    <c:pt idx="0">
                      <c:v>34.83%</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{DFB2F2CA-738A-4943-9DDB-9CEEDD1AB4F3}</c15:txfldGUID>
                      <c15:f>'pt1 (PERCENTAGE)'!$E$25</c15:f>
                      <c15:dlblFieldTableCache>
                        <c:ptCount val="1"/>
                        <c:pt idx="0">
                          <c:v>34.83%</c:v>
                        </c:pt>
                      </c15:dlblFieldTableCache>
                    </c15:dlblFTEntry>
                  </c15:dlblFieldTable>
                  <c15:showDataLabelsRange val="0"/>
                </c:ext>
                <c:ext xmlns:c16="http://schemas.microsoft.com/office/drawing/2014/chart" uri="{C3380CC4-5D6E-409C-BE32-E72D297353CC}">
                  <c16:uniqueId val="{00000034-4345-42AE-AE58-5A1155959C14}"/>
                </c:ext>
              </c:extLst>
            </c:dLbl>
            <c:dLbl>
              <c:idx val="8"/>
              <c:tx>
                <c:strRef>
                  <c:f>'pt1 (PERCENTAGE)'!$E$26</c:f>
                  <c:strCache>
                    <c:ptCount val="1"/>
                    <c:pt idx="0">
                      <c:v>60.23%</c:v>
                    </c:pt>
                  </c:strCache>
                </c:strRef>
              </c:tx>
              <c:dLblPos val="ctr"/>
              <c:showLegendKey val="0"/>
              <c:showVal val="1"/>
              <c:showCatName val="0"/>
              <c:showSerName val="0"/>
              <c:showPercent val="0"/>
              <c:showBubbleSize val="0"/>
              <c:extLst>
                <c:ext xmlns:c15="http://schemas.microsoft.com/office/drawing/2012/chart" uri="{CE6537A1-D6FC-4f65-9D91-7224C49458BB}">
                  <c15:dlblFieldTable>
                    <c15:dlblFTEntry>
                      <c15:txfldGUID>{2A14718E-C522-450D-9B6D-57A174628478}</c15:txfldGUID>
                      <c15:f>'pt1 (PERCENTAGE)'!$E$26</c15:f>
                      <c15:dlblFieldTableCache>
                        <c:ptCount val="1"/>
                        <c:pt idx="0">
                          <c:v>60.23%</c:v>
                        </c:pt>
                      </c15:dlblFieldTableCache>
                    </c15:dlblFTEntry>
                  </c15:dlblFieldTable>
                  <c15:showDataLabelsRange val="0"/>
                </c:ext>
                <c:ext xmlns:c16="http://schemas.microsoft.com/office/drawing/2014/chart" uri="{C3380CC4-5D6E-409C-BE32-E72D297353CC}">
                  <c16:uniqueId val="{00000036-4345-42AE-AE58-5A1155959C14}"/>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'pt1 (PERCENTAGE)'!$B$18</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'pt1 (PERCENTAGE)'!$B$18</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37-4345-42AE-AE58-5A1155959C14}"/>
            </c:ext>
          </c:extLst>
        </c:ser>
        <c:dLbls>
          <c:dLblPos val="ctr"/>
          <c:showLegendKey val="0"/>
          <c:showVal val="1"/>
          <c:showCatName val="0"/>
          <c:showSerName val="0"/>
          <c:showPercent val="0"/>
          <c:showBubbleSize val="0"/>
        </c:dLbls>
        <c:gapWidth val="79"/>
        <c:overlap val="100"/>
        <c:axId val="551543152"/>
        <c:axId val="551550512"/>
      </c:barChart>
      <c:catAx>
        <c:axId val="551543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550512"/>
        <c:crosses val="autoZero"/>
        <c:auto val="1"/>
        <c:lblAlgn val="ctr"/>
        <c:lblOffset val="100"/>
        <c:noMultiLvlLbl val="0"/>
      </c:catAx>
      <c:valAx>
        <c:axId val="55155051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5431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[StarterBook_Solved_ML.xlsx]pivot 2 (percentage)!PivotTable3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baseline="0"/>
              <a:t>Outcome by Sub-Category for Total Kickstarter Projects </a:t>
            </a:r>
            <a:endParaRPr lang="en-US" b="1"/>
          </a:p>
        </c:rich>
      </c:tx>
      <c:layout>
        <c:manualLayout>
          <c:xMode val="edge"/>
          <c:yMode val="edge"/>
          <c:x val="0.37821888349606803"/>
          <c:y val="0.10200102529893387"/>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a:sp3d/>
        </c:spPr>
        <c:marker>
          <c:symbol val="none"/>
        </c:marker>
      </c:pivotFmt>
      <c:pivotFmt>
        <c:idx val="9"/>
        <c:spPr>
          <a:solidFill>
            <a:schemeClr val="accent1"/>
          </a:solidFill>
          <a:ln>
            <a:noFill/>
          </a:ln>
          <a:effectLst/>
          <a:sp3d/>
        </c:spPr>
        <c:marker>
          <c:symbol val="none"/>
        </c:marker>
      </c:pivotFmt>
      <c:pivotFmt>
        <c:idx val="10"/>
        <c:spPr>
          <a:solidFill>
            <a:schemeClr val="accent1"/>
          </a:solidFill>
          <a:ln>
            <a:noFill/>
          </a:ln>
          <a:effectLst/>
          <a:sp3d/>
        </c:spPr>
        <c:marker>
          <c:symbol val="none"/>
        </c:marker>
      </c:pivotFmt>
      <c:pivotFmt>
        <c:idx val="11"/>
        <c:spPr>
          <a:solidFill>
            <a:schemeClr val="accent1"/>
          </a:solidFill>
          <a:ln>
            <a:noFill/>
          </a:ln>
          <a:effectLst/>
          <a:sp3d/>
        </c:spPr>
        <c:marker>
          <c:symbol val="none"/>
        </c:marker>
      </c:pivotFmt>
      <c:pivotFmt>
        <c:idx val="12"/>
        <c:spPr>
          <a:solidFill>
            <a:schemeClr val="accent1"/>
          </a:solidFill>
          <a:ln>
            <a:noFill/>
          </a:ln>
          <a:effectLst/>
          <a:sp3d/>
        </c:spPr>
        <c:marker>
          <c:symbol val="none"/>
        </c:marker>
      </c:pivotFmt>
      <c:pivotFmt>
        <c:idx val="13"/>
        <c:spPr>
          <a:solidFill>
            <a:schemeClr val="accent1"/>
          </a:solidFill>
          <a:ln>
            <a:noFill/>
          </a:ln>
          <a:effectLst/>
          <a:sp3d/>
        </c:spPr>
        <c:marker>
          <c:symbol val="none"/>
        </c:marker>
      </c:pivotFmt>
      <c:pivotFmt>
        <c:idx val="14"/>
        <c:spPr>
          <a:solidFill>
            <a:schemeClr val="accent1"/>
          </a:solidFill>
          <a:ln>
            <a:noFill/>
          </a:ln>
          <a:effectLst/>
          <a:sp3d/>
        </c:spPr>
        <c:marker>
          <c:symbol val="none"/>
        </c:marker>
      </c:pivotFmt>
      <c:pivotFmt>
        <c:idx val="15"/>
        <c:spPr>
          <a:solidFill>
            <a:schemeClr val="accent1"/>
          </a:solidFill>
          <a:ln>
            <a:noFill/>
          </a:ln>
          <a:effectLst/>
          <a:sp3d/>
        </c:spPr>
        <c:marker>
          <c:symbol val="none"/>
        </c:marker>
      </c:pivotFmt>
      <c:pivotFmt>
        <c:idx val="16"/>
        <c:spPr>
          <a:solidFill>
            <a:schemeClr val="accent1"/>
          </a:solidFill>
          <a:ln>
            <a:noFill/>
          </a:ln>
          <a:effectLst/>
          <a:sp3d/>
        </c:spPr>
        <c:marker>
          <c:symbol val="none"/>
        </c:marker>
      </c:pivotFmt>
      <c:pivotFmt>
        <c:idx val="17"/>
        <c:spPr>
          <a:solidFill>
            <a:schemeClr val="accent1"/>
          </a:solidFill>
          <a:ln>
            <a:noFill/>
          </a:ln>
          <a:effectLst/>
          <a:sp3d/>
        </c:spPr>
        <c:marker>
          <c:symbol val="none"/>
        </c:marker>
      </c:pivotFmt>
      <c:pivotFmt>
        <c:idx val="18"/>
        <c:spPr>
          <a:solidFill>
            <a:schemeClr val="accent1"/>
          </a:solidFill>
          <a:ln>
            <a:noFill/>
          </a:ln>
          <a:effectLst/>
          <a:sp3d/>
        </c:spPr>
        <c:marker>
          <c:symbol val="none"/>
        </c:marker>
      </c:pivotFmt>
      <c:pivotFmt>
        <c:idx val="19"/>
        <c:spPr>
          <a:solidFill>
            <a:schemeClr val="accent1"/>
          </a:solidFill>
          <a:ln>
            <a:noFill/>
          </a:ln>
          <a:effectLst/>
          <a:sp3d/>
        </c:spPr>
        <c:marker>
          <c:symbol val="none"/>
        </c:marker>
      </c:pivotFmt>
    </c:pivotFmts>
    <c:view3D>
      <c:rotX val="15"/>
      <c:rotY val="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'pivot 2 (percentage)'!$B$4:$B$5</c:f>
              <c:strCache>
                <c:ptCount val="1"/>
                <c:pt idx="0">
                  <c:v>canceled</c:v>
                </c:pt>
              </c:strCache>
            </c:strRef>
          </c:tx>
          <c:spPr>
            <a:solidFill>
              <a:schemeClr val="accent1"/>
            </a:solidFill>
            <a:ln>
              <a:noFill/>
            </a:ln>
            <a:effectLst/>
            <a:sp3d/>
          </c:spPr>
          <c:invertIfNegative val="0"/>
          <c:cat>
            <c:strRef>
              <c:f>'pivot 2 (percentage)'!$A$6:$A$47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2 (percentage)'!$B$6:$B$47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74C9-49BC-91A1-21FC31AEFAE6}"/>
            </c:ext>
          </c:extLst>
        </c:ser>
        <c:ser>
          <c:idx val="1"/>
          <c:order val="1"/>
          <c:tx>
            <c:strRef>
              <c:f>'pivot 2 (percentage)'!$C$4:$C$5</c:f>
              <c:strCache>
                <c:ptCount val="1"/>
                <c:pt idx="0">
                  <c:v>failed</c:v>
                </c:pt>
              </c:strCache>
            </c:strRef>
          </c:tx>
          <c:spPr>
            <a:solidFill>
              <a:schemeClr val="accent2"/>
            </a:solidFill>
            <a:ln>
              <a:noFill/>
            </a:ln>
            <a:effectLst/>
            <a:sp3d/>
          </c:spPr>
          <c:invertIfNegative val="0"/>
          <c:cat>
            <c:strRef>
              <c:f>'pivot 2 (percentage)'!$A$6:$A$47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2 (percentage)'!$C$6:$C$47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74C9-49BC-91A1-21FC31AEFAE6}"/>
            </c:ext>
          </c:extLst>
        </c:ser>
        <c:ser>
          <c:idx val="2"/>
          <c:order val="2"/>
          <c:tx>
            <c:strRef>
              <c:f>'pivot 2 (percentage)'!$D$4:$D$5</c:f>
              <c:strCache>
                <c:ptCount val="1"/>
                <c:pt idx="0">
                  <c:v>live</c:v>
                </c:pt>
              </c:strCache>
            </c:strRef>
          </c:tx>
          <c:spPr>
            <a:solidFill>
              <a:schemeClr val="accent3"/>
            </a:solidFill>
            <a:ln>
              <a:noFill/>
            </a:ln>
            <a:effectLst/>
            <a:sp3d/>
          </c:spPr>
          <c:invertIfNegative val="0"/>
          <c:cat>
            <c:strRef>
              <c:f>'pivot 2 (percentage)'!$A$6:$A$47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2 (percentage)'!$D$6:$D$47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2-74C9-49BC-91A1-21FC31AEFAE6}"/>
            </c:ext>
          </c:extLst>
        </c:ser>
        <c:ser>
          <c:idx val="3"/>
          <c:order val="3"/>
          <c:tx>
            <c:strRef>
              <c:f>'pivot 2 (percentage)'!$E$4:$E$5</c:f>
              <c:strCache>
                <c:ptCount val="1"/>
                <c:pt idx="0">
                  <c:v>successful</c:v>
                </c:pt>
              </c:strCache>
            </c:strRef>
          </c:tx>
          <c:spPr>
            <a:solidFill>
              <a:schemeClr val="accent4"/>
            </a:solidFill>
            <a:ln>
              <a:noFill/>
            </a:ln>
            <a:effectLst/>
            <a:sp3d/>
          </c:spPr>
          <c:invertIfNegative val="0"/>
          <c:cat>
            <c:strRef>
              <c:f>'pivot 2 (percentage)'!$A$6:$A$47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 2 (percentage)'!$E$6:$E$47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4-74C9-49BC-91A1-21FC31AEFAE6}"/>
            </c:ext>
          </c:extLst>
        </c:ser>
        <c:dLbls>
          <c:showLegendKey val="0"/>
          <c:showVal val="0"/>
          <c:showCatName val="0"/>
          <c:showSerName val="0"/>
          <c:showPercent val="0"/>
          <c:showBubbleSize val="0"/>
        </c:dLbls>
        <c:gapWidth val="150"/>
        <c:shape val="box"/>
        <c:axId val="594521656"/>
        <c:axId val="594521336"/>
        <c:axId val="0"/>
      </c:bar3DChart>
      <c:catAx>
        <c:axId val="594521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521336"/>
        <c:crosses val="autoZero"/>
        <c:auto val="1"/>
        <c:lblAlgn val="ctr"/>
        <c:lblOffset val="100"/>
        <c:noMultiLvlLbl val="0"/>
      </c:catAx>
      <c:valAx>
        <c:axId val="594521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5216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'BONUS 1 (2)'!$A$2:$A$13</cx:f>
        <cx:lvl ptCount="12">
          <cx:pt idx="0">Less Than 1000</cx:pt>
          <cx:pt idx="1"> 1000 to 4999 </cx:pt>
          <cx:pt idx="2"> 5000 to 9999 </cx:pt>
          <cx:pt idx="3"> 10000 to 14999 </cx:pt>
          <cx:pt idx="4"> 15000 to 19999 </cx:pt>
          <cx:pt idx="5"> 20000 to 24999 </cx:pt>
          <cx:pt idx="6"> 25000 to 29999 </cx:pt>
          <cx:pt idx="7"> 30000 to 34999 </cx:pt>
          <cx:pt idx="8"> 35000 to 39999 </cx:pt>
          <cx:pt idx="9"> 40000 to 44999 </cx:pt>
          <cx:pt idx="10"> 45000 to 49999 </cx:pt>
          <cx:pt idx="11">Greater than or equal to 50000</cx:pt>
        </cx:lvl>
      </cx:strDim>
      <cx:numDim type="val">
        <cx:f>'BONUS 1 (2)'!$G$2:$G$13</cx:f>
        <cx:lvl ptCount="12" formatCode="0%">
          <cx:pt idx="0">0.24944812362030905</cx:pt>
          <cx:pt idx="1">0.29745042492917845</cx:pt>
          <cx:pt idx="2">0.39525139664804471</cx:pt>
          <cx:pt idx="3">0.40909090909090912</cx:pt>
          <cx:pt idx="4">0.44776119402985076</cx:pt>
          <cx:pt idx="5">0.48648648648648651</cx:pt>
          <cx:pt idx="6">0.46715328467153283</cx:pt>
          <cx:pt idx="7">0.45121951219512196</cx:pt>
          <cx:pt idx="8">0.40000000000000002</cx:pt>
          <cx:pt idx="9">0.37209302325581395</cx:pt>
          <cx:pt idx="10">0.52380952380952384</cx:pt>
          <cx:pt idx="11">0.58108108108108103</cx:pt>
        </cx:lvl>
      </cx:numDim>
    </cx:data>
  </cx:chartData>
  <cx:chart>
    <cx:title pos="t" align="ctr" overlay="0">
      <cx:tx>
        <cx:txData>
          <cx:v>Percent of Campaigns which failed per $ Goal Category</cx:v>
        </cx:txData>
      </cx:tx>
      <cx:txPr>
        <a:bodyPr spcFirstLastPara="1" vertOverflow="ellipsis" horzOverflow="overflow" wrap="square" lIns="0" tIns="0" rIns="0" bIns="0" anchor="ctr" anchorCtr="1"/>
        <a:lstStyle/>
        <a:p>
          <a:pPr algn="ctr" rtl="0">
            <a:defRPr/>
          </a:pPr>
          <a:r>
            <a:rPr lang="en-US" sz="1400" b="1" i="0" u="none" strike="noStrike" baseline="0">
              <a:solidFill>
                <a:sysClr val="windowText" lastClr="000000">
                  <a:lumMod val="65000"/>
                  <a:lumOff val="35000"/>
                </a:sysClr>
              </a:solidFill>
              <a:latin typeface="Calibri" panose="020F0502020204030204"/>
            </a:rPr>
            <a:t>Percent of Campaigns which failed per $ Goal Category</a:t>
          </a:r>
        </a:p>
      </cx:txPr>
    </cx:title>
    <cx:plotArea>
      <cx:plotAreaRegion>
        <cx:series layoutId="funnel" uniqueId="{918EA1AC-0470-4B36-85A2-B7DB766C7F8C}">
          <cx:tx>
            <cx:txData>
              <cx:f>'BONUS 1 (2)'!$G$1</cx:f>
              <cx:v>percentage Failed</cx:v>
            </cx:txData>
          </cx:tx>
          <cx:spPr>
            <a:solidFill>
              <a:srgbClr val="92D050"/>
            </a:solidFill>
          </cx:spPr>
          <cx:dataLabels>
            <cx:visibility seriesName="0" categoryName="0" value="1"/>
          </cx:dataLabels>
          <cx:dataId val="0"/>
        </cx:series>
      </cx:plotAreaRegion>
      <cx:axis id="0">
        <cx:catScaling gapWidth="0.0599999987"/>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mikel</dc:creator>
  <cp:keywords/>
  <dc:description/>
  <cp:lastModifiedBy> </cp:lastModifiedBy>
  <cp:revision>22</cp:revision>
  <dcterms:created xsi:type="dcterms:W3CDTF">2019-02-16T12:15:00Z</dcterms:created>
  <dcterms:modified xsi:type="dcterms:W3CDTF">2019-02-17T02:59:00Z</dcterms:modified>
</cp:coreProperties>
</file>