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left"/>
      </w:pPr>
      <w:r>
        <w:rPr>
          <w:rFonts w:ascii="Arial" w:cs="Arial" w:eastAsia="Arial" w:hAnsi="Arial"/>
          <w:b/>
          <w:bCs/>
          <w:color w:val="0F172A"/>
          <w:sz w:val="26"/>
          <w:szCs w:val="26"/>
        </w:rPr>
        <w:t xml:space="preserve">STATEMENT OF WORK</w:t>
      </w:r>
    </w:p>
    <w:p>
      <w:pPr>
        <w:spacing w:after="40" w:before="0"/>
        <w:jc w:val="left"/>
      </w:pPr>
      <w:r>
        <w:rPr>
          <w:rFonts w:ascii="Arial" w:cs="Arial" w:eastAsia="Arial" w:hAnsi="Arial"/>
          <w:b/>
          <w:bCs/>
          <w:color w:val="0F766E"/>
          <w:sz w:val="20"/>
          <w:szCs w:val="20"/>
        </w:rPr>
        <w:t xml:space="preserve">Design Partner Pilot — Total Rewards Accelerator</w:t>
      </w:r>
    </w:p>
    <w:p>
      <w:pPr>
        <w:spacing w:after="100" w:before="0"/>
        <w:jc w:val="left"/>
      </w:pPr>
      <w:r>
        <w:rPr>
          <w:rFonts w:ascii="Arial" w:cs="Arial" w:eastAsia="Arial" w:hAnsi="Arial"/>
          <w:b w:val="false"/>
          <w:bCs w:val="false"/>
          <w:color w:val="64748B"/>
          <w:sz w:val="14"/>
          <w:szCs w:val="14"/>
        </w:rPr>
        <w:t xml:space="preserve">Mikéz Comp Engineering Toolkit (v0.3): Market Data Cleaner · Placement Engine (YOE + Education) · Pay Equity Auditor · Flight Risk · Merit Remediation · Candidate Tracker · Candidate Closer</w:t>
      </w:r>
    </w:p>
    <w:p>
      <w:pPr>
        <w:pBdr>
          <w:bottom w:val="single" w:color="0F766E" w:sz="12" w:space="4"/>
        </w:pBdr>
        <w:spacing w:after="70" w:before="140"/>
      </w:pPr>
      <w:r>
        <w:rPr>
          <w:rFonts w:ascii="Arial" w:cs="Arial" w:eastAsia="Arial" w:hAnsi="Arial"/>
          <w:b/>
          <w:bCs/>
          <w:color w:val="0F766E"/>
          <w:sz w:val="21"/>
          <w:szCs w:val="21"/>
        </w:rPr>
        <w:t xml:space="preserve">1. Parties &amp; effective date</w:t>
      </w:r>
    </w:p>
    <w:tbl>
      <w:tblPr>
        <w:tblW w:type="dxa" w:w="10880"/>
        <w:tblBorders>
          <w:top w:val="single" w:color="auto" w:sz="4"/>
          <w:left w:val="single" w:color="auto" w:sz="4"/>
          <w:bottom w:val="single" w:color="auto" w:sz="4"/>
          <w:right w:val="single" w:color="auto" w:sz="4"/>
          <w:insideH w:val="single" w:color="auto" w:sz="4"/>
          <w:insideV w:val="single" w:color="auto" w:sz="4"/>
        </w:tblBorders>
      </w:tblPr>
      <w:tblGrid>
        <w:gridCol w:w="2720"/>
        <w:gridCol w:w="2720"/>
        <w:gridCol w:w="2720"/>
        <w:gridCol w:w="2720"/>
      </w:tblGrid>
      <w:tr>
        <w:tc>
          <w:tcPr>
            <w:tcW w:type="dxa" w:w="272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jc w:val="left"/>
            </w:pPr>
            <w:r>
              <w:rPr>
                <w:rFonts w:ascii="Arial" w:cs="Arial" w:eastAsia="Arial" w:hAnsi="Arial"/>
                <w:b/>
                <w:bCs/>
                <w:color w:val="0F172A"/>
                <w:sz w:val="15"/>
                <w:szCs w:val="15"/>
              </w:rPr>
              <w:t xml:space="preserve">Provider</w:t>
            </w:r>
          </w:p>
        </w:tc>
        <w:tc>
          <w:tcPr>
            <w:tcW w:type="dxa" w:w="272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jc w:val="left"/>
            </w:pPr>
            <w:r>
              <w:rPr>
                <w:rFonts w:ascii="Arial" w:cs="Arial" w:eastAsia="Arial" w:hAnsi="Arial"/>
                <w:b/>
                <w:bCs/>
                <w:color w:val="0F172A"/>
                <w:sz w:val="15"/>
                <w:szCs w:val="15"/>
              </w:rPr>
              <w:t xml:space="preserve">Client</w:t>
            </w:r>
          </w:p>
        </w:tc>
        <w:tc>
          <w:tcPr>
            <w:tcW w:type="dxa" w:w="272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jc w:val="left"/>
            </w:pPr>
            <w:r>
              <w:rPr>
                <w:rFonts w:ascii="Arial" w:cs="Arial" w:eastAsia="Arial" w:hAnsi="Arial"/>
                <w:b/>
                <w:bCs/>
                <w:color w:val="0F172A"/>
                <w:sz w:val="15"/>
                <w:szCs w:val="15"/>
              </w:rPr>
              <w:t xml:space="preserve">Effective date</w:t>
            </w:r>
          </w:p>
        </w:tc>
        <w:tc>
          <w:tcPr>
            <w:tcW w:type="dxa" w:w="272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jc w:val="left"/>
            </w:pPr>
            <w:r>
              <w:rPr>
                <w:rFonts w:ascii="Arial" w:cs="Arial" w:eastAsia="Arial" w:hAnsi="Arial"/>
                <w:b/>
                <w:bCs/>
                <w:color w:val="0F172A"/>
                <w:sz w:val="15"/>
                <w:szCs w:val="15"/>
              </w:rPr>
              <w:t xml:space="preserve">Pilot end date</w:t>
            </w:r>
          </w:p>
        </w:tc>
      </w:tr>
      <w:tr>
        <w:tc>
          <w:tcPr>
            <w:tcW w:type="dxa" w:w="2720"/>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Arial" w:cs="Arial" w:eastAsia="Arial" w:hAnsi="Arial"/>
                <w:b w:val="false"/>
                <w:bCs w:val="false"/>
                <w:color w:val="0F172A"/>
                <w:sz w:val="14"/>
                <w:szCs w:val="14"/>
              </w:rPr>
              <w:t xml:space="preserve">Michael Lopez / Mikez L.L. HR &amp; Lean Global Solutions (or successor entity) — "Provider"</w:t>
            </w:r>
          </w:p>
        </w:tc>
        <w:tc>
          <w:tcPr>
            <w:tcW w:type="dxa" w:w="2720"/>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Arial" w:cs="Arial" w:eastAsia="Arial" w:hAnsi="Arial"/>
                <w:b w:val="false"/>
                <w:bCs w:val="false"/>
                <w:color w:val="0F172A"/>
                <w:sz w:val="14"/>
                <w:szCs w:val="14"/>
              </w:rPr>
              <w:t xml:space="preserve">[CLIENT LEGAL NAME] — "Client"</w:t>
            </w:r>
          </w:p>
        </w:tc>
        <w:tc>
          <w:tcPr>
            <w:tcW w:type="dxa" w:w="2720"/>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Arial" w:cs="Arial" w:eastAsia="Arial" w:hAnsi="Arial"/>
                <w:b w:val="false"/>
                <w:bCs w:val="false"/>
                <w:color w:val="0F172A"/>
                <w:sz w:val="14"/>
                <w:szCs w:val="14"/>
              </w:rPr>
              <w:t xml:space="preserve">[MM/DD/YYYY]</w:t>
            </w:r>
          </w:p>
        </w:tc>
        <w:tc>
          <w:tcPr>
            <w:tcW w:type="dxa" w:w="2720"/>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Arial" w:cs="Arial" w:eastAsia="Arial" w:hAnsi="Arial"/>
                <w:b w:val="false"/>
                <w:bCs w:val="false"/>
                <w:color w:val="0F172A"/>
                <w:sz w:val="14"/>
                <w:szCs w:val="14"/>
              </w:rPr>
              <w:t xml:space="preserve">[MM/DD/YYYY] (4–6 weeks from kickoff)</w:t>
            </w:r>
          </w:p>
        </w:tc>
      </w:tr>
    </w:tbl>
    <w:p>
      <w:pPr>
        <w:spacing w:after="30" w:before="60"/>
        <w:jc w:val="left"/>
      </w:pPr>
      <w:r>
        <w:rPr>
          <w:rFonts w:ascii="Arial" w:cs="Arial" w:eastAsia="Arial" w:hAnsi="Arial"/>
          <w:b w:val="false"/>
          <w:bCs w:val="false"/>
          <w:color w:val="475569"/>
          <w:sz w:val="14"/>
          <w:szCs w:val="14"/>
        </w:rPr>
        <w:t xml:space="preserve">Primary contacts: Provider — mikez.lopez15@gmail.com · Client — [Name, email, title]</w:t>
      </w:r>
    </w:p>
    <w:p>
      <w:pPr>
        <w:pBdr>
          <w:bottom w:val="single" w:color="0F766E" w:sz="12" w:space="4"/>
        </w:pBdr>
        <w:spacing w:after="70" w:before="140"/>
      </w:pPr>
      <w:r>
        <w:rPr>
          <w:rFonts w:ascii="Arial" w:cs="Arial" w:eastAsia="Arial" w:hAnsi="Arial"/>
          <w:b/>
          <w:bCs/>
          <w:color w:val="0F766E"/>
          <w:sz w:val="21"/>
          <w:szCs w:val="21"/>
        </w:rPr>
        <w:t xml:space="preserve">2. Purpose</w:t>
      </w:r>
    </w:p>
    <w:p>
      <w:pPr>
        <w:spacing w:after="50" w:before="0"/>
        <w:jc w:val="left"/>
      </w:pPr>
      <w:r>
        <w:rPr>
          <w:rFonts w:ascii="Arial" w:cs="Arial" w:eastAsia="Arial" w:hAnsi="Arial"/>
          <w:b w:val="false"/>
          <w:bCs w:val="false"/>
          <w:color w:val="0F172A"/>
          <w:sz w:val="16"/>
          <w:szCs w:val="16"/>
        </w:rPr>
        <w:t xml:space="preserve">Provider will deliver a fixed-scope Design Partner Pilot of the Total Rewards Accelerator ("Accelerator") with hands-on Comp Engineering advisory. The pilot applies a shared Placement Engine (wage-calculator mindset: years of experience + education → expected position-in-range) alongside classic market mid-compa analysis. Goals: clean HRIS-style data; surface equity and experience-adjusted placement gaps; model merit pool remediation (mid and/or expected placement); assess flight risk with explainable drivers; and (optional) support offer total-wealth messaging. This is early access / design-partner software, not general-availability multi-tenant SaaS.</w:t>
      </w:r>
    </w:p>
    <w:p>
      <w:pPr>
        <w:pBdr>
          <w:bottom w:val="single" w:color="0F766E" w:sz="12" w:space="4"/>
        </w:pBdr>
        <w:spacing w:after="70" w:before="140"/>
      </w:pPr>
      <w:r>
        <w:rPr>
          <w:rFonts w:ascii="Arial" w:cs="Arial" w:eastAsia="Arial" w:hAnsi="Arial"/>
          <w:b/>
          <w:bCs/>
          <w:color w:val="0F766E"/>
          <w:sz w:val="21"/>
          <w:szCs w:val="21"/>
        </w:rPr>
        <w:t xml:space="preserve">3. Product modules in scope</w:t>
      </w:r>
    </w:p>
    <w:p>
      <w:pPr>
        <w:pStyle w:val="ListParagraph"/>
        <w:numPr>
          <w:ilvl w:val="0"/>
          <w:numId w:val="2"/>
        </w:numPr>
        <w:spacing w:after="36"/>
      </w:pPr>
      <w:r>
        <w:rPr>
          <w:rFonts w:ascii="Arial" w:cs="Arial" w:eastAsia="Arial" w:hAnsi="Arial"/>
          <w:color w:val="1E293B"/>
          <w:sz w:val="16"/>
          <w:szCs w:val="16"/>
        </w:rPr>
        <w:t xml:space="preserve">Market Data Cleaner — messy HRIS exports, column mapping, money/dates/ratings, YOE &amp; education fields.</w:t>
      </w:r>
    </w:p>
    <w:p>
      <w:pPr>
        <w:pStyle w:val="ListParagraph"/>
        <w:numPr>
          <w:ilvl w:val="0"/>
          <w:numId w:val="2"/>
        </w:numPr>
        <w:spacing w:after="36"/>
      </w:pPr>
      <w:r>
        <w:rPr>
          <w:rFonts w:ascii="Arial" w:cs="Arial" w:eastAsia="Arial" w:hAnsi="Arial"/>
          <w:color w:val="1E293B"/>
          <w:sz w:val="16"/>
          <w:szCs w:val="16"/>
        </w:rPr>
        <w:t xml:space="preserve">Placement Engine — expected rate / expected compa from experience + education credits vs range min–mid–max; keeps classic actual compa (pay ÷ mid).</w:t>
      </w:r>
    </w:p>
    <w:p>
      <w:pPr>
        <w:pStyle w:val="ListParagraph"/>
        <w:numPr>
          <w:ilvl w:val="0"/>
          <w:numId w:val="2"/>
        </w:numPr>
        <w:spacing w:after="36"/>
      </w:pPr>
      <w:r>
        <w:rPr>
          <w:rFonts w:ascii="Arial" w:cs="Arial" w:eastAsia="Arial" w:hAnsi="Arial"/>
          <w:color w:val="1E293B"/>
          <w:sz w:val="16"/>
          <w:szCs w:val="16"/>
        </w:rPr>
        <w:t xml:space="preserve">Pay Equity Auditor — mid-compa heatmap, under/over flags, top raise targets, top placement gaps.</w:t>
      </w:r>
    </w:p>
    <w:p>
      <w:pPr>
        <w:pStyle w:val="ListParagraph"/>
        <w:numPr>
          <w:ilvl w:val="0"/>
          <w:numId w:val="2"/>
        </w:numPr>
        <w:spacing w:after="36"/>
      </w:pPr>
      <w:r>
        <w:rPr>
          <w:rFonts w:ascii="Arial" w:cs="Arial" w:eastAsia="Arial" w:hAnsi="Arial"/>
          <w:color w:val="1E293B"/>
          <w:sz w:val="16"/>
          <w:szCs w:val="16"/>
        </w:rPr>
        <w:t xml:space="preserve">Flight Risk — rules-based 0–100 scores with drivers (including gap below expected placement).</w:t>
      </w:r>
    </w:p>
    <w:p>
      <w:pPr>
        <w:pStyle w:val="ListParagraph"/>
        <w:numPr>
          <w:ilvl w:val="0"/>
          <w:numId w:val="2"/>
        </w:numPr>
        <w:spacing w:after="36"/>
      </w:pPr>
      <w:r>
        <w:rPr>
          <w:rFonts w:ascii="Arial" w:cs="Arial" w:eastAsia="Arial" w:hAnsi="Arial"/>
          <w:color w:val="1E293B"/>
          <w:sz w:val="16"/>
          <w:szCs w:val="16"/>
        </w:rPr>
        <w:t xml:space="preserve">Merit / Remediation sandbox — fund toward market mid, expected placement, or max of both.</w:t>
      </w:r>
    </w:p>
    <w:p>
      <w:pPr>
        <w:pStyle w:val="ListParagraph"/>
        <w:numPr>
          <w:ilvl w:val="0"/>
          <w:numId w:val="2"/>
        </w:numPr>
        <w:spacing w:after="36"/>
      </w:pPr>
      <w:r>
        <w:rPr>
          <w:rFonts w:ascii="Arial" w:cs="Arial" w:eastAsia="Arial" w:hAnsi="Arial"/>
          <w:color w:val="1E293B"/>
          <w:sz w:val="16"/>
          <w:szCs w:val="16"/>
        </w:rPr>
        <w:t xml:space="preserve">Candidate Tracker + Candidate Closer — pipeline stages; 4-year total-wealth projection + PDF; optional recommended base from placement.</w:t>
      </w:r>
    </w:p>
    <w:p>
      <w:pPr>
        <w:pBdr>
          <w:bottom w:val="single" w:color="0F766E" w:sz="12" w:space="4"/>
        </w:pBdr>
        <w:spacing w:after="70" w:before="140"/>
      </w:pPr>
      <w:r>
        <w:rPr>
          <w:rFonts w:ascii="Arial" w:cs="Arial" w:eastAsia="Arial" w:hAnsi="Arial"/>
          <w:b/>
          <w:bCs/>
          <w:color w:val="0F766E"/>
          <w:sz w:val="21"/>
          <w:szCs w:val="21"/>
        </w:rPr>
        <w:t xml:space="preserve">4. Scope of services (included)</w:t>
      </w:r>
    </w:p>
    <w:p>
      <w:pPr>
        <w:pStyle w:val="ListParagraph"/>
        <w:numPr>
          <w:ilvl w:val="0"/>
          <w:numId w:val="3"/>
        </w:numPr>
        <w:spacing w:after="36"/>
      </w:pPr>
      <w:r>
        <w:rPr>
          <w:rFonts w:ascii="Arial" w:cs="Arial" w:eastAsia="Arial" w:hAnsi="Arial"/>
          <w:color w:val="1E293B"/>
          <w:sz w:val="16"/>
          <w:szCs w:val="16"/>
        </w:rPr>
        <w:t xml:space="preserve">Kickoff (up to 60 minutes): goals, success metrics, data approach, policy assumptions (years-to-mid, education credits).</w:t>
      </w:r>
    </w:p>
    <w:p>
      <w:pPr>
        <w:pStyle w:val="ListParagraph"/>
        <w:numPr>
          <w:ilvl w:val="0"/>
          <w:numId w:val="3"/>
        </w:numPr>
        <w:spacing w:after="36"/>
      </w:pPr>
      <w:r>
        <w:rPr>
          <w:rFonts w:ascii="Arial" w:cs="Arial" w:eastAsia="Arial" w:hAnsi="Arial"/>
          <w:color w:val="1E293B"/>
          <w:sz w:val="16"/>
          <w:szCs w:val="16"/>
        </w:rPr>
        <w:t xml:space="preserve">Scrubbed-data guidance; Cleaner run on Client-approved file or approved sample (includes YOE/education mapping where present).</w:t>
      </w:r>
    </w:p>
    <w:p>
      <w:pPr>
        <w:pStyle w:val="ListParagraph"/>
        <w:numPr>
          <w:ilvl w:val="0"/>
          <w:numId w:val="3"/>
        </w:numPr>
        <w:spacing w:after="36"/>
      </w:pPr>
      <w:r>
        <w:rPr>
          <w:rFonts w:ascii="Arial" w:cs="Arial" w:eastAsia="Arial" w:hAnsi="Arial"/>
          <w:color w:val="1E293B"/>
          <w:sz w:val="16"/>
          <w:szCs w:val="16"/>
        </w:rPr>
        <w:t xml:space="preserve">Dual-lens readout: (a) market mid-compa / gap-to-parity; (b) expected placement / placement gap from YOE + education.</w:t>
      </w:r>
    </w:p>
    <w:p>
      <w:pPr>
        <w:pStyle w:val="ListParagraph"/>
        <w:numPr>
          <w:ilvl w:val="0"/>
          <w:numId w:val="3"/>
        </w:numPr>
        <w:spacing w:after="36"/>
      </w:pPr>
      <w:r>
        <w:rPr>
          <w:rFonts w:ascii="Arial" w:cs="Arial" w:eastAsia="Arial" w:hAnsi="Arial"/>
          <w:color w:val="1E293B"/>
          <w:sz w:val="16"/>
          <w:szCs w:val="16"/>
        </w:rPr>
        <w:t xml:space="preserve">Flight-risk overview with transparent drivers (not legal, clinical, or guaranteed attrition prediction).</w:t>
      </w:r>
    </w:p>
    <w:p>
      <w:pPr>
        <w:pStyle w:val="ListParagraph"/>
        <w:numPr>
          <w:ilvl w:val="0"/>
          <w:numId w:val="3"/>
        </w:numPr>
        <w:spacing w:after="36"/>
      </w:pPr>
      <w:r>
        <w:rPr>
          <w:rFonts w:ascii="Arial" w:cs="Arial" w:eastAsia="Arial" w:hAnsi="Arial"/>
          <w:color w:val="1E293B"/>
          <w:sz w:val="16"/>
          <w:szCs w:val="16"/>
        </w:rPr>
        <w:t xml:space="preserve">Merit sandbox: at least one primary pool scenario + one alternate (Client sets pool $ and target mode).</w:t>
      </w:r>
    </w:p>
    <w:p>
      <w:pPr>
        <w:pStyle w:val="ListParagraph"/>
        <w:numPr>
          <w:ilvl w:val="0"/>
          <w:numId w:val="3"/>
        </w:numPr>
        <w:spacing w:after="36"/>
      </w:pPr>
      <w:r>
        <w:rPr>
          <w:rFonts w:ascii="Arial" w:cs="Arial" w:eastAsia="Arial" w:hAnsi="Arial"/>
          <w:color w:val="1E293B"/>
          <w:sz w:val="16"/>
          <w:szCs w:val="16"/>
        </w:rPr>
        <w:t xml:space="preserve">Optional: Candidate Closer walkthrough with placement recommendation and sample total-wealth PDF.</w:t>
      </w:r>
    </w:p>
    <w:p>
      <w:pPr>
        <w:pStyle w:val="ListParagraph"/>
        <w:numPr>
          <w:ilvl w:val="0"/>
          <w:numId w:val="3"/>
        </w:numPr>
        <w:spacing w:after="36"/>
      </w:pPr>
      <w:r>
        <w:rPr>
          <w:rFonts w:ascii="Arial" w:cs="Arial" w:eastAsia="Arial" w:hAnsi="Arial"/>
          <w:color w:val="1E293B"/>
          <w:sz w:val="16"/>
          <w:szCs w:val="16"/>
        </w:rPr>
        <w:t xml:space="preserve">Written summary (~2–4 pages): findings, illustrative $ impact, recommended next steps.</w:t>
      </w:r>
    </w:p>
    <w:p>
      <w:pPr>
        <w:pStyle w:val="ListParagraph"/>
        <w:numPr>
          <w:ilvl w:val="0"/>
          <w:numId w:val="3"/>
        </w:numPr>
        <w:spacing w:after="36"/>
      </w:pPr>
      <w:r>
        <w:rPr>
          <w:rFonts w:ascii="Arial" w:cs="Arial" w:eastAsia="Arial" w:hAnsi="Arial"/>
          <w:color w:val="1E293B"/>
          <w:sz w:val="16"/>
          <w:szCs w:val="16"/>
        </w:rPr>
        <w:t xml:space="preserve">Two office-hour sessions (up to 45 minutes each) during the pilot term.</w:t>
      </w:r>
    </w:p>
    <w:p>
      <w:pPr>
        <w:pStyle w:val="ListParagraph"/>
        <w:numPr>
          <w:ilvl w:val="0"/>
          <w:numId w:val="3"/>
        </w:numPr>
        <w:spacing w:after="36"/>
      </w:pPr>
      <w:r>
        <w:rPr>
          <w:rFonts w:ascii="Arial" w:cs="Arial" w:eastAsia="Arial" w:hAnsi="Arial"/>
          <w:color w:val="1E293B"/>
          <w:sz w:val="16"/>
          <w:szCs w:val="16"/>
        </w:rPr>
        <w:t xml:space="preserve">Roadmap input: Client ranks top three feature requests (e.g., import custom Exp Key / education credit tables).</w:t>
      </w:r>
    </w:p>
    <w:p>
      <w:pPr>
        <w:pBdr>
          <w:bottom w:val="single" w:color="0F766E" w:sz="12" w:space="4"/>
        </w:pBdr>
        <w:spacing w:after="70" w:before="140"/>
      </w:pPr>
      <w:r>
        <w:rPr>
          <w:rFonts w:ascii="Arial" w:cs="Arial" w:eastAsia="Arial" w:hAnsi="Arial"/>
          <w:b/>
          <w:bCs/>
          <w:color w:val="0F766E"/>
          <w:sz w:val="21"/>
          <w:szCs w:val="21"/>
        </w:rPr>
        <w:t xml:space="preserve">5. Out of scope</w:t>
      </w:r>
    </w:p>
    <w:p>
      <w:pPr>
        <w:pStyle w:val="ListParagraph"/>
        <w:numPr>
          <w:ilvl w:val="0"/>
          <w:numId w:val="4"/>
        </w:numPr>
        <w:spacing w:after="36"/>
      </w:pPr>
      <w:r>
        <w:rPr>
          <w:rFonts w:ascii="Arial" w:cs="Arial" w:eastAsia="Arial" w:hAnsi="Arial"/>
          <w:color w:val="1E293B"/>
          <w:sz w:val="16"/>
          <w:szCs w:val="16"/>
        </w:rPr>
        <w:t xml:space="preserve">Full ownership of Client’s annual merit or budget process.</w:t>
      </w:r>
    </w:p>
    <w:p>
      <w:pPr>
        <w:pStyle w:val="ListParagraph"/>
        <w:numPr>
          <w:ilvl w:val="0"/>
          <w:numId w:val="4"/>
        </w:numPr>
        <w:spacing w:after="36"/>
      </w:pPr>
      <w:r>
        <w:rPr>
          <w:rFonts w:ascii="Arial" w:cs="Arial" w:eastAsia="Arial" w:hAnsi="Arial"/>
          <w:color w:val="1E293B"/>
          <w:sz w:val="16"/>
          <w:szCs w:val="16"/>
        </w:rPr>
        <w:t xml:space="preserve">Legal pay-equity certification, attorney opinion, or regulatory filing.</w:t>
      </w:r>
    </w:p>
    <w:p>
      <w:pPr>
        <w:pStyle w:val="ListParagraph"/>
        <w:numPr>
          <w:ilvl w:val="0"/>
          <w:numId w:val="4"/>
        </w:numPr>
        <w:spacing w:after="36"/>
      </w:pPr>
      <w:r>
        <w:rPr>
          <w:rFonts w:ascii="Arial" w:cs="Arial" w:eastAsia="Arial" w:hAnsi="Arial"/>
          <w:color w:val="1E293B"/>
          <w:sz w:val="16"/>
          <w:szCs w:val="16"/>
        </w:rPr>
        <w:t xml:space="preserve">Production HRIS integration, SSO, or enterprise security certification (e.g., SOC 2).</w:t>
      </w:r>
    </w:p>
    <w:p>
      <w:pPr>
        <w:pStyle w:val="ListParagraph"/>
        <w:numPr>
          <w:ilvl w:val="0"/>
          <w:numId w:val="4"/>
        </w:numPr>
        <w:spacing w:after="36"/>
      </w:pPr>
      <w:r>
        <w:rPr>
          <w:rFonts w:ascii="Arial" w:cs="Arial" w:eastAsia="Arial" w:hAnsi="Arial"/>
          <w:color w:val="1E293B"/>
          <w:sz w:val="16"/>
          <w:szCs w:val="16"/>
        </w:rPr>
        <w:t xml:space="preserve">Unlimited enterprise seats or multi-entity programs beyond agreed scope.</w:t>
      </w:r>
    </w:p>
    <w:p>
      <w:pPr>
        <w:pStyle w:val="ListParagraph"/>
        <w:numPr>
          <w:ilvl w:val="0"/>
          <w:numId w:val="4"/>
        </w:numPr>
        <w:spacing w:after="36"/>
      </w:pPr>
      <w:r>
        <w:rPr>
          <w:rFonts w:ascii="Arial" w:cs="Arial" w:eastAsia="Arial" w:hAnsi="Arial"/>
          <w:color w:val="1E293B"/>
          <w:sz w:val="16"/>
          <w:szCs w:val="16"/>
        </w:rPr>
        <w:t xml:space="preserve">Payroll write-back or permanent hosting of Client production databases.</w:t>
      </w:r>
    </w:p>
    <w:p>
      <w:pPr>
        <w:pStyle w:val="ListParagraph"/>
        <w:numPr>
          <w:ilvl w:val="0"/>
          <w:numId w:val="4"/>
        </w:numPr>
        <w:spacing w:after="36"/>
      </w:pPr>
      <w:r>
        <w:rPr>
          <w:rFonts w:ascii="Arial" w:cs="Arial" w:eastAsia="Arial" w:hAnsi="Arial"/>
          <w:color w:val="1E293B"/>
          <w:sz w:val="16"/>
          <w:szCs w:val="16"/>
        </w:rPr>
        <w:t xml:space="preserve">Custom ML flight-risk models trained on Client data (rules-based model only unless separately scoped).</w:t>
      </w:r>
    </w:p>
    <w:p>
      <w:pPr>
        <w:pBdr>
          <w:bottom w:val="single" w:color="0F766E" w:sz="12" w:space="4"/>
        </w:pBdr>
        <w:spacing w:after="70" w:before="140"/>
      </w:pPr>
      <w:r>
        <w:rPr>
          <w:rFonts w:ascii="Arial" w:cs="Arial" w:eastAsia="Arial" w:hAnsi="Arial"/>
          <w:b/>
          <w:bCs/>
          <w:color w:val="0F766E"/>
          <w:sz w:val="21"/>
          <w:szCs w:val="21"/>
        </w:rPr>
        <w:t xml:space="preserve">6. Client responsibilities</w:t>
      </w:r>
    </w:p>
    <w:p>
      <w:pPr>
        <w:pStyle w:val="ListParagraph"/>
        <w:numPr>
          <w:ilvl w:val="0"/>
          <w:numId w:val="5"/>
        </w:numPr>
        <w:spacing w:after="36"/>
      </w:pPr>
      <w:r>
        <w:rPr>
          <w:rFonts w:ascii="Arial" w:cs="Arial" w:eastAsia="Arial" w:hAnsi="Arial"/>
          <w:color w:val="1E293B"/>
          <w:sz w:val="16"/>
          <w:szCs w:val="16"/>
        </w:rPr>
        <w:t xml:space="preserve">Provide scrubbed data (no SSN/national ID; prefer hashed or synthetic employee IDs) or approve sample approach.</w:t>
      </w:r>
    </w:p>
    <w:p>
      <w:pPr>
        <w:pStyle w:val="ListParagraph"/>
        <w:numPr>
          <w:ilvl w:val="0"/>
          <w:numId w:val="5"/>
        </w:numPr>
        <w:spacing w:after="36"/>
      </w:pPr>
      <w:r>
        <w:rPr>
          <w:rFonts w:ascii="Arial" w:cs="Arial" w:eastAsia="Arial" w:hAnsi="Arial"/>
          <w:color w:val="1E293B"/>
          <w:sz w:val="16"/>
          <w:szCs w:val="16"/>
        </w:rPr>
        <w:t xml:space="preserve">Where possible, include years of experience, education, and required education (or job minimums) for placement analysis.</w:t>
      </w:r>
    </w:p>
    <w:p>
      <w:pPr>
        <w:pStyle w:val="ListParagraph"/>
        <w:numPr>
          <w:ilvl w:val="0"/>
          <w:numId w:val="5"/>
        </w:numPr>
        <w:spacing w:after="36"/>
      </w:pPr>
      <w:r>
        <w:rPr>
          <w:rFonts w:ascii="Arial" w:cs="Arial" w:eastAsia="Arial" w:hAnsi="Arial"/>
          <w:color w:val="1E293B"/>
          <w:sz w:val="16"/>
          <w:szCs w:val="16"/>
        </w:rPr>
        <w:t xml:space="preserve">Assign a single point of contact for pool assumptions, policy choices, and scheduling.</w:t>
      </w:r>
    </w:p>
    <w:p>
      <w:pPr>
        <w:pStyle w:val="ListParagraph"/>
        <w:numPr>
          <w:ilvl w:val="0"/>
          <w:numId w:val="5"/>
        </w:numPr>
        <w:spacing w:after="36"/>
      </w:pPr>
      <w:r>
        <w:rPr>
          <w:rFonts w:ascii="Arial" w:cs="Arial" w:eastAsia="Arial" w:hAnsi="Arial"/>
          <w:color w:val="1E293B"/>
          <w:sz w:val="16"/>
          <w:szCs w:val="16"/>
        </w:rPr>
        <w:t xml:space="preserve">Attend sessions and provide timely feedback on drafts and placement defaults.</w:t>
      </w:r>
    </w:p>
    <w:p>
      <w:pPr>
        <w:pStyle w:val="ListParagraph"/>
        <w:numPr>
          <w:ilvl w:val="0"/>
          <w:numId w:val="5"/>
        </w:numPr>
        <w:spacing w:after="36"/>
      </w:pPr>
      <w:r>
        <w:rPr>
          <w:rFonts w:ascii="Arial" w:cs="Arial" w:eastAsia="Arial" w:hAnsi="Arial"/>
          <w:color w:val="1E293B"/>
          <w:sz w:val="16"/>
          <w:szCs w:val="16"/>
        </w:rPr>
        <w:t xml:space="preserve">Use outputs for internal evaluation/pilot purposes only unless otherwise agreed.</w:t>
      </w:r>
    </w:p>
    <w:p>
      <w:pPr>
        <w:pBdr>
          <w:bottom w:val="single" w:color="0F766E" w:sz="12" w:space="4"/>
        </w:pBdr>
        <w:spacing w:after="70" w:before="140"/>
      </w:pPr>
      <w:r>
        <w:rPr>
          <w:rFonts w:ascii="Arial" w:cs="Arial" w:eastAsia="Arial" w:hAnsi="Arial"/>
          <w:b/>
          <w:bCs/>
          <w:color w:val="0F766E"/>
          <w:sz w:val="21"/>
          <w:szCs w:val="21"/>
        </w:rPr>
        <w:t xml:space="preserve">7. Fees &amp; payment</w:t>
      </w:r>
    </w:p>
    <w:tbl>
      <w:tblPr>
        <w:tblW w:type="dxa" w:w="10880"/>
        <w:tblBorders>
          <w:top w:val="single" w:color="auto" w:sz="4"/>
          <w:left w:val="single" w:color="auto" w:sz="4"/>
          <w:bottom w:val="single" w:color="auto" w:sz="4"/>
          <w:right w:val="single" w:color="auto" w:sz="4"/>
          <w:insideH w:val="single" w:color="auto" w:sz="4"/>
          <w:insideV w:val="single" w:color="auto" w:sz="4"/>
        </w:tblBorders>
      </w:tblPr>
      <w:tblGrid>
        <w:gridCol w:w="3626"/>
        <w:gridCol w:w="3627"/>
        <w:gridCol w:w="3627"/>
      </w:tblGrid>
      <w:tr>
        <w:tc>
          <w:tcPr>
            <w:tcW w:type="dxa" w:w="3626"/>
            <w:tcBorders>
              <w:top w:val="single" w:color="CBD5E1" w:sz="4"/>
              <w:left w:val="single" w:color="CBD5E1" w:sz="4"/>
              <w:bottom w:val="single" w:color="CBD5E1" w:sz="4"/>
              <w:right w:val="single" w:color="CBD5E1" w:sz="4"/>
            </w:tcBorders>
            <w:shd w:fill="0F766E" w:val="clear"/>
            <w:tcMar>
              <w:top w:type="dxa" w:w="60"/>
              <w:left w:type="dxa" w:w="80"/>
              <w:bottom w:type="dxa" w:w="60"/>
              <w:right w:type="dxa" w:w="80"/>
            </w:tcMar>
          </w:tcPr>
          <w:p>
            <w:pPr>
              <w:jc w:val="left"/>
            </w:pPr>
            <w:r>
              <w:rPr>
                <w:rFonts w:ascii="Arial" w:cs="Arial" w:eastAsia="Arial" w:hAnsi="Arial"/>
                <w:b/>
                <w:bCs/>
                <w:color w:val="FFFFFF"/>
                <w:sz w:val="15"/>
                <w:szCs w:val="15"/>
              </w:rPr>
              <w:t xml:space="preserve">Package</w:t>
            </w:r>
          </w:p>
        </w:tc>
        <w:tc>
          <w:tcPr>
            <w:tcW w:type="dxa" w:w="3627"/>
            <w:tcBorders>
              <w:top w:val="single" w:color="CBD5E1" w:sz="4"/>
              <w:left w:val="single" w:color="CBD5E1" w:sz="4"/>
              <w:bottom w:val="single" w:color="CBD5E1" w:sz="4"/>
              <w:right w:val="single" w:color="CBD5E1" w:sz="4"/>
            </w:tcBorders>
            <w:shd w:fill="0F766E" w:val="clear"/>
            <w:tcMar>
              <w:top w:type="dxa" w:w="60"/>
              <w:left w:type="dxa" w:w="80"/>
              <w:bottom w:type="dxa" w:w="60"/>
              <w:right w:type="dxa" w:w="80"/>
            </w:tcMar>
          </w:tcPr>
          <w:p>
            <w:pPr>
              <w:jc w:val="left"/>
            </w:pPr>
            <w:r>
              <w:rPr>
                <w:rFonts w:ascii="Arial" w:cs="Arial" w:eastAsia="Arial" w:hAnsi="Arial"/>
                <w:b/>
                <w:bCs/>
                <w:color w:val="FFFFFF"/>
                <w:sz w:val="15"/>
                <w:szCs w:val="15"/>
              </w:rPr>
              <w:t xml:space="preserve">Investment (USD)</w:t>
            </w:r>
          </w:p>
        </w:tc>
        <w:tc>
          <w:tcPr>
            <w:tcW w:type="dxa" w:w="3627"/>
            <w:tcBorders>
              <w:top w:val="single" w:color="CBD5E1" w:sz="4"/>
              <w:left w:val="single" w:color="CBD5E1" w:sz="4"/>
              <w:bottom w:val="single" w:color="CBD5E1" w:sz="4"/>
              <w:right w:val="single" w:color="CBD5E1" w:sz="4"/>
            </w:tcBorders>
            <w:shd w:fill="0F766E" w:val="clear"/>
            <w:tcMar>
              <w:top w:type="dxa" w:w="60"/>
              <w:left w:type="dxa" w:w="80"/>
              <w:bottom w:type="dxa" w:w="60"/>
              <w:right w:type="dxa" w:w="80"/>
            </w:tcMar>
          </w:tcPr>
          <w:p>
            <w:pPr>
              <w:jc w:val="left"/>
            </w:pPr>
            <w:r>
              <w:rPr>
                <w:rFonts w:ascii="Arial" w:cs="Arial" w:eastAsia="Arial" w:hAnsi="Arial"/>
                <w:b/>
                <w:bCs/>
                <w:color w:val="FFFFFF"/>
                <w:sz w:val="15"/>
                <w:szCs w:val="15"/>
              </w:rPr>
              <w:t xml:space="preserve">Payment schedule</w:t>
            </w:r>
          </w:p>
        </w:tc>
      </w:tr>
      <w:tr>
        <w:tc>
          <w:tcPr>
            <w:tcW w:type="dxa" w:w="3626"/>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Arial" w:cs="Arial" w:eastAsia="Arial" w:hAnsi="Arial"/>
                <w:b w:val="false"/>
                <w:bCs w:val="false"/>
                <w:color w:val="0F172A"/>
                <w:sz w:val="15"/>
                <w:szCs w:val="15"/>
              </w:rPr>
              <w:t xml:space="preserve">Design Partner Pilot (standard)</w:t>
            </w:r>
          </w:p>
        </w:tc>
        <w:tc>
          <w:tcPr>
            <w:tcW w:type="dxa" w:w="3627"/>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Arial" w:cs="Arial" w:eastAsia="Arial" w:hAnsi="Arial"/>
                <w:b/>
                <w:bCs/>
                <w:color w:val="0F172A"/>
                <w:sz w:val="15"/>
                <w:szCs w:val="15"/>
              </w:rPr>
              <w:t xml:space="preserve">$4,500</w:t>
            </w:r>
          </w:p>
        </w:tc>
        <w:tc>
          <w:tcPr>
            <w:tcW w:type="dxa" w:w="3627"/>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Arial" w:cs="Arial" w:eastAsia="Arial" w:hAnsi="Arial"/>
                <w:b w:val="false"/>
                <w:bCs w:val="false"/>
                <w:color w:val="0F172A"/>
                <w:sz w:val="14"/>
                <w:szCs w:val="14"/>
              </w:rPr>
              <w:t xml:space="preserve">50% at signature/kickoff; 50% at final readout</w:t>
            </w:r>
          </w:p>
        </w:tc>
      </w:tr>
      <w:tr>
        <w:tc>
          <w:tcPr>
            <w:tcW w:type="dxa" w:w="3626"/>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Arial" w:cs="Arial" w:eastAsia="Arial" w:hAnsi="Arial"/>
                <w:b w:val="false"/>
                <w:bCs w:val="false"/>
                <w:color w:val="0F172A"/>
                <w:sz w:val="15"/>
                <w:szCs w:val="15"/>
              </w:rPr>
              <w:t xml:space="preserve">Early-bird (first 3 seats, if offered)</w:t>
            </w:r>
          </w:p>
        </w:tc>
        <w:tc>
          <w:tcPr>
            <w:tcW w:type="dxa" w:w="3627"/>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Arial" w:cs="Arial" w:eastAsia="Arial" w:hAnsi="Arial"/>
                <w:b/>
                <w:bCs/>
                <w:color w:val="0F172A"/>
                <w:sz w:val="15"/>
                <w:szCs w:val="15"/>
              </w:rPr>
              <w:t xml:space="preserve">$3,000</w:t>
            </w:r>
          </w:p>
        </w:tc>
        <w:tc>
          <w:tcPr>
            <w:tcW w:type="dxa" w:w="3627"/>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Arial" w:cs="Arial" w:eastAsia="Arial" w:hAnsi="Arial"/>
                <w:b w:val="false"/>
                <w:bCs w:val="false"/>
                <w:color w:val="0F172A"/>
                <w:sz w:val="14"/>
                <w:szCs w:val="14"/>
              </w:rPr>
              <w:t xml:space="preserve">100% upfront preferred</w:t>
            </w:r>
          </w:p>
        </w:tc>
      </w:tr>
      <w:tr>
        <w:tc>
          <w:tcPr>
            <w:tcW w:type="dxa" w:w="3626"/>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Arial" w:cs="Arial" w:eastAsia="Arial" w:hAnsi="Arial"/>
                <w:b w:val="false"/>
                <w:bCs w:val="false"/>
                <w:color w:val="0F172A"/>
                <w:sz w:val="15"/>
                <w:szCs w:val="15"/>
              </w:rPr>
              <w:t xml:space="preserve">Complex / multi-entity (if scoped)</w:t>
            </w:r>
          </w:p>
        </w:tc>
        <w:tc>
          <w:tcPr>
            <w:tcW w:type="dxa" w:w="3627"/>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Arial" w:cs="Arial" w:eastAsia="Arial" w:hAnsi="Arial"/>
                <w:b/>
                <w:bCs/>
                <w:color w:val="0F172A"/>
                <w:sz w:val="15"/>
                <w:szCs w:val="15"/>
              </w:rPr>
              <w:t xml:space="preserve">$6,500</w:t>
            </w:r>
          </w:p>
        </w:tc>
        <w:tc>
          <w:tcPr>
            <w:tcW w:type="dxa" w:w="3627"/>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Arial" w:cs="Arial" w:eastAsia="Arial" w:hAnsi="Arial"/>
                <w:b w:val="false"/>
                <w:bCs w:val="false"/>
                <w:color w:val="0F172A"/>
                <w:sz w:val="14"/>
                <w:szCs w:val="14"/>
              </w:rPr>
              <w:t xml:space="preserve">50% / 50% as above</w:t>
            </w:r>
          </w:p>
        </w:tc>
      </w:tr>
    </w:tbl>
    <w:p>
      <w:pPr>
        <w:spacing w:after="30" w:before="80"/>
        <w:jc w:val="left"/>
      </w:pPr>
      <w:r>
        <w:rPr>
          <w:rFonts w:ascii="Arial" w:cs="Arial" w:eastAsia="Arial" w:hAnsi="Arial"/>
          <w:b w:val="false"/>
          <w:bCs w:val="false"/>
          <w:color w:val="0F172A"/>
          <w:sz w:val="15"/>
          <w:szCs w:val="15"/>
        </w:rPr>
        <w:t xml:space="preserve">Selected package for this SOW: [ ] $3,000  [ ] $4,500  [ ] $6,500   Total due: $________    Invoices Net 15. Virtual-first; no travel expected.</w:t>
      </w:r>
    </w:p>
    <w:p>
      <w:pPr>
        <w:spacing w:after="30" w:before="0"/>
        <w:jc w:val="left"/>
      </w:pPr>
      <w:r>
        <w:rPr>
          <w:rFonts w:ascii="Arial" w:cs="Arial" w:eastAsia="Arial" w:hAnsi="Arial"/>
          <w:b w:val="false"/>
          <w:bCs w:val="false"/>
          <w:color w:val="475569"/>
          <w:sz w:val="14"/>
          <w:szCs w:val="14"/>
        </w:rPr>
        <w:t xml:space="preserve">Cancellation: full refund if cancelled before kickoff; after kickoff, fees earned for sessions and work delivered are non-refundable.</w:t>
      </w:r>
    </w:p>
    <w:p>
      <w:pPr>
        <w:pBdr>
          <w:bottom w:val="single" w:color="0F766E" w:sz="12" w:space="4"/>
        </w:pBdr>
        <w:spacing w:after="70" w:before="140"/>
      </w:pPr>
      <w:r>
        <w:rPr>
          <w:rFonts w:ascii="Arial" w:cs="Arial" w:eastAsia="Arial" w:hAnsi="Arial"/>
          <w:b/>
          <w:bCs/>
          <w:color w:val="0F766E"/>
          <w:sz w:val="21"/>
          <w:szCs w:val="21"/>
        </w:rPr>
        <w:t xml:space="preserve">8. Data handling &amp; confidentiality</w:t>
      </w:r>
    </w:p>
    <w:p>
      <w:pPr>
        <w:spacing w:after="30" w:before="0"/>
        <w:jc w:val="left"/>
      </w:pPr>
      <w:r>
        <w:rPr>
          <w:rFonts w:ascii="Arial" w:cs="Arial" w:eastAsia="Arial" w:hAnsi="Arial"/>
          <w:b w:val="false"/>
          <w:bCs w:val="false"/>
          <w:color w:val="0F172A"/>
          <w:sz w:val="15"/>
          <w:szCs w:val="15"/>
        </w:rPr>
        <w:t xml:space="preserve">Client is the data controller. Provider processes Client data only to perform this pilot. Prefer scrubbed files. Provider will not use Client employee data to train public foundation models. Files retained only for the pilot and deleted within thirty (30) days after pilot close (or sooner on written request), except for anonymized learnings and generic product improvements. Mutual confidentiality applies to non-public information for three (3) years. Outputs are illustrative decision support, not legal, tax, or formal pay-equity certification. Placement and flight-risk scores are policy-configurable heuristics, not guarantees of market outcomes or employee behavior.</w:t>
      </w:r>
    </w:p>
    <w:p>
      <w:pPr>
        <w:pBdr>
          <w:bottom w:val="single" w:color="0F766E" w:sz="12" w:space="4"/>
        </w:pBdr>
        <w:spacing w:after="70" w:before="140"/>
      </w:pPr>
      <w:r>
        <w:rPr>
          <w:rFonts w:ascii="Arial" w:cs="Arial" w:eastAsia="Arial" w:hAnsi="Arial"/>
          <w:b/>
          <w:bCs/>
          <w:color w:val="0F766E"/>
          <w:sz w:val="21"/>
          <w:szCs w:val="21"/>
        </w:rPr>
        <w:t xml:space="preserve">9. Intellectual property</w:t>
      </w:r>
    </w:p>
    <w:p>
      <w:pPr>
        <w:spacing w:after="30" w:before="0"/>
        <w:jc w:val="left"/>
      </w:pPr>
      <w:r>
        <w:rPr>
          <w:rFonts w:ascii="Arial" w:cs="Arial" w:eastAsia="Arial" w:hAnsi="Arial"/>
          <w:b w:val="false"/>
          <w:bCs w:val="false"/>
          <w:color w:val="0F172A"/>
          <w:sz w:val="15"/>
          <w:szCs w:val="15"/>
        </w:rPr>
        <w:t xml:space="preserve">Client owns Client data and Client-specific outputs generated from that data. Provider owns the Accelerator software, Placement Engine methods, templates, and all generic improvements. Client receives a non-exclusive, non-transferable license to use pilot outputs for internal business purposes. No right to resell, reverse engineer, or sublicense the software is granted. Anonymized feedback may improve the product.</w:t>
      </w:r>
    </w:p>
    <w:p>
      <w:pPr>
        <w:pBdr>
          <w:bottom w:val="single" w:color="0F766E" w:sz="12" w:space="4"/>
        </w:pBdr>
        <w:spacing w:after="70" w:before="140"/>
      </w:pPr>
      <w:r>
        <w:rPr>
          <w:rFonts w:ascii="Arial" w:cs="Arial" w:eastAsia="Arial" w:hAnsi="Arial"/>
          <w:b/>
          <w:bCs/>
          <w:color w:val="0F766E"/>
          <w:sz w:val="21"/>
          <w:szCs w:val="21"/>
        </w:rPr>
        <w:t xml:space="preserve">10. Disclaimers, liability &amp; term</w:t>
      </w:r>
    </w:p>
    <w:p>
      <w:pPr>
        <w:spacing w:after="100" w:before="0"/>
        <w:jc w:val="left"/>
      </w:pPr>
      <w:r>
        <w:rPr>
          <w:rFonts w:ascii="Arial" w:cs="Arial" w:eastAsia="Arial" w:hAnsi="Arial"/>
          <w:b w:val="false"/>
          <w:bCs w:val="false"/>
          <w:color w:val="0F172A"/>
          <w:sz w:val="15"/>
          <w:szCs w:val="15"/>
        </w:rPr>
        <w:t xml:space="preserve">Services will be performed in a professional manner. Software is early access and provided AS IS for pilot evaluation. Provider does not warrant uninterrupted or error-free operation. Except for willful misconduct, Provider’s aggregate liability under this SOW is limited to fees paid by Client under this SOW. Neither party is liable for indirect or consequential damages. Public case studies require Client’s prior written approval (anonymized LinkedIn story optional: [ ] Yes  [ ] No). Term runs from Effective Date through Pilot End Date unless extended in writing. Either party may terminate for convenience with seven (7) days’ written notice; Client pays for work performed. Upon successful pilot, parties may discuss a monthly Comp Engineering retainer or future SaaS access under a separate agreement. Governing law: State of Colorado, USA (or Client’s HQ state if mutually amended).</w:t>
      </w:r>
    </w:p>
    <w:p>
      <w:pPr>
        <w:pBdr>
          <w:bottom w:val="single" w:color="0F766E" w:sz="12" w:space="4"/>
        </w:pBdr>
        <w:spacing w:after="70" w:before="140"/>
      </w:pPr>
      <w:r>
        <w:rPr>
          <w:rFonts w:ascii="Arial" w:cs="Arial" w:eastAsia="Arial" w:hAnsi="Arial"/>
          <w:b/>
          <w:bCs/>
          <w:color w:val="0F766E"/>
          <w:sz w:val="21"/>
          <w:szCs w:val="21"/>
        </w:rPr>
        <w:t xml:space="preserve">11. Acceptance</w:t>
      </w:r>
    </w:p>
    <w:p>
      <w:pPr>
        <w:spacing w:after="140" w:before="0"/>
        <w:jc w:val="left"/>
      </w:pPr>
      <w:r>
        <w:rPr>
          <w:rFonts w:ascii="Arial" w:cs="Arial" w:eastAsia="Arial" w:hAnsi="Arial"/>
          <w:b w:val="false"/>
          <w:bCs w:val="false"/>
          <w:color w:val="0F172A"/>
          <w:sz w:val="15"/>
          <w:szCs w:val="15"/>
        </w:rPr>
        <w:t xml:space="preserve">By signing below, the parties agree to this Statement of Work.</w:t>
      </w:r>
    </w:p>
    <w:tbl>
      <w:tblPr>
        <w:tblW w:type="dxa" w:w="10880"/>
        <w:tblBorders>
          <w:top w:val="single" w:color="auto" w:sz="4"/>
          <w:left w:val="single" w:color="auto" w:sz="4"/>
          <w:bottom w:val="single" w:color="auto" w:sz="4"/>
          <w:right w:val="single" w:color="auto" w:sz="4"/>
          <w:insideH w:val="single" w:color="auto" w:sz="4"/>
          <w:insideV w:val="single" w:color="auto" w:sz="4"/>
        </w:tblBorders>
      </w:tblPr>
      <w:tblGrid>
        <w:gridCol w:w="5440"/>
        <w:gridCol w:w="5440"/>
      </w:tblGrid>
      <w:tr>
        <w:tc>
          <w:tcPr>
            <w:tcW w:type="dxa" w:w="5440"/>
            <w:tcBorders>
              <w:top w:val="none" w:color="FFFFFF" w:sz="0"/>
              <w:left w:val="none" w:color="FFFFFF" w:sz="0"/>
              <w:bottom w:val="none" w:color="FFFFFF" w:sz="0"/>
              <w:right w:val="none" w:color="FFFFFF" w:sz="0"/>
            </w:tcBorders>
          </w:tcPr>
          <w:p>
            <w:pPr>
              <w:spacing w:after="160" w:before="0"/>
              <w:jc w:val="left"/>
            </w:pPr>
            <w:r>
              <w:rPr>
                <w:rFonts w:ascii="Arial" w:cs="Arial" w:eastAsia="Arial" w:hAnsi="Arial"/>
                <w:b/>
                <w:bCs/>
                <w:color w:val="0F172A"/>
                <w:sz w:val="15"/>
                <w:szCs w:val="15"/>
              </w:rPr>
              <w:t xml:space="preserve">PROVIDER</w:t>
            </w:r>
          </w:p>
          <w:p>
            <w:pPr>
              <w:spacing w:after="100" w:before="0"/>
              <w:jc w:val="left"/>
            </w:pPr>
            <w:r>
              <w:rPr>
                <w:rFonts w:ascii="Arial" w:cs="Arial" w:eastAsia="Arial" w:hAnsi="Arial"/>
                <w:b w:val="false"/>
                <w:bCs w:val="false"/>
                <w:color w:val="0F172A"/>
                <w:sz w:val="15"/>
                <w:szCs w:val="15"/>
              </w:rPr>
              <w:t xml:space="preserve">Signature: _______________________________</w:t>
            </w:r>
          </w:p>
          <w:p>
            <w:pPr>
              <w:spacing w:after="60" w:before="0"/>
              <w:jc w:val="left"/>
            </w:pPr>
            <w:r>
              <w:rPr>
                <w:rFonts w:ascii="Arial" w:cs="Arial" w:eastAsia="Arial" w:hAnsi="Arial"/>
                <w:b w:val="false"/>
                <w:bCs w:val="false"/>
                <w:color w:val="0F172A"/>
                <w:sz w:val="15"/>
                <w:szCs w:val="15"/>
              </w:rPr>
              <w:t xml:space="preserve">Name: Michael Lopez</w:t>
            </w:r>
          </w:p>
          <w:p>
            <w:pPr>
              <w:spacing w:after="60" w:before="0"/>
              <w:jc w:val="left"/>
            </w:pPr>
            <w:r>
              <w:rPr>
                <w:rFonts w:ascii="Arial" w:cs="Arial" w:eastAsia="Arial" w:hAnsi="Arial"/>
                <w:b w:val="false"/>
                <w:bCs w:val="false"/>
                <w:color w:val="0F172A"/>
                <w:sz w:val="15"/>
                <w:szCs w:val="15"/>
              </w:rPr>
              <w:t xml:space="preserve">Title: _______________________________</w:t>
            </w:r>
          </w:p>
          <w:p>
            <w:pPr>
              <w:spacing w:after="30" w:before="0"/>
              <w:jc w:val="left"/>
            </w:pPr>
            <w:r>
              <w:rPr>
                <w:rFonts w:ascii="Arial" w:cs="Arial" w:eastAsia="Arial" w:hAnsi="Arial"/>
                <w:b w:val="false"/>
                <w:bCs w:val="false"/>
                <w:color w:val="0F172A"/>
                <w:sz w:val="15"/>
                <w:szCs w:val="15"/>
              </w:rPr>
              <w:t xml:space="preserve">Date: _______________________________</w:t>
            </w:r>
          </w:p>
        </w:tc>
        <w:tc>
          <w:tcPr>
            <w:tcW w:type="dxa" w:w="5440"/>
            <w:tcBorders>
              <w:top w:val="none" w:color="FFFFFF" w:sz="0"/>
              <w:left w:val="none" w:color="FFFFFF" w:sz="0"/>
              <w:bottom w:val="none" w:color="FFFFFF" w:sz="0"/>
              <w:right w:val="none" w:color="FFFFFF" w:sz="0"/>
            </w:tcBorders>
          </w:tcPr>
          <w:p>
            <w:pPr>
              <w:spacing w:after="160" w:before="0"/>
              <w:jc w:val="left"/>
            </w:pPr>
            <w:r>
              <w:rPr>
                <w:rFonts w:ascii="Arial" w:cs="Arial" w:eastAsia="Arial" w:hAnsi="Arial"/>
                <w:b/>
                <w:bCs/>
                <w:color w:val="0F172A"/>
                <w:sz w:val="15"/>
                <w:szCs w:val="15"/>
              </w:rPr>
              <w:t xml:space="preserve">CLIENT</w:t>
            </w:r>
          </w:p>
          <w:p>
            <w:pPr>
              <w:spacing w:after="100" w:before="0"/>
              <w:jc w:val="left"/>
            </w:pPr>
            <w:r>
              <w:rPr>
                <w:rFonts w:ascii="Arial" w:cs="Arial" w:eastAsia="Arial" w:hAnsi="Arial"/>
                <w:b w:val="false"/>
                <w:bCs w:val="false"/>
                <w:color w:val="0F172A"/>
                <w:sz w:val="15"/>
                <w:szCs w:val="15"/>
              </w:rPr>
              <w:t xml:space="preserve">Signature: _______________________________</w:t>
            </w:r>
          </w:p>
          <w:p>
            <w:pPr>
              <w:spacing w:after="60" w:before="0"/>
              <w:jc w:val="left"/>
            </w:pPr>
            <w:r>
              <w:rPr>
                <w:rFonts w:ascii="Arial" w:cs="Arial" w:eastAsia="Arial" w:hAnsi="Arial"/>
                <w:b w:val="false"/>
                <w:bCs w:val="false"/>
                <w:color w:val="0F172A"/>
                <w:sz w:val="15"/>
                <w:szCs w:val="15"/>
              </w:rPr>
              <w:t xml:space="preserve">Name: _______________________________</w:t>
            </w:r>
          </w:p>
          <w:p>
            <w:pPr>
              <w:spacing w:after="60" w:before="0"/>
              <w:jc w:val="left"/>
            </w:pPr>
            <w:r>
              <w:rPr>
                <w:rFonts w:ascii="Arial" w:cs="Arial" w:eastAsia="Arial" w:hAnsi="Arial"/>
                <w:b w:val="false"/>
                <w:bCs w:val="false"/>
                <w:color w:val="0F172A"/>
                <w:sz w:val="15"/>
                <w:szCs w:val="15"/>
              </w:rPr>
              <w:t xml:space="preserve">Title: _______________________________</w:t>
            </w:r>
          </w:p>
          <w:p>
            <w:pPr>
              <w:spacing w:after="30" w:before="0"/>
              <w:jc w:val="left"/>
            </w:pPr>
            <w:r>
              <w:rPr>
                <w:rFonts w:ascii="Arial" w:cs="Arial" w:eastAsia="Arial" w:hAnsi="Arial"/>
                <w:b w:val="false"/>
                <w:bCs w:val="false"/>
                <w:color w:val="0F172A"/>
                <w:sz w:val="15"/>
                <w:szCs w:val="15"/>
              </w:rPr>
              <w:t xml:space="preserve">Date: _______________________________</w:t>
            </w:r>
          </w:p>
        </w:tc>
      </w:tr>
    </w:tbl>
    <w:sectPr>
      <w:headerReference w:type="default" r:id="rId7"/>
      <w:footerReference w:type="default" r:id="rId8"/>
      <w:pgSz w:w="12240" w:h="15840" w:orient="portrait"/>
      <w:pgMar w:top="650" w:right="680" w:bottom="65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3"/>
        <w:szCs w:val="13"/>
      </w:rPr>
      <w:t xml:space="preserve">Confidential  ·  Page </w:t>
    </w:r>
    <w:r>
      <w:rPr>
        <w:rFonts w:ascii="Arial" w:cs="Arial" w:eastAsia="Arial" w:hAnsi="Arial"/>
        <w:color w:val="94A3B8"/>
        <w:sz w:val="13"/>
        <w:szCs w:val="13"/>
      </w:rPr>
      <w:fldChar w:fldCharType="begin"/>
      <w:instrText xml:space="preserve">PAGE</w:instrText>
      <w:fldChar w:fldCharType="separate"/>
      <w:fldChar w:fldCharType="end"/>
    </w:r>
    <w:r>
      <w:rPr>
        <w:rFonts w:ascii="Arial" w:cs="Arial" w:eastAsia="Arial" w:hAnsi="Arial"/>
        <w:color w:val="94A3B8"/>
        <w:sz w:val="13"/>
        <w:szCs w:val="13"/>
      </w:rPr>
      <w:t xml:space="preserve"> of </w:t>
    </w:r>
    <w:r>
      <w:rPr>
        <w:rFonts w:ascii="Arial" w:cs="Arial" w:eastAsia="Arial" w:hAnsi="Arial"/>
        <w:color w:val="94A3B8"/>
        <w:sz w:val="13"/>
        <w:szCs w:val="13"/>
      </w:rPr>
      <w:fldChar w:fldCharType="begin"/>
      <w:instrText xml:space="preserve">NUMPAGES</w:instrText>
      <w:fldChar w:fldCharType="separate"/>
      <w:fldChar w:fldCharType="end"/>
    </w:r>
    <w:r>
      <w:rPr>
        <w:rFonts w:ascii="Arial" w:cs="Arial" w:eastAsia="Arial" w:hAnsi="Arial"/>
        <w:color w:val="94A3B8"/>
        <w:sz w:val="13"/>
        <w:szCs w:val="13"/>
      </w:rPr>
      <w:t xml:space="preserve">  ·  Not legal advice — review with counsel before execution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880"/>
      <w:tblBorders>
        <w:top w:val="single" w:color="auto" w:sz="4"/>
        <w:left w:val="single" w:color="auto" w:sz="4"/>
        <w:bottom w:val="single" w:color="auto" w:sz="4"/>
        <w:right w:val="single" w:color="auto" w:sz="4"/>
        <w:insideH w:val="single" w:color="auto" w:sz="4"/>
        <w:insideV w:val="single" w:color="auto" w:sz="4"/>
      </w:tblBorders>
    </w:tblPr>
    <w:tblGrid>
      <w:gridCol w:w="3200"/>
      <w:gridCol w:w="7680"/>
    </w:tblGrid>
    <w:tr>
      <w:tc>
        <w:tcPr>
          <w:tcW w:type="dxa" w:w="3200"/>
          <w:tcBorders>
            <w:top w:val="none" w:color="FFFFFF" w:sz="0"/>
            <w:left w:val="none" w:color="FFFFFF" w:sz="0"/>
            <w:bottom w:val="none" w:color="FFFFFF" w:sz="0"/>
            <w:right w:val="none" w:color="FFFFFF" w:sz="0"/>
          </w:tcBorders>
        </w:tcPr>
        <w:p>
          <w:r>
            <w:drawing>
              <wp:inline distT="0" distB="0" distL="0" distR="0">
                <wp:extent cx="1524000" cy="828675"/>
                <wp:effectExtent t="0" r="0" b="0" l="0"/>
                <wp:docPr id="1" name="TRA logo" descr="Total Rewards Accelerator logo" title="Total Rewards Accel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828675"/>
                        </a:xfrm>
                        <a:prstGeom prst="rect">
                          <a:avLst/>
                        </a:prstGeom>
                      </pic:spPr>
                    </pic:pic>
                  </a:graphicData>
                </a:graphic>
              </wp:inline>
            </w:drawing>
          </w:r>
        </w:p>
      </w:tc>
      <w:tc>
        <w:tcPr>
          <w:tcW w:type="dxa" w:w="7680"/>
          <w:tcBorders>
            <w:top w:val="none" w:color="FFFFFF" w:sz="0"/>
            <w:left w:val="none" w:color="FFFFFF" w:sz="0"/>
            <w:bottom w:val="none" w:color="FFFFFF" w:sz="0"/>
            <w:right w:val="none" w:color="FFFFFF" w:sz="0"/>
          </w:tcBorders>
          <w:vAlign w:val="center"/>
        </w:tcPr>
        <w:p>
          <w:pPr>
            <w:jc w:val="right"/>
          </w:pPr>
          <w:r>
            <w:rPr>
              <w:rFonts w:ascii="Arial" w:cs="Arial" w:eastAsia="Arial" w:hAnsi="Arial"/>
              <w:color w:val="64748B"/>
              <w:sz w:val="14"/>
              <w:szCs w:val="14"/>
            </w:rPr>
            <w:t xml:space="preserve">Design Partner Pilot SOW  ·  v0.3</w:t>
          </w:r>
        </w:p>
        <w:p>
          <w:pPr>
            <w:jc w:val="right"/>
          </w:pPr>
          <w:r>
            <w:rPr>
              <w:rFonts w:ascii="Arial" w:cs="Arial" w:eastAsia="Arial" w:hAnsi="Arial"/>
              <w:i/>
              <w:iCs/>
              <w:color w:val="0F6B6D"/>
              <w:sz w:val="12"/>
              <w:szCs w:val="12"/>
            </w:rPr>
            <w:t xml:space="preserve">Making compensation easy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bullet"/>
      <w:lvlText w:val="•"/>
      <w:lvlJc w:val="left"/>
      <w:pPr>
        <w:ind w:left="360" w:hanging="180"/>
      </w:pPr>
    </w:lvl>
  </w:abstractNum>
  <w:abstractNum w:abstractNumId="4" w15:restartNumberingAfterBreak="0">
    <w:multiLevelType w:val="hybridMultilevel"/>
    <w:lvl w:ilvl="0" w15:tentative="1">
      <w:start w:val="1"/>
      <w:numFmt w:val="bullet"/>
      <w:lvlText w:val="•"/>
      <w:lvlJc w:val="left"/>
      <w:pPr>
        <w:ind w:left="360" w:hanging="180"/>
      </w:pPr>
    </w:lvl>
  </w:abstractNum>
  <w:abstractNum w:abstractNumId="5" w15:restartNumberingAfterBreak="0">
    <w:multiLevelType w:val="hybridMultilevel"/>
    <w:lvl w:ilvl="0" w15:tentative="1">
      <w:start w:val="1"/>
      <w:numFmt w:val="bullet"/>
      <w:lvlText w:val="•"/>
      <w:lvlJc w:val="left"/>
      <w:pPr>
        <w:ind w:left="360" w:hanging="180"/>
      </w:pPr>
    </w:lvl>
  </w:abstractNum>
  <w:abstractNum w:abstractNumId="6"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6"/>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9f93bb49fadbcdcaa8a4db06bd9e791a6b1ff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2026-07-25T18:29:55.460Z</dcterms:created>
  <dcterms:modified xsi:type="dcterms:W3CDTF">2026-07-25T18:29:55.469Z</dcterms:modified>
</cp:coreProperties>
</file>

<file path=docProps/custom.xml><?xml version="1.0" encoding="utf-8"?>
<Properties xmlns="http://schemas.openxmlformats.org/officeDocument/2006/custom-properties" xmlns:vt="http://schemas.openxmlformats.org/officeDocument/2006/docPropsVTypes"/>
</file>