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SkelAnal normalization and fragment removal protocol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3/30/20 – updated 5/4/21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skeleton analysis raw data csv file (e.g. 6_LeftDG_1 or 40_RightCA1_2), order data in descending order by # branches (column 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row should represent one cell in an image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“Fragments” that were identified separately by the skeleton analysis plugin that are not actual cells will be at the bottom and real cells with be at the top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“fragments” from data file by deleting all data after the corresponding image’s cell count (found in “Hipp_cell_count.xlsx”)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 image has 24 microglia, all rows after row 24 will be deleted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row represents 1 image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sum of the remaining values in each of the following columns: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Branches (column A)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Junctions (column B)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End-points (column 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branch length (column 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 each measure by the corresponding cell count for the image by calculating the sum/cell (average) to give you values for the following: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Branches/cell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Junctions/cell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End-points/cell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branch length/cell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D3B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f43TMZHb+dPrGdWGWzUkgp2yg==">AMUW2mXsgH+mnZa7xF/6YOLzLN4f3bv6+leLQu0xSoMjGcjRF2Sw0Hp8D5fuBjuaZYj4XqouIkP54h4i7YzxtOZvrvh9TpetD8f3/ETeMdW5SijZsxeWXTU=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2020-03-30T15:45:00Z</dcterms:created>
  <dc:creator>Kelsea Gildawie</dc:creator>
</cp:coreProperties>
</file>