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917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17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632A0"/>
          <w:sz w:val="24"/>
        </w:rPr>
        <w:t>STATEMENT OF WORK</w:t>
      </w:r>
    </w:p>
    <w:p>
      <w:r>
        <w:rPr>
          <w:rFonts w:ascii="Georgia" w:hAnsi="Georgia"/>
          <w:b/>
          <w:color w:val="041F66"/>
          <w:sz w:val="60"/>
        </w:rPr>
        <w:t>EBS Contract Renewal PAF</w:t>
      </w:r>
    </w:p>
    <w:p>
      <w:r>
        <w:rPr>
          <w:rFonts w:ascii="Calibri" w:hAnsi="Calibri"/>
          <w:color w:val="5B6577"/>
          <w:sz w:val="26"/>
        </w:rPr>
        <w:t>Implementation &amp; managed services — signable SOW</w:t>
      </w:r>
    </w:p>
    <w:p>
      <w:r>
        <w:rPr>
          <w:rFonts w:ascii="Calibri" w:hAnsi="Calibri"/>
          <w:color w:val="5B6577"/>
          <w:sz w:val="20"/>
        </w:rPr>
        <w:t>Syntax Corporation  ·  Build 1.0.0  ·  2026-06-04</w:t>
      </w:r>
    </w:p>
    <w:p>
      <w:r>
        <w:br w:type="page"/>
      </w:r>
    </w:p>
    <w:p>
      <w:pPr>
        <w:pStyle w:val="Heading1"/>
      </w:pPr>
      <w:r>
        <w:t>1. Scope</w:t>
      </w:r>
    </w:p>
    <w:p>
      <w:r>
        <w:rPr>
          <w:rFonts w:ascii="Calibri" w:hAnsi="Calibri"/>
          <w:b w:val="0"/>
          <w:i w:val="0"/>
          <w:color w:val="16203A"/>
          <w:sz w:val="22"/>
        </w:rPr>
        <w:t>Syntax Corporation will deliver a production Private Agent Factory agent that automates Oracle EBS Blanket Purchase Agreement renewals end-to-end: quote extraction, governed EBS reads, deterministic renewal policy, a balanced PDOI batch for Import Price Catalogs, a QA gate, the XXPAF PL/SQL package, and managed-MCP integration. Read-only by default; the buyer approves each renewal in EBS.</w:t>
      </w:r>
    </w:p>
    <w:p>
      <w:pPr>
        <w:pStyle w:val="Heading1"/>
      </w:pPr>
      <w:r>
        <w:t>2. Architecture</w:t>
      </w:r>
    </w:p>
    <w:p>
      <w:r>
        <w:drawing>
          <wp:inline xmlns:a="http://schemas.openxmlformats.org/drawingml/2006/main" xmlns:pic="http://schemas.openxmlformats.org/drawingml/2006/picture">
            <wp:extent cx="5669280" cy="30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Deliverables</w:t>
      </w:r>
    </w:p>
    <w:p>
      <w:pPr>
        <w:pStyle w:val="ListBullet"/>
      </w:pPr>
      <w:r>
        <w:t>The renewal agent (extractor, repository, policy engine, PDOI writer, QA gate, CLI).</w:t>
      </w:r>
    </w:p>
    <w:p>
      <w:pPr>
        <w:pStyle w:val="ListBullet"/>
      </w:pPr>
      <w:r>
        <w:t>XXPAF_RENEWAL_PKG PL/SQL + parity harness; managed-MCP tool/SQL-Report definitions.</w:t>
      </w:r>
    </w:p>
    <w:p>
      <w:pPr>
        <w:pStyle w:val="ListBullet"/>
      </w:pPr>
      <w:r>
        <w:t>Test suite (hermetic + live golden), QA report, and full documentation.</w:t>
      </w:r>
    </w:p>
    <w:p>
      <w:pPr>
        <w:pStyle w:val="ListBullet"/>
      </w:pPr>
      <w:r>
        <w:t>PAF Agent Builder canvas recipe + published REST API hook.</w:t>
      </w:r>
    </w:p>
    <w:p>
      <w:pPr>
        <w:pStyle w:val="Heading1"/>
      </w:pPr>
      <w:r>
        <w:t>4.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440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Weeks</w:t>
            </w:r>
          </w:p>
        </w:tc>
        <w:tc>
          <w:tcPr>
            <w:tcW w:type="dxa" w:w="4608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Outcome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Discover &amp; verify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Live SQL verification; golden record; spec sign-off</w:t>
            </w:r>
          </w:p>
        </w:tc>
      </w:tr>
      <w:tr>
        <w:tc>
          <w:tcPr>
            <w:tcW w:type="dxa" w:w="3456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Build vertical slice</w:t>
            </w:r>
          </w:p>
        </w:tc>
        <w:tc>
          <w:tcPr>
            <w:tcW w:type="dxa" w:w="144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3–5</w:t>
            </w:r>
          </w:p>
        </w:tc>
        <w:tc>
          <w:tcPr>
            <w:tcW w:type="dxa" w:w="4608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Agent + PL/SQL + tests against the customer instance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QA &amp; UAT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6–7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Zero-bug convergence; balanced batch in UAT</w:t>
            </w:r>
          </w:p>
        </w:tc>
      </w:tr>
      <w:tr>
        <w:tc>
          <w:tcPr>
            <w:tcW w:type="dxa" w:w="3456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Cutover &amp; enablement</w:t>
            </w:r>
          </w:p>
        </w:tc>
        <w:tc>
          <w:tcPr>
            <w:tcW w:type="dxa" w:w="144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608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Managed-MCP wiring; runbook; go-live</w:t>
            </w:r>
          </w:p>
        </w:tc>
      </w:tr>
    </w:tbl>
    <w:p>
      <w:r>
        <w:rPr>
          <w:rFonts w:ascii="Calibri" w:hAnsi="Calibri"/>
          <w:b w:val="0"/>
          <w:i w:val="0"/>
          <w:color w:val="16203A"/>
          <w:sz w:val="22"/>
        </w:rPr>
        <w:t>Estimated effort: 640 hours at a $95/hr blended delivery rate (20/40/40 onshore/nearshore/offshore).</w:t>
      </w:r>
    </w:p>
    <w:p>
      <w:pPr>
        <w:pStyle w:val="Heading1"/>
      </w:pPr>
      <w:r>
        <w:t>5.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Activity</w:t>
            </w:r>
          </w:p>
        </w:tc>
        <w:tc>
          <w:tcPr>
            <w:tcW w:type="dxa" w:w="2592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Syntax</w:t>
            </w:r>
          </w:p>
        </w:tc>
        <w:tc>
          <w:tcPr>
            <w:tcW w:type="dxa" w:w="2592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Customer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EBS discovery &amp; SQL verification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C (access)</w:t>
            </w:r>
          </w:p>
        </w:tc>
      </w:tr>
      <w:tr>
        <w:tc>
          <w:tcPr>
            <w:tcW w:type="dxa" w:w="432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Agent + PL/SQL build</w:t>
            </w:r>
          </w:p>
        </w:tc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Tolerance / policy sign-off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</w:tr>
      <w:tr>
        <w:tc>
          <w:tcPr>
            <w:tcW w:type="dxa" w:w="432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UAT &amp; acceptance</w:t>
            </w:r>
          </w:p>
        </w:tc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Production approval of renewals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</w:tr>
      <w:tr>
        <w:tc>
          <w:tcPr>
            <w:tcW w:type="dxa" w:w="432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Managed services (run)</w:t>
            </w:r>
          </w:p>
        </w:tc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R/A</w:t>
            </w:r>
          </w:p>
        </w:tc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</w:tr>
    </w:tbl>
    <w:p>
      <w:pPr>
        <w:pStyle w:val="Heading1"/>
      </w:pPr>
      <w:r>
        <w:t>6. Commercials</w:t>
      </w:r>
    </w:p>
    <w:p>
      <w:r>
        <w:rPr>
          <w:rFonts w:ascii="Calibri" w:hAnsi="Calibri"/>
          <w:b/>
          <w:i w:val="0"/>
          <w:color w:val="16203A"/>
          <w:sz w:val="22"/>
        </w:rPr>
        <w:t>Fixed-fee implementation (one-time): $60,800.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Managed services</w:t>
            </w:r>
          </w:p>
        </w:tc>
        <w:tc>
          <w:tcPr>
            <w:tcW w:type="dxa" w:w="2160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12-month</w:t>
            </w:r>
          </w:p>
        </w:tc>
        <w:tc>
          <w:tcPr>
            <w:tcW w:type="dxa" w:w="2160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24-month</w:t>
            </w:r>
          </w:p>
        </w:tc>
        <w:tc>
          <w:tcPr>
            <w:tcW w:type="dxa" w:w="2160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36-month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Per month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$7,350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$6,615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$5,880</w:t>
            </w:r>
          </w:p>
        </w:tc>
      </w:tr>
      <w:tr>
        <w:tc>
          <w:tcPr>
            <w:tcW w:type="dxa" w:w="3456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Per year</w:t>
            </w:r>
          </w:p>
        </w:tc>
        <w:tc>
          <w:tcPr>
            <w:tcW w:type="dxa" w:w="216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$88,200</w:t>
            </w:r>
          </w:p>
        </w:tc>
        <w:tc>
          <w:tcPr>
            <w:tcW w:type="dxa" w:w="216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$79,380</w:t>
            </w:r>
          </w:p>
        </w:tc>
        <w:tc>
          <w:tcPr>
            <w:tcW w:type="dxa" w:w="2160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$70,560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Term discount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</w:tr>
    </w:tbl>
    <w:p>
      <w:r>
        <w:rPr>
          <w:rFonts w:ascii="Calibri" w:hAnsi="Calibri"/>
          <w:b w:val="0"/>
          <w:i/>
          <w:color w:val="16203A"/>
          <w:sz w:val="22"/>
        </w:rPr>
        <w:t>Indicative value: $614,000 net annual savings, ~1.4-month payback, 466% 3-year ROI (validate in a read-only value assessment). OCI consumption billed separately per the OCI BOM.</w:t>
      </w:r>
    </w:p>
    <w:p>
      <w:pPr>
        <w:pStyle w:val="Heading1"/>
      </w:pPr>
      <w:r>
        <w:t>7. Acceptance criteria</w:t>
      </w:r>
    </w:p>
    <w:p>
      <w:r>
        <w:rPr>
          <w:rFonts w:ascii="Calibri" w:hAnsi="Calibri"/>
          <w:b w:val="0"/>
          <w:i w:val="0"/>
          <w:color w:val="16203A"/>
          <w:sz w:val="22"/>
        </w:rPr>
        <w:t>Green live golden-renewal test and a balanced PDOI batch staged and validated in the customer UAT environment.</w:t>
      </w:r>
    </w:p>
    <w:p>
      <w:pPr>
        <w:pStyle w:val="Heading1"/>
      </w:pPr>
      <w:r>
        <w:t>8. Assumptions</w:t>
      </w:r>
    </w:p>
    <w:p>
      <w:pPr>
        <w:pStyle w:val="ListBullet"/>
      </w:pPr>
      <w:r>
        <w:t>Customer provides timely EBS access (read-only service account) and a test instance.</w:t>
      </w:r>
    </w:p>
    <w:p>
      <w:pPr>
        <w:pStyle w:val="ListBullet"/>
      </w:pPr>
      <w:r>
        <w:t>Managed-MCP availability for the target EBS edition/region is confirmed at install.</w:t>
      </w:r>
    </w:p>
    <w:p>
      <w:pPr>
        <w:pStyle w:val="ListBullet"/>
      </w:pPr>
      <w:r>
        <w:t>Legal terms are governed by the parties' master agreement; this SOW is a generic shell.</w:t>
      </w:r>
    </w:p>
    <w:p>
      <w:pPr>
        <w:pStyle w:val="Heading1"/>
      </w:pPr>
      <w:r>
        <w:t>9.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</w:r>
          </w:p>
        </w:tc>
        <w:tc>
          <w:tcPr>
            <w:tcW w:type="dxa" w:w="4032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Syntax Corporation</w:t>
            </w:r>
          </w:p>
        </w:tc>
        <w:tc>
          <w:tcPr>
            <w:tcW w:type="dxa" w:w="4032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Customer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403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Signature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03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03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7"/>
        <w:sz w:val="16"/>
      </w:rPr>
      <w:t>Syntax Corporation © 2026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41F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632A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632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