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737360" cy="917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917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632A0"/>
          <w:sz w:val="24"/>
        </w:rPr>
        <w:t>TECHNICAL DESIGN</w:t>
      </w:r>
    </w:p>
    <w:p>
      <w:r>
        <w:rPr>
          <w:rFonts w:ascii="Georgia" w:hAnsi="Georgia"/>
          <w:b/>
          <w:color w:val="041F66"/>
          <w:sz w:val="60"/>
        </w:rPr>
        <w:t>EBS Contract Renewal PAF</w:t>
      </w:r>
    </w:p>
    <w:p>
      <w:r>
        <w:rPr>
          <w:rFonts w:ascii="Calibri" w:hAnsi="Calibri"/>
          <w:color w:val="5B6577"/>
          <w:sz w:val="26"/>
        </w:rPr>
        <w:t>Architecture, data contract &amp; policy design</w:t>
      </w:r>
    </w:p>
    <w:p>
      <w:r>
        <w:rPr>
          <w:rFonts w:ascii="Calibri" w:hAnsi="Calibri"/>
          <w:color w:val="5B6577"/>
          <w:sz w:val="20"/>
        </w:rPr>
        <w:t>Syntax Corporation  ·  Build 1.0.0  ·  2026-06-04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rFonts w:ascii="Calibri" w:hAnsi="Calibri"/>
          <w:b w:val="0"/>
          <w:i w:val="0"/>
          <w:color w:val="16203A"/>
          <w:sz w:val="22"/>
        </w:rPr>
        <w:t>A Private Agent Factory agent that renews EBS Blanket Purchase Agreements: it ingests a supplier renewal quote, pulls current prices from EBS via a governed MCP, applies a deterministic renewal-template policy, and stages a balanced Purchasing Documents Open Interface (PDOI) batch for the standard Import Price Catalogs program. Reproduces the Oracle blog 'Simplifying Contract Renewals: An AI Agent for EBS with Private Agent Factory'.</w:t>
      </w:r>
    </w:p>
    <w:p>
      <w:pPr>
        <w:pStyle w:val="Heading1"/>
      </w:pPr>
      <w:r>
        <w:t>2. Reference architecture</w:t>
      </w:r>
    </w:p>
    <w:p>
      <w:r>
        <w:drawing>
          <wp:inline xmlns:a="http://schemas.openxmlformats.org/drawingml/2006/main" xmlns:pic="http://schemas.openxmlformats.org/drawingml/2006/picture">
            <wp:extent cx="5852160" cy="31561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56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color w:val="16203A"/>
          <w:sz w:val="22"/>
        </w:rPr>
        <w:t>EBS 19c is the system of record (NNE; XXPAF PL/SQL). PAF runs on an ADB 26ai sidecar holding no EBS data and not in the data path. The OCI Database Tools Managed MCP (HTTPS + OAuth/IAM) reaches EBS via a Database Tools Connection. Writes (the load) stay off the MCP path.</w:t>
      </w:r>
    </w:p>
    <w:p>
      <w:pPr>
        <w:pStyle w:val="Heading1"/>
      </w:pPr>
      <w:r>
        <w:t>3. Pipeline</w:t>
      </w:r>
    </w:p>
    <w:p>
      <w:r>
        <w:drawing>
          <wp:inline xmlns:a="http://schemas.openxmlformats.org/drawingml/2006/main" xmlns:pic="http://schemas.openxmlformats.org/drawingml/2006/picture">
            <wp:extent cx="5852160" cy="1402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0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EBS interface contract (PDOI)</w:t>
      </w:r>
    </w:p>
    <w:p>
      <w:r>
        <w:rPr>
          <w:rFonts w:ascii="Calibri" w:hAnsi="Calibri"/>
          <w:b w:val="0"/>
          <w:i w:val="0"/>
          <w:color w:val="16203A"/>
          <w:sz w:val="22"/>
        </w:rPr>
        <w:t>Target: PO_HEADERS_INTERFACE + PO_LINES_INTERFACE; program: Import Price Catalogs. Verified live against EBS_Vision_12214:</w:t>
      </w:r>
    </w:p>
    <w:p>
      <w:pPr>
        <w:pStyle w:val="ListBullet"/>
      </w:pPr>
      <w:r>
        <w:t>ACTION='UPDATE' references the existing agreement by PO_HEADER_ID (DOCUMENT_NUM is an obsoleted stub).</w:t>
      </w:r>
    </w:p>
    <w:p>
      <w:pPr>
        <w:pStyle w:val="ListBullet"/>
      </w:pPr>
      <w:r>
        <w:t>BATCH_ID is NUMBER; the agreement total is AMOUNT_AGREED (no BLANKET_TOTAL_AMOUNT on the interface).</w:t>
      </w:r>
    </w:p>
    <w:p>
      <w:pPr>
        <w:pStyle w:val="ListBullet"/>
      </w:pPr>
      <w:r>
        <w:t>UOM_CODE for 'Each' is 'Ea'; PO_LINES_INTERFACE has no ATTRIBUTE columns.</w:t>
      </w:r>
    </w:p>
    <w:p>
      <w:pPr>
        <w:pStyle w:val="ListBullet"/>
      </w:pPr>
      <w:r>
        <w:t>APPROVAL_STATUS='INCOMPLETE' — the buyer approves the renewal in EBS.</w:t>
      </w:r>
    </w:p>
    <w:p>
      <w:pPr>
        <w:pStyle w:val="Heading1"/>
      </w:pPr>
      <w:r>
        <w:t>5. Renewal policy (deterministic)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Rule</w:t>
            </w:r>
          </w:p>
        </w:tc>
        <w:tc>
          <w:tcPr>
            <w:tcW w:type="dxa" w:w="4896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Logic</w:t>
            </w:r>
          </w:p>
        </w:tc>
        <w:tc>
          <w:tcPr>
            <w:tcW w:type="dxa" w:w="2304"/>
            <w:shd w:val="clear" w:fill="0632A0"/>
          </w:tcPr>
          <w:p>
            <w:r/>
            <w:r>
              <w:rPr>
                <w:rFonts w:ascii="Calibri" w:hAnsi="Calibri"/>
                <w:b/>
                <w:color w:val="FFFFFF"/>
                <w:sz w:val="21"/>
              </w:rPr>
              <w:t>Outcome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Price escalation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0"/>
              </w:rPr>
              <w:t>increase &gt; 7% AND annual $ impact &gt; $250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HOLD (dual gate)</w:t>
            </w:r>
          </w:p>
        </w:tc>
      </w:tr>
      <w:tr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Term length</w:t>
            </w:r>
          </w:p>
        </w:tc>
        <w:tc>
          <w:tcPr>
            <w:tcW w:type="dxa" w:w="4896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renewed term &gt; 36 months</w:t>
            </w:r>
          </w:p>
        </w:tc>
        <w:tc>
          <w:tcPr>
            <w:tcW w:type="dxa" w:w="2304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HOLD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Term contiguity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0"/>
              </w:rPr>
              <w:t>gap/overlap vs prior expiration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HOLD</w:t>
            </w:r>
          </w:p>
        </w:tc>
      </w:tr>
      <w:tr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Item validity</w:t>
            </w:r>
          </w:p>
        </w:tc>
        <w:tc>
          <w:tcPr>
            <w:tcW w:type="dxa" w:w="4896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item inactive / non-purchasable</w:t>
            </w:r>
          </w:p>
        </w:tc>
        <w:tc>
          <w:tcPr>
            <w:tcW w:type="dxa" w:w="2304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HOLD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Supplier site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0"/>
              </w:rPr>
              <w:t>site inactive / not a purchasing site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HOLD</w:t>
            </w:r>
          </w:p>
        </w:tc>
      </w:tr>
      <w:tr>
        <w:tc>
          <w:tcPr>
            <w:tcW w:type="dxa" w:w="2592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Structural</w:t>
            </w:r>
          </w:p>
        </w:tc>
        <w:tc>
          <w:tcPr>
            <w:tcW w:type="dxa" w:w="4896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non-positive price / no matching line</w:t>
            </w:r>
          </w:p>
        </w:tc>
        <w:tc>
          <w:tcPr>
            <w:tcW w:type="dxa" w:w="2304"/>
            <w:shd w:val="clear" w:fill="F4F7FC"/>
          </w:tcPr>
          <w:p>
            <w:r/>
            <w:r>
              <w:rPr>
                <w:rFonts w:ascii="Calibri" w:hAnsi="Calibri"/>
                <w:sz w:val="20"/>
              </w:rPr>
              <w:t>FAIL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sz w:val="20"/>
              </w:rPr>
              <w:t>Balance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20"/>
              </w:rPr>
              <w:t>AMOUNT_AGREED = Σ(price × qty)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0"/>
              </w:rPr>
              <w:t>FAIL if unbalanced</w:t>
            </w:r>
          </w:p>
        </w:tc>
      </w:tr>
    </w:tbl>
    <w:p>
      <w:pPr>
        <w:pStyle w:val="Heading1"/>
      </w:pPr>
      <w:r>
        <w:t>6. Quality &amp; parity</w:t>
      </w:r>
    </w:p>
    <w:p>
      <w:pPr>
        <w:pStyle w:val="ListBullet"/>
      </w:pPr>
      <w:r>
        <w:t>43 hermetic + 8 live tests (golden record BPA 4467); read-only by default.</w:t>
      </w:r>
    </w:p>
    <w:p>
      <w:pPr>
        <w:pStyle w:val="ListBullet"/>
      </w:pPr>
      <w:r>
        <w:t>Python reference engine is the test oracle; XXPAF_RENEWAL_PKG kept at parity (verified live).</w:t>
      </w:r>
    </w:p>
    <w:p>
      <w:pPr>
        <w:pStyle w:val="ListBullet"/>
      </w:pPr>
      <w:r>
        <w:t>Deterministic policy outside the LLM → auditable, reproducible; full agent_trace.json.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7"/>
        <w:sz w:val="16"/>
      </w:rPr>
      <w:t>Syntax Corporation © 2026 ·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41F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632A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632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