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554480" cy="820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a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2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41F66"/>
          <w:sz w:val="40"/>
        </w:rPr>
        <w:t>BLANKET PURCHASE AGREEMENT — RENEWAL</w:t>
      </w:r>
    </w:p>
    <w:p>
      <w:pPr>
        <w:jc w:val="center"/>
      </w:pPr>
      <w:r>
        <w:rPr>
          <w:rFonts w:ascii="Calibri" w:hAnsi="Calibri"/>
          <w:b w:val="0"/>
          <w:color w:val="5B6577"/>
          <w:sz w:val="26"/>
        </w:rPr>
        <w:t>Agreement No. BPA-90001</w:t>
      </w:r>
    </w:p>
    <w:p/>
    <w:p>
      <w:r>
        <w:t xml:space="preserve">This Renewal is entered into between </w:t>
      </w:r>
      <w:r>
        <w:rPr>
          <w:b/>
        </w:rPr>
        <w:t>Acme Facilities Supply, Inc.</w:t>
      </w:r>
      <w:r>
        <w:t xml:space="preserve"> (“Supplier”) and the Buyer, renewing the above Blanket Purchase Agreement on the terms below.</w:t>
      </w:r>
    </w:p>
    <w:p>
      <w:r>
        <w:rPr>
          <w:rFonts w:ascii="Georgia" w:hAnsi="Georgia"/>
          <w:b/>
          <w:color w:val="0632A0"/>
          <w:sz w:val="26"/>
        </w:rPr>
        <w:t>1. Term</w:t>
      </w:r>
    </w:p>
    <w:p>
      <w:r>
        <w:t>The renewed term is effective 2026-01-01 through 2028-12-31 (36 months), contiguous with the prior term ending 2025-12-31.</w:t>
      </w:r>
    </w:p>
    <w:p>
      <w:r>
        <w:rPr>
          <w:rFonts w:ascii="Georgia" w:hAnsi="Georgia"/>
          <w:b/>
          <w:color w:val="0632A0"/>
          <w:sz w:val="26"/>
        </w:rPr>
        <w:t>2. Revised pricing</w:t>
      </w:r>
    </w:p>
    <w:p>
      <w:r>
        <w:t>The unit prices for the renewed term are set out below, reflecting current pricing retrieved from the system of record with the agreed adjustment applied: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0632A0"/>
          </w:tcPr>
          <w:p>
            <w:r>
              <w:rPr>
                <w:b/>
                <w:color w:val="FFFFFF"/>
                <w:sz w:val="20"/>
              </w:rPr>
              <w:t>Line</w:t>
            </w:r>
          </w:p>
        </w:tc>
        <w:tc>
          <w:tcPr>
            <w:tcW w:type="dxa" w:w="1440"/>
            <w:shd w:val="clear" w:fill="0632A0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440"/>
            <w:shd w:val="clear" w:fill="0632A0"/>
          </w:tcPr>
          <w:p>
            <w:r>
              <w:rPr>
                <w:b/>
                <w:color w:val="FFFFFF"/>
                <w:sz w:val="20"/>
              </w:rPr>
              <w:t>Prior $</w:t>
            </w:r>
          </w:p>
        </w:tc>
        <w:tc>
          <w:tcPr>
            <w:tcW w:type="dxa" w:w="1440"/>
            <w:shd w:val="clear" w:fill="0632A0"/>
          </w:tcPr>
          <w:p>
            <w:r>
              <w:rPr>
                <w:b/>
                <w:color w:val="FFFFFF"/>
                <w:sz w:val="20"/>
              </w:rPr>
              <w:t>New $</w:t>
            </w:r>
          </w:p>
        </w:tc>
        <w:tc>
          <w:tcPr>
            <w:tcW w:type="dxa" w:w="1440"/>
            <w:shd w:val="clear" w:fill="0632A0"/>
          </w:tcPr>
          <w:p>
            <w:r>
              <w:rPr>
                <w:b/>
                <w:color w:val="FFFFFF"/>
                <w:sz w:val="20"/>
              </w:rPr>
              <w:t>Δ</w:t>
            </w:r>
          </w:p>
        </w:tc>
        <w:tc>
          <w:tcPr>
            <w:tcW w:type="dxa" w:w="1440"/>
            <w:shd w:val="clear" w:fill="0632A0"/>
          </w:tcPr>
          <w:p>
            <w:r>
              <w:rPr>
                <w:b/>
                <w:color w:val="FFFFFF"/>
                <w:sz w:val="20"/>
              </w:rPr>
              <w:t>Effective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FILTER-A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20.00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20.14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0.70%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2026-01-01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BELT-B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50.00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58.30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16.60%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2026-01-01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PUMP-C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500.00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530.00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2026-01-01</w:t>
            </w:r>
          </w:p>
        </w:tc>
      </w:tr>
    </w:tbl>
    <w:p>
      <w:r>
        <w:rPr>
          <w:rFonts w:ascii="Georgia" w:hAnsi="Georgia"/>
          <w:b/>
          <w:color w:val="0632A0"/>
          <w:sz w:val="26"/>
        </w:rPr>
        <w:t>3. Warranty</w:t>
      </w:r>
    </w:p>
    <w:p>
      <w:r>
        <w:t>Supplier warrants that all goods supplied under this Agreement will be free from defects in material and workmanship for a period of twelve (12) months from delivery and will conform to the agreed specifications and quantities.</w:t>
      </w:r>
    </w:p>
    <w:p>
      <w:r>
        <w:rPr>
          <w:rFonts w:ascii="Georgia" w:hAnsi="Georgia"/>
          <w:b/>
          <w:color w:val="0632A0"/>
          <w:sz w:val="26"/>
        </w:rPr>
        <w:t>4. Governing law</w:t>
      </w:r>
    </w:p>
    <w:p>
      <w:r>
        <w:t>This Agreement shall be governed by and construed in accordance with the laws of the State of California, without regard to its conflict-of-laws principles.</w:t>
      </w:r>
    </w:p>
    <w:p>
      <w:r>
        <w:rPr>
          <w:rFonts w:ascii="Georgia" w:hAnsi="Georgia"/>
          <w:b/>
          <w:color w:val="0632A0"/>
          <w:sz w:val="26"/>
        </w:rPr>
        <w:t>5.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Supplier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Buyer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7"/>
        <w:sz w:val="16"/>
      </w:rPr>
      <w:t>Generated by the EBS Contract Renewal PAF agent · Syntax Corporation © 2026 · Draft for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620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