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80"/>
      </w:pPr>
      <w:r>
        <w:rPr>
          <w:b/>
          <w:color w:val="0632A0"/>
          <w:sz w:val="44"/>
          <w:rFonts w:ascii="Calibri" w:hAnsi="Calibri"/>
        </w:rPr>
        <w:t xml:space="preserve">Statement of Work</w:t>
      </w:r>
    </w:p>
    <w:p>
      <w:pPr>
        <w:spacing w:after="240"/>
      </w:pPr>
      <w:r>
        <w:rPr>
          <w:color w:val="5B6577"/>
          <w:sz w:val="22"/>
          <w:rFonts w:ascii="Calibri" w:hAnsi="Calibri"/>
        </w:rPr>
        <w:t xml:space="preserve">EBS AP Invoice Automation Agent · Syntax Corporation</w:t>
      </w:r>
    </w:p>
    <w:p>
      <w:pPr>
        <w:spacing w:after="120"/>
      </w:pPr>
      <w:r>
        <w:rPr>
          <w:b/>
          <w:color w:val="0632A0"/>
          <w:sz w:val="30"/>
          <w:rFonts w:ascii="Calibri" w:hAnsi="Calibri"/>
        </w:rPr>
        <w:t xml:space="preserve">1. Overview &amp; scope</w:t>
      </w:r>
    </w:p>
    <w:p>
      <w:pPr>
        <w:spacing w:after="120"/>
      </w:pPr>
      <w:r>
        <w:rPr>
          <w:color w:val="16203A"/>
          <w:sz w:val="22"/>
          <w:rFonts w:ascii="Calibri" w:hAnsi="Calibri"/>
        </w:rPr>
        <w:t xml:space="preserve">Syntax will implement the EBS AP Invoice Automation Agent on Oracle Private Agent Factory, integrating to the customer's EBS 19c via the OCI Database Tools Managed MCP, with deterministic 3-way match, GL/tax coding, QA, and load through the standard Payables Open Interface Import.</w:t>
      </w:r>
    </w:p>
    <w:p>
      <w:pPr>
        <w:spacing w:after="120"/>
      </w:pPr>
      <w:r>
        <w:rPr>
          <w:b/>
          <w:color w:val="0632A0"/>
          <w:sz w:val="30"/>
          <w:rFonts w:ascii="Calibri" w:hAnsi="Calibri"/>
        </w:rPr>
        <w:t xml:space="preserve">2. Architecture</w:t>
      </w:r>
    </w:p>
    <w:p>
      <w:pPr>
        <w:jc w:val="center"/>
        <w:spacing w:after="160"/>
      </w:pPr>
      <w:r>
        <w:drawing>
          <wp:inline distT="0" distB="0" distL="0" distR="0">
            <wp:extent cx="5669280" cy="3188970"/>
            <wp:docPr id="1" name="Architectu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chitecture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color w:val="0632A0"/>
          <w:sz w:val="30"/>
          <w:rFonts w:ascii="Calibri" w:hAnsi="Calibri"/>
        </w:rPr>
        <w:t xml:space="preserve">3. Deliverables</w:t>
      </w:r>
    </w:p>
    <w:p>
      <w:pPr>
        <w:numPr>
          <w:ilvl w:val="0"/>
          <w:numId w:val="1"/>
        </w:numPr>
        <w:spacing w:after="60"/>
      </w:pPr>
      <w:r>
        <w:rPr>
          <w:color w:val="16203A"/>
          <w:sz w:val="22"/>
          <w:rFonts w:ascii="Calibri" w:hAnsi="Calibri"/>
        </w:rPr>
        <w:t xml:space="preserve">XXPAF PL/SQL package deployed to EBS 19c</w:t>
      </w:r>
    </w:p>
    <w:p>
      <w:pPr>
        <w:numPr>
          <w:ilvl w:val="0"/>
          <w:numId w:val="1"/>
        </w:numPr>
        <w:spacing w:after="60"/>
      </w:pPr>
      <w:r>
        <w:rPr>
          <w:color w:val="16203A"/>
          <w:sz w:val="22"/>
          <w:rFonts w:ascii="Calibri" w:hAnsi="Calibri"/>
        </w:rPr>
        <w:t xml:space="preserve">PAF agent (.paf import + canvas) + managed-MCP tool registration</w:t>
      </w:r>
    </w:p>
    <w:p>
      <w:pPr>
        <w:numPr>
          <w:ilvl w:val="0"/>
          <w:numId w:val="1"/>
        </w:numPr>
        <w:spacing w:after="60"/>
      </w:pPr>
      <w:r>
        <w:rPr>
          <w:color w:val="16203A"/>
          <w:sz w:val="22"/>
          <w:rFonts w:ascii="Calibri" w:hAnsi="Calibri"/>
        </w:rPr>
        <w:t xml:space="preserve">QA pack (tests + QA_REPORT) and technical design document</w:t>
      </w:r>
    </w:p>
    <w:p>
      <w:pPr>
        <w:numPr>
          <w:ilvl w:val="0"/>
          <w:numId w:val="1"/>
        </w:numPr>
        <w:spacing w:after="60"/>
      </w:pPr>
      <w:r>
        <w:rPr>
          <w:color w:val="16203A"/>
          <w:sz w:val="22"/>
          <w:rFonts w:ascii="Calibri" w:hAnsi="Calibri"/>
        </w:rPr>
        <w:t xml:space="preserve">Go-live support and knowledge transfer</w:t>
      </w:r>
    </w:p>
    <w:p>
      <w:pPr>
        <w:spacing w:after="120"/>
      </w:pPr>
      <w:r>
        <w:rPr>
          <w:b/>
          <w:color w:val="0632A0"/>
          <w:sz w:val="30"/>
          <w:rFonts w:ascii="Calibri" w:hAnsi="Calibri"/>
        </w:rPr>
        <w:t xml:space="preserve">4. Responsibilities (RACI summary)</w:t>
      </w:r>
    </w:p>
    <w:tbl>
      <w:tblPr>
        <w:tblStyle w:val="TableGrid"/>
        <w:tblW w:w="9360" w:type="dxa"/>
        <w:tblBorders>
          <w:top w:val="single" w:sz="4" w:color="DCE4F4"/>
          <w:left w:val="single" w:sz="4" w:color="DCE4F4"/>
          <w:bottom w:val="single" w:sz="4" w:color="DCE4F4"/>
          <w:right w:val="single" w:sz="4" w:color="DCE4F4"/>
          <w:insideH w:val="single" w:sz="4" w:color="DCE4F4"/>
          <w:insideV w:val="single" w:sz="4" w:color="DCE4F4"/>
        </w:tblBorders>
      </w:tblPr>
      <w:tblGrid>
        <w:gridCol w:w="5360"/>
        <w:gridCol w:w="2000"/>
        <w:gridCol w:w="2000"/>
      </w:tblGrid>
      <w:tr>
        <w:tc>
          <w:tcPr>
            <w:tcW w:w="5360" w:type="dxa"/>
            <w:shd w:val="clear" w:fill="0632A0"/>
          </w:tcPr>
          <w:p>
            <w:pPr>
              <w:spacing w:after="20"/>
            </w:pPr>
            <w:r>
              <w:rPr>
                <w:b/>
                <w:color w:val="FFFFFF"/>
                <w:sz w:val="20"/>
                <w:rFonts w:ascii="Calibri" w:hAnsi="Calibri"/>
              </w:rPr>
              <w:t xml:space="preserve">Activity</w:t>
            </w:r>
          </w:p>
        </w:tc>
        <w:tc>
          <w:tcPr>
            <w:tcW w:w="2000" w:type="dxa"/>
            <w:shd w:val="clear" w:fill="0632A0"/>
          </w:tcPr>
          <w:p>
            <w:pPr>
              <w:spacing w:after="20"/>
            </w:pPr>
            <w:r>
              <w:rPr>
                <w:b/>
                <w:color w:val="FFFFFF"/>
                <w:sz w:val="20"/>
                <w:rFonts w:ascii="Calibri" w:hAnsi="Calibri"/>
              </w:rPr>
              <w:t xml:space="preserve">Syntax</w:t>
            </w:r>
          </w:p>
        </w:tc>
        <w:tc>
          <w:tcPr>
            <w:tcW w:w="2000" w:type="dxa"/>
            <w:shd w:val="clear" w:fill="0632A0"/>
          </w:tcPr>
          <w:p>
            <w:pPr>
              <w:spacing w:after="20"/>
            </w:pPr>
            <w:r>
              <w:rPr>
                <w:b/>
                <w:color w:val="FFFFFF"/>
                <w:sz w:val="20"/>
                <w:rFonts w:ascii="Calibri" w:hAnsi="Calibri"/>
              </w:rPr>
              <w:t xml:space="preserve">Customer</w:t>
            </w:r>
          </w:p>
        </w:tc>
      </w:tr>
      <w:tr>
        <w:tc>
          <w:tcPr>
            <w:tcW w:w="536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EBS access / Database Tools Connection</w:t>
            </w:r>
          </w:p>
        </w:tc>
        <w:tc>
          <w:tcPr>
            <w:tcW w:w="2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C</w:t>
            </w:r>
          </w:p>
        </w:tc>
        <w:tc>
          <w:tcPr>
            <w:tcW w:w="2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R</w:t>
            </w:r>
          </w:p>
        </w:tc>
      </w:tr>
      <w:tr>
        <w:tc>
          <w:tcPr>
            <w:tcW w:w="536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XXPAF deployment</w:t>
            </w:r>
          </w:p>
        </w:tc>
        <w:tc>
          <w:tcPr>
            <w:tcW w:w="2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R</w:t>
            </w:r>
          </w:p>
        </w:tc>
        <w:tc>
          <w:tcPr>
            <w:tcW w:w="2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A</w:t>
            </w:r>
          </w:p>
        </w:tc>
      </w:tr>
      <w:tr>
        <w:tc>
          <w:tcPr>
            <w:tcW w:w="536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PAF agent build + import</w:t>
            </w:r>
          </w:p>
        </w:tc>
        <w:tc>
          <w:tcPr>
            <w:tcW w:w="2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R</w:t>
            </w:r>
          </w:p>
        </w:tc>
        <w:tc>
          <w:tcPr>
            <w:tcW w:w="2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C</w:t>
            </w:r>
          </w:p>
        </w:tc>
      </w:tr>
      <w:tr>
        <w:tc>
          <w:tcPr>
            <w:tcW w:w="536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UAT &amp; acceptance</w:t>
            </w:r>
          </w:p>
        </w:tc>
        <w:tc>
          <w:tcPr>
            <w:tcW w:w="2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C</w:t>
            </w:r>
          </w:p>
        </w:tc>
        <w:tc>
          <w:tcPr>
            <w:tcW w:w="2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color w:val="0632A0"/>
          <w:sz w:val="30"/>
          <w:rFonts w:ascii="Calibri" w:hAnsi="Calibri"/>
        </w:rPr>
        <w:t xml:space="preserve">5. Pricing</w:t>
      </w:r>
    </w:p>
    <w:p>
      <w:pPr>
        <w:spacing w:after="120"/>
      </w:pPr>
      <w:r>
        <w:rPr>
          <w:color w:val="16203A"/>
          <w:sz w:val="22"/>
          <w:rFonts w:ascii="Calibri" w:hAnsi="Calibri"/>
        </w:rPr>
        <w:t xml:space="preserve">Implementation (fixed fee, blended $95/hr, 320 hrs):</w:t>
      </w:r>
    </w:p>
    <w:tbl>
      <w:tblPr>
        <w:tblStyle w:val="TableGrid"/>
        <w:tblW w:w="9360" w:type="dxa"/>
        <w:tblBorders>
          <w:top w:val="single" w:sz="4" w:color="DCE4F4"/>
          <w:left w:val="single" w:sz="4" w:color="DCE4F4"/>
          <w:bottom w:val="single" w:sz="4" w:color="DCE4F4"/>
          <w:right w:val="single" w:sz="4" w:color="DCE4F4"/>
          <w:insideH w:val="single" w:sz="4" w:color="DCE4F4"/>
          <w:insideV w:val="single" w:sz="4" w:color="DCE4F4"/>
        </w:tblBorders>
      </w:tblPr>
      <w:tblGrid>
        <w:gridCol w:w="6360"/>
        <w:gridCol w:w="3000"/>
      </w:tblGrid>
      <w:tr>
        <w:tc>
          <w:tcPr>
            <w:tcW w:w="6360" w:type="dxa"/>
            <w:shd w:val="clear" w:fill="0632A0"/>
          </w:tcPr>
          <w:p>
            <w:pPr>
              <w:spacing w:after="20"/>
            </w:pPr>
            <w:r>
              <w:rPr>
                <w:b/>
                <w:color w:val="FFFFFF"/>
                <w:sz w:val="20"/>
                <w:rFonts w:ascii="Calibri" w:hAnsi="Calibri"/>
              </w:rPr>
              <w:t xml:space="preserve">Item</w:t>
            </w:r>
          </w:p>
        </w:tc>
        <w:tc>
          <w:tcPr>
            <w:tcW w:w="3000" w:type="dxa"/>
            <w:shd w:val="clear" w:fill="0632A0"/>
          </w:tcPr>
          <w:p>
            <w:pPr>
              <w:spacing w:after="20"/>
            </w:pPr>
            <w:r>
              <w:rPr>
                <w:b/>
                <w:color w:val="FFFFFF"/>
                <w:sz w:val="20"/>
                <w:rFonts w:ascii="Calibri" w:hAnsi="Calibri"/>
              </w:rPr>
              <w:t xml:space="preserve">Amount</w:t>
            </w:r>
          </w:p>
        </w:tc>
      </w:tr>
      <w:tr>
        <w:tc>
          <w:tcPr>
            <w:tcW w:w="636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Implementation (~320 hrs @ $95 blended)</w:t>
            </w:r>
          </w:p>
        </w:tc>
        <w:tc>
          <w:tcPr>
            <w:tcW w:w="3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$30,400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color w:val="16203A"/>
          <w:sz w:val="22"/>
          <w:rFonts w:ascii="Calibri" w:hAnsi="Calibri"/>
        </w:rPr>
        <w:t xml:space="preserve">Managed services (per month, by commitment term — medium tier):</w:t>
      </w:r>
    </w:p>
    <w:tbl>
      <w:tblPr>
        <w:tblStyle w:val="TableGrid"/>
        <w:tblW w:w="9360" w:type="dxa"/>
        <w:tblBorders>
          <w:top w:val="single" w:sz="4" w:color="DCE4F4"/>
          <w:left w:val="single" w:sz="4" w:color="DCE4F4"/>
          <w:bottom w:val="single" w:sz="4" w:color="DCE4F4"/>
          <w:right w:val="single" w:sz="4" w:color="DCE4F4"/>
          <w:insideH w:val="single" w:sz="4" w:color="DCE4F4"/>
          <w:insideV w:val="single" w:sz="4" w:color="DCE4F4"/>
        </w:tblBorders>
      </w:tblPr>
      <w:tblGrid>
        <w:gridCol w:w="3360"/>
        <w:gridCol w:w="3000"/>
        <w:gridCol w:w="3000"/>
      </w:tblGrid>
      <w:tr>
        <w:tc>
          <w:tcPr>
            <w:tcW w:w="3360" w:type="dxa"/>
            <w:shd w:val="clear" w:fill="0632A0"/>
          </w:tcPr>
          <w:p>
            <w:pPr>
              <w:spacing w:after="20"/>
            </w:pPr>
            <w:r>
              <w:rPr>
                <w:b/>
                <w:color w:val="FFFFFF"/>
                <w:sz w:val="20"/>
                <w:rFonts w:ascii="Calibri" w:hAnsi="Calibri"/>
              </w:rPr>
              <w:t xml:space="preserve">Term</w:t>
            </w:r>
          </w:p>
        </w:tc>
        <w:tc>
          <w:tcPr>
            <w:tcW w:w="3000" w:type="dxa"/>
            <w:shd w:val="clear" w:fill="0632A0"/>
          </w:tcPr>
          <w:p>
            <w:pPr>
              <w:spacing w:after="20"/>
            </w:pPr>
            <w:r>
              <w:rPr>
                <w:b/>
                <w:color w:val="FFFFFF"/>
                <w:sz w:val="20"/>
                <w:rFonts w:ascii="Calibri" w:hAnsi="Calibri"/>
              </w:rPr>
              <w:t xml:space="preserve">Monthly</w:t>
            </w:r>
          </w:p>
        </w:tc>
        <w:tc>
          <w:tcPr>
            <w:tcW w:w="3000" w:type="dxa"/>
            <w:shd w:val="clear" w:fill="0632A0"/>
          </w:tcPr>
          <w:p>
            <w:pPr>
              <w:spacing w:after="20"/>
            </w:pPr>
            <w:r>
              <w:rPr>
                <w:b/>
                <w:color w:val="FFFFFF"/>
                <w:sz w:val="20"/>
                <w:rFonts w:ascii="Calibri" w:hAnsi="Calibri"/>
              </w:rPr>
              <w:t xml:space="preserve">Discount</w:t>
            </w:r>
          </w:p>
        </w:tc>
      </w:tr>
      <w:tr>
        <w:tc>
          <w:tcPr>
            <w:tcW w:w="336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12 months</w:t>
            </w:r>
          </w:p>
        </w:tc>
        <w:tc>
          <w:tcPr>
            <w:tcW w:w="3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$8,957</w:t>
            </w:r>
          </w:p>
        </w:tc>
        <w:tc>
          <w:tcPr>
            <w:tcW w:w="3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—</w:t>
            </w:r>
          </w:p>
        </w:tc>
      </w:tr>
      <w:tr>
        <w:tc>
          <w:tcPr>
            <w:tcW w:w="336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24 months</w:t>
            </w:r>
          </w:p>
        </w:tc>
        <w:tc>
          <w:tcPr>
            <w:tcW w:w="3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$8,061</w:t>
            </w:r>
          </w:p>
        </w:tc>
        <w:tc>
          <w:tcPr>
            <w:tcW w:w="3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10%</w:t>
            </w:r>
          </w:p>
        </w:tc>
      </w:tr>
      <w:tr>
        <w:tc>
          <w:tcPr>
            <w:tcW w:w="336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36 months</w:t>
            </w:r>
          </w:p>
        </w:tc>
        <w:tc>
          <w:tcPr>
            <w:tcW w:w="3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$7,165</w:t>
            </w:r>
          </w:p>
        </w:tc>
        <w:tc>
          <w:tcPr>
            <w:tcW w:w="3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20%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color w:val="16203A"/>
          <w:sz w:val="22"/>
          <w:rFonts w:ascii="Calibri" w:hAnsi="Calibri"/>
        </w:rPr>
        <w:t xml:space="preserve">Estimated first-year net savings ~ $822,520; payback ~ 1.4 months. See the ROI calculator and OCI BOM for detail.</w:t>
      </w:r>
    </w:p>
    <w:p>
      <w:pPr>
        <w:spacing w:after="120"/>
      </w:pPr>
      <w:r>
        <w:rPr>
          <w:b/>
          <w:color w:val="0632A0"/>
          <w:sz w:val="30"/>
          <w:rFonts w:ascii="Calibri" w:hAnsi="Calibri"/>
        </w:rPr>
        <w:t xml:space="preserve">6. Acceptance &amp; signatures</w:t>
      </w:r>
    </w:p>
    <w:p>
      <w:pPr>
        <w:spacing w:after="120"/>
      </w:pPr>
      <w:r>
        <w:rPr>
          <w:color w:val="16203A"/>
          <w:sz w:val="22"/>
          <w:rFonts w:ascii="Calibri" w:hAnsi="Calibri"/>
        </w:rPr>
        <w:t xml:space="preserve">Acceptance: a green live golden test plus a balanced interface load in customer UAT. This generic SOW shell is subject to the parties' MSA; have counsel review before use.</w:t>
      </w:r>
    </w:p>
    <w:p>
      <w:pPr>
        <w:spacing w:after="120"/>
      </w:pPr>
      <w:r>
        <w:rPr>
          <w:color w:val="16203A"/>
          <w:sz w:val="22"/>
          <w:rFonts w:ascii="Calibri" w:hAnsi="Calibri"/>
        </w:rPr>
        <w:t xml:space="preserve"> </w:t>
      </w:r>
    </w:p>
    <w:tbl>
      <w:tblPr>
        <w:tblStyle w:val="TableGrid"/>
        <w:tblW w:w="9360" w:type="dxa"/>
        <w:tblBorders>
          <w:top w:val="single" w:sz="4" w:color="DCE4F4"/>
          <w:left w:val="single" w:sz="4" w:color="DCE4F4"/>
          <w:bottom w:val="single" w:sz="4" w:color="DCE4F4"/>
          <w:right w:val="single" w:sz="4" w:color="DCE4F4"/>
          <w:insideH w:val="single" w:sz="4" w:color="DCE4F4"/>
          <w:insideV w:val="single" w:sz="4" w:color="DCE4F4"/>
        </w:tblBorders>
      </w:tblPr>
      <w:tblGrid>
        <w:gridCol w:w="4680"/>
        <w:gridCol w:w="4680"/>
      </w:tblGrid>
      <w:tr>
        <w:tc>
          <w:tcPr>
            <w:tcW w:w="4680" w:type="dxa"/>
            <w:shd w:val="clear" w:fill="0632A0"/>
          </w:tcPr>
          <w:p>
            <w:pPr>
              <w:spacing w:after="20"/>
            </w:pPr>
            <w:r>
              <w:rPr>
                <w:b/>
                <w:color w:val="FFFFFF"/>
                <w:sz w:val="20"/>
                <w:rFonts w:ascii="Calibri" w:hAnsi="Calibri"/>
              </w:rPr>
              <w:t xml:space="preserve">For Customer</w:t>
            </w:r>
          </w:p>
        </w:tc>
        <w:tc>
          <w:tcPr>
            <w:tcW w:w="4680" w:type="dxa"/>
            <w:shd w:val="clear" w:fill="0632A0"/>
          </w:tcPr>
          <w:p>
            <w:pPr>
              <w:spacing w:after="20"/>
            </w:pPr>
            <w:r>
              <w:rPr>
                <w:b/>
                <w:color w:val="FFFFFF"/>
                <w:sz w:val="20"/>
                <w:rFonts w:ascii="Calibri" w:hAnsi="Calibri"/>
              </w:rPr>
              <w:t xml:space="preserve">For Syntax Corporation</w:t>
            </w:r>
          </w:p>
        </w:tc>
      </w:tr>
      <w:tr>
        <w:tc>
          <w:tcPr>
            <w:tcW w:w="468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Name:</w:t>
            </w:r>
          </w:p>
        </w:tc>
        <w:tc>
          <w:tcPr>
            <w:tcW w:w="468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Name:</w:t>
            </w:r>
          </w:p>
        </w:tc>
      </w:tr>
      <w:tr>
        <w:tc>
          <w:tcPr>
            <w:tcW w:w="468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Title:</w:t>
            </w:r>
          </w:p>
        </w:tc>
        <w:tc>
          <w:tcPr>
            <w:tcW w:w="468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Title:</w:t>
            </w:r>
          </w:p>
        </w:tc>
      </w:tr>
      <w:tr>
        <w:tc>
          <w:tcPr>
            <w:tcW w:w="468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Signature / Date:</w:t>
            </w:r>
          </w:p>
        </w:tc>
        <w:tc>
          <w:tcPr>
            <w:tcW w:w="468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Signature / Date:</w:t>
            </w:r>
          </w:p>
        </w:tc>
      </w:tr>
    </w:tbl>
    <w:p>
      <w:pPr>
        <w:spacing w:after="120"/>
      </w:pPr>
    </w:p>
    <w:p>
      <w:pPr>
        <w:spacing w:after="0"/>
        <w:jc w:val="center"/>
      </w:pPr>
      <w:r>
        <w:rPr>
          <w:color w:val="5B6577"/>
          <w:sz w:val="16"/>
          <w:rFonts w:ascii="Calibri" w:hAnsi="Calibri"/>
        </w:rPr>
        <w:t xml:space="preserve">Syntax Corporation © 2026 · Confidential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<Relationships xmlns="http://schemas.openxmlformats.org/package/2006/relationships"><Relationship Id="rId100" Type="http://schemas.openxmlformats.org/officeDocument/2006/relationships/image" Target="media/image0.png"/></Relationships>
</file>