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80"/>
      </w:pPr>
      <w:r>
        <w:rPr>
          <w:b/>
          <w:color w:val="0632A0"/>
          <w:sz w:val="44"/>
          <w:rFonts w:ascii="Calibri" w:hAnsi="Calibri"/>
        </w:rPr>
        <w:t xml:space="preserve">EBS AP Invoice Automation Agent — Technical Design</w:t>
      </w:r>
    </w:p>
    <w:p>
      <w:pPr>
        <w:spacing w:after="240"/>
      </w:pPr>
      <w:r>
        <w:rPr>
          <w:color w:val="5B6577"/>
          <w:sz w:val="22"/>
          <w:rFonts w:ascii="Calibri" w:hAnsi="Calibri"/>
        </w:rPr>
        <w:t xml:space="preserve">AP invoice automation · Oracle Private Agent Factory</w:t>
      </w:r>
    </w:p>
    <w:p>
      <w:pPr>
        <w:spacing w:after="120"/>
      </w:pPr>
      <w:r>
        <w:rPr>
          <w:b/>
          <w:color w:val="0632A0"/>
          <w:sz w:val="30"/>
          <w:rFonts w:ascii="Calibri" w:hAnsi="Calibri"/>
        </w:rPr>
        <w:t xml:space="preserve">Architecture</w:t>
      </w:r>
    </w:p>
    <w:p>
      <w:pPr>
        <w:jc w:val="center"/>
        <w:spacing w:after="160"/>
      </w:pPr>
      <w:r>
        <w:drawing>
          <wp:inline distT="0" distB="0" distL="0" distR="0">
            <wp:extent cx="5669280" cy="3188970"/>
            <wp:docPr id="1" name="Architectu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chitecture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color w:val="16203A"/>
          <w:sz w:val="22"/>
          <w:rFonts w:ascii="Calibri" w:hAnsi="Calibri"/>
        </w:rPr>
        <w:t xml:space="preserve">EBS 19c (OCI DBaaS/Exadata) is the system of record and the home of all logic — the XXPAF_AP_AGENT PL/SQL package. PAF runs on an ADB 26ai sidecar holding zero EBS data and is not in the data path. The OCI Database Tools Managed MCP (HTTPS + OAuth/IAM) exposes XXPAF as a governed custom tool + SQL Reports over a Database Tools Connection — no broker, no DB link, no thick-mode in production.</w:t>
      </w:r>
    </w:p>
    <w:p>
      <w:pPr>
        <w:spacing w:after="120"/>
      </w:pPr>
      <w:r>
        <w:rPr>
          <w:b/>
          <w:color w:val="0632A0"/>
          <w:sz w:val="30"/>
          <w:rFonts w:ascii="Calibri" w:hAnsi="Calibri"/>
        </w:rPr>
        <w:t xml:space="preserve">Processing</w:t>
      </w:r>
    </w:p>
    <w:p>
      <w:pPr>
        <w:numPr>
          <w:ilvl w:val="0"/>
          <w:numId w:val="1"/>
        </w:numPr>
        <w:spacing w:after="60"/>
      </w:pPr>
      <w:r>
        <w:rPr>
          <w:color w:val="16203A"/>
          <w:sz w:val="22"/>
          <w:rFonts w:ascii="Calibri" w:hAnsi="Calibri"/>
        </w:rPr>
        <w:t xml:space="preserve">Extraction in the PAF LLM node → invoice JSON</w:t>
      </w:r>
    </w:p>
    <w:p>
      <w:pPr>
        <w:numPr>
          <w:ilvl w:val="0"/>
          <w:numId w:val="1"/>
        </w:numPr>
        <w:spacing w:after="60"/>
      </w:pPr>
      <w:r>
        <w:rPr>
          <w:color w:val="16203A"/>
          <w:sz w:val="22"/>
          <w:rFonts w:ascii="Calibri" w:hAnsi="Calibri"/>
        </w:rPr>
        <w:t xml:space="preserve">match_code_and_validate (XXPAF): supplier resolve, duplicate check, 3-way match (dual %/$ tolerance), GL/tax coding, QA gate</w:t>
      </w:r>
    </w:p>
    <w:p>
      <w:pPr>
        <w:numPr>
          <w:ilvl w:val="0"/>
          <w:numId w:val="1"/>
        </w:numPr>
        <w:spacing w:after="60"/>
      </w:pPr>
      <w:r>
        <w:rPr>
          <w:color w:val="16203A"/>
          <w:sz w:val="22"/>
          <w:rFonts w:ascii="Calibri" w:hAnsi="Calibri"/>
        </w:rPr>
        <w:t xml:space="preserve">Balanced AP interface rows (header = Σ lines incl. TAX line)</w:t>
      </w:r>
    </w:p>
    <w:p>
      <w:pPr>
        <w:numPr>
          <w:ilvl w:val="0"/>
          <w:numId w:val="1"/>
        </w:numPr>
        <w:spacing w:after="60"/>
      </w:pPr>
      <w:r>
        <w:rPr>
          <w:color w:val="16203A"/>
          <w:sz w:val="22"/>
          <w:rFonts w:ascii="Calibri" w:hAnsi="Calibri"/>
        </w:rPr>
        <w:t xml:space="preserve">Load via the standard Payables Open Interface Import (writes off the MCP path)</w:t>
      </w:r>
    </w:p>
    <w:p>
      <w:pPr>
        <w:spacing w:after="120"/>
      </w:pPr>
      <w:r>
        <w:rPr>
          <w:b/>
          <w:color w:val="0632A0"/>
          <w:sz w:val="30"/>
          <w:rFonts w:ascii="Calibri" w:hAnsi="Calibri"/>
        </w:rPr>
        <w:t xml:space="preserve">Interface contract</w:t>
      </w:r>
    </w:p>
    <w:tbl>
      <w:tblPr>
        <w:tblStyle w:val="TableGrid"/>
        <w:tblW w:w="9360" w:type="dxa"/>
        <w:tblBorders>
          <w:top w:val="single" w:sz="4" w:color="DCE4F4"/>
          <w:left w:val="single" w:sz="4" w:color="DCE4F4"/>
          <w:bottom w:val="single" w:sz="4" w:color="DCE4F4"/>
          <w:right w:val="single" w:sz="4" w:color="DCE4F4"/>
          <w:insideH w:val="single" w:sz="4" w:color="DCE4F4"/>
          <w:insideV w:val="single" w:sz="4" w:color="DCE4F4"/>
        </w:tblBorders>
      </w:tblPr>
      <w:tblGrid>
        <w:gridCol w:w="3000"/>
        <w:gridCol w:w="6360"/>
      </w:tblGrid>
      <w:tr>
        <w:tc>
          <w:tcPr>
            <w:tcW w:w="3000" w:type="dxa"/>
            <w:shd w:val="clear" w:fill="0632A0"/>
          </w:tcPr>
          <w:p>
            <w:pPr>
              <w:spacing w:after="20"/>
            </w:pPr>
            <w:r>
              <w:rPr>
                <w:b/>
                <w:color w:val="FFFFFF"/>
                <w:sz w:val="20"/>
                <w:rFonts w:ascii="Calibri" w:hAnsi="Calibri"/>
              </w:rPr>
              <w:t xml:space="preserve">Item</w:t>
            </w:r>
          </w:p>
        </w:tc>
        <w:tc>
          <w:tcPr>
            <w:tcW w:w="6360" w:type="dxa"/>
            <w:shd w:val="clear" w:fill="0632A0"/>
          </w:tcPr>
          <w:p>
            <w:pPr>
              <w:spacing w:after="20"/>
            </w:pPr>
            <w:r>
              <w:rPr>
                <w:b/>
                <w:color w:val="FFFFFF"/>
                <w:sz w:val="20"/>
                <w:rFonts w:ascii="Calibri" w:hAnsi="Calibri"/>
              </w:rPr>
              <w:t xml:space="preserve">Value</w:t>
            </w:r>
          </w:p>
        </w:tc>
      </w:tr>
      <w:tr>
        <w:tc>
          <w:tcPr>
            <w:tcW w:w="3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Header table</w:t>
            </w:r>
          </w:p>
        </w:tc>
        <w:tc>
          <w:tcPr>
            <w:tcW w:w="636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AP_INVOICES_INTERFACE</w:t>
            </w:r>
          </w:p>
        </w:tc>
      </w:tr>
      <w:tr>
        <w:tc>
          <w:tcPr>
            <w:tcW w:w="3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Lines table</w:t>
            </w:r>
          </w:p>
        </w:tc>
        <w:tc>
          <w:tcPr>
            <w:tcW w:w="636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AP_INVOICE_LINES_INTERFACE</w:t>
            </w:r>
          </w:p>
        </w:tc>
      </w:tr>
      <w:tr>
        <w:tc>
          <w:tcPr>
            <w:tcW w:w="3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Import program</w:t>
            </w:r>
          </w:p>
        </w:tc>
        <w:tc>
          <w:tcPr>
            <w:tcW w:w="636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Payables Open Interface Import</w:t>
            </w:r>
          </w:p>
        </w:tc>
      </w:tr>
      <w:tr>
        <w:tc>
          <w:tcPr>
            <w:tcW w:w="300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Tolerances</w:t>
            </w:r>
          </w:p>
        </w:tc>
        <w:tc>
          <w:tcPr>
            <w:tcW w:w="6360" w:type="dxa"/>
            <w:shd w:val="clear" w:fill="F4F7FC"/>
          </w:tcPr>
          <w:p>
            <w:pPr>
              <w:spacing w:after="20"/>
            </w:pPr>
            <w:r>
              <w:rPr>
                <w:color w:val="16203A"/>
                <w:sz w:val="20"/>
                <w:rFonts w:ascii="Calibri" w:hAnsi="Calibri"/>
              </w:rPr>
              <w:t xml:space="preserve">price 2% &amp; $25 · qty 5% &amp; $25 (dual gate)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color w:val="0632A0"/>
          <w:sz w:val="30"/>
          <w:rFonts w:ascii="Calibri" w:hAnsi="Calibri"/>
        </w:rPr>
        <w:t xml:space="preserve">Assurance</w:t>
      </w:r>
    </w:p>
    <w:p>
      <w:pPr>
        <w:spacing w:after="120"/>
      </w:pPr>
      <w:r>
        <w:rPr>
          <w:color w:val="16203A"/>
          <w:sz w:val="22"/>
          <w:rFonts w:ascii="Calibri" w:hAnsi="Calibri"/>
        </w:rPr>
        <w:t xml:space="preserve">Deterministic logic in PL/SQL; the Python reference engine is the test oracle (parity test asserts Python == PL/SQL on golden PO 3495 → balanced $632,500.00, QA PASS).</w:t>
      </w:r>
    </w:p>
    <w:p>
      <w:pPr>
        <w:spacing w:after="0"/>
        <w:jc w:val="center"/>
      </w:pPr>
      <w:r>
        <w:rPr>
          <w:color w:val="5B6577"/>
          <w:sz w:val="16"/>
          <w:rFonts w:ascii="Calibri" w:hAnsi="Calibri"/>
        </w:rPr>
        <w:t xml:space="preserve">Syntax Corporation © 2026 · Confidential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<Relationships xmlns="http://schemas.openxmlformats.org/package/2006/relationships"><Relationship Id="rId100" Type="http://schemas.openxmlformats.org/officeDocument/2006/relationships/image" Target="media/image0.png"/></Relationships>
</file>