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80"/>
      </w:pPr>
      <w:r>
        <w:rPr>
          <w:b/>
          <w:color w:val="0632A0"/>
          <w:sz w:val="44"/>
          <w:rFonts w:ascii="Calibri" w:hAnsi="Calibri"/>
        </w:rPr>
        <w:t xml:space="preserve">Statement of Work</w:t>
      </w:r>
    </w:p>
    <w:p>
      <w:pPr>
        <w:spacing w:after="240"/>
      </w:pPr>
      <w:r>
        <w:rPr>
          <w:color w:val="5B6577"/>
          <w:sz w:val="22"/>
          <w:rFonts w:ascii="Calibri" w:hAnsi="Calibri"/>
        </w:rPr>
        <w:t xml:space="preserve">EBS AP Invoice Automation Agent · Syntax Corporation · Syntax Corporation © 2026 · Confidential</w:t>
      </w:r>
    </w:p>
    <w:p>
      <w:r>
        <w:br w:type="page"/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1. Business problem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AP automation is a $3B+ category with multiple unicorns. Every EBS shop runs tens of thousands to millions of invoices a year — and pays incumbents $3–8 each.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$12–15 — fully-loaded cost to process one invoice by hand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8–10 days — typical cycle time — late payments, missed discounts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1–3% — of spend lost to duplicate and over-billed invoices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2. Solution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Reads any invoice: PDF, email or text — a deterministic parser (zero external deps) with an optional LLM for messy/scanned docs.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Checks live EBS: Supplier, PO, receipts, tax and GL — read-only, org-scoped lookups against the real E-Business Suite.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Matches &amp; codes: Deterministic 3-way match with price/qty tolerances, GL distribution inheritance and tax classification.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Validates &amp; delivers: A QA gate proves every invoice balances before it writes balanced AP Open Interface files.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Same agentic pattern as Oracle's Private Agent Factory contract-renewal blog — pointed at the far larger AP revenue pool.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3. Value proposition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Estimated annual value ~$930,000; first-year net ~$822,520; payback ~1.4 months; 20–40× return on the agent fee.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Processing cost: $475K / yr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Early-pay discounts: $225K / yr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Duplicate prevention: $150K / yr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Audit / compliance: $80K / yr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4. Functional flow</w:t>
      </w:r>
    </w:p>
    <w:p>
      <w:pPr>
        <w:jc w:val="center"/>
        <w:spacing w:after="160"/>
      </w:pPr>
      <w:r>
        <w:drawing>
          <wp:inline distT="0" distB="0" distL="0" distR="0">
            <wp:extent cx="5669280" cy="3188970"/>
            <wp:docPr id="1" name="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5. Technical architecture</w:t>
      </w:r>
    </w:p>
    <w:p>
      <w:pPr>
        <w:jc w:val="center"/>
        <w:spacing w:after="160"/>
      </w:pPr>
      <w:r>
        <w:drawing>
          <wp:inline distT="0" distB="0" distL="0" distR="0">
            <wp:extent cx="5669280" cy="3188970"/>
            <wp:docPr id="1" name="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6. Scope &amp; deliverables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XXPAF PL/SQL package deployed to EBS 19c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PAF agent (.paf import + canvas) + managed-MCP tool registration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QA pack (tests + QA_REPORT) and technical design document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Go-live support and knowledge transfer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7. Ongoing governance deliverables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KPI / monitoring dashboard (throughput, STP %, exception rate) via the published REST API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Exception-review console for HOLD / needs-approval invoices (human-in-the-loop)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Model &amp; prompt management — versioned prompts, model pinning, regression checks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Periodic accuracy review — re-run the validation gate on a sampled set each quarter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Change &amp; incident management — controlled prompt/tool changes; severity-based incident handling</w:t>
      </w:r>
    </w:p>
    <w:p>
      <w:pPr>
        <w:numPr>
          <w:ilvl w:val="0"/>
          <w:numId w:val="1"/>
        </w:numPr>
        <w:spacing w:after="60"/>
      </w:pPr>
      <w:r>
        <w:rPr>
          <w:color w:val="16203A"/>
          <w:sz w:val="22"/>
          <w:rFonts w:ascii="Calibri" w:hAnsi="Calibri"/>
        </w:rPr>
        <w:t xml:space="preserve">Quarterly value review — realized savings vs the ROI model; tuning backlog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8. Implementation timeline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Target duration: 8 weeks.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2200"/>
        <w:gridCol w:w="1300"/>
        <w:gridCol w:w="5860"/>
      </w:tblGrid>
      <w:tr>
        <w:tc>
          <w:tcPr>
            <w:tcW w:w="22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Phase</w:t>
            </w:r>
          </w:p>
        </w:tc>
        <w:tc>
          <w:tcPr>
            <w:tcW w:w="13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Weeks</w:t>
            </w:r>
          </w:p>
        </w:tc>
        <w:tc>
          <w:tcPr>
            <w:tcW w:w="58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Outcomes</w:t>
            </w:r>
          </w:p>
        </w:tc>
      </w:tr>
      <w:tr>
        <w:tc>
          <w:tcPr>
            <w:tcW w:w="22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Discovery</w:t>
            </w:r>
          </w:p>
        </w:tc>
        <w:tc>
          <w:tcPr>
            <w:tcW w:w="13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1–2</w:t>
            </w:r>
          </w:p>
        </w:tc>
        <w:tc>
          <w:tcPr>
            <w:tcW w:w="58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Confirm volumes, invoice mix, target OU; finalize spec.yaml; access + Database Tools Connection</w:t>
            </w:r>
          </w:p>
        </w:tc>
      </w:tr>
      <w:tr>
        <w:tc>
          <w:tcPr>
            <w:tcW w:w="22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Build</w:t>
            </w:r>
          </w:p>
        </w:tc>
        <w:tc>
          <w:tcPr>
            <w:tcW w:w="13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3–5</w:t>
            </w:r>
          </w:p>
        </w:tc>
        <w:tc>
          <w:tcPr>
            <w:tcW w:w="58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XXPAF PL/SQL + managed-MCP tools; agent flowGraph; deliverables generated</w:t>
            </w:r>
          </w:p>
        </w:tc>
      </w:tr>
      <w:tr>
        <w:tc>
          <w:tcPr>
            <w:tcW w:w="22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Validate</w:t>
            </w:r>
          </w:p>
        </w:tc>
        <w:tc>
          <w:tcPr>
            <w:tcW w:w="13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6</w:t>
            </w:r>
          </w:p>
        </w:tc>
        <w:tc>
          <w:tcPr>
            <w:tcW w:w="58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Validation gate on ground-truth set; Python↔PL/SQL parity; zero unsafe actions</w:t>
            </w:r>
          </w:p>
        </w:tc>
      </w:tr>
      <w:tr>
        <w:tc>
          <w:tcPr>
            <w:tcW w:w="22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Go-live</w:t>
            </w:r>
          </w:p>
        </w:tc>
        <w:tc>
          <w:tcPr>
            <w:tcW w:w="13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7</w:t>
            </w:r>
          </w:p>
        </w:tc>
        <w:tc>
          <w:tcPr>
            <w:tcW w:w="58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Import .paf, rebind MCP + LLM, UAT, scheduled Open Interface Import</w:t>
            </w:r>
          </w:p>
        </w:tc>
      </w:tr>
      <w:tr>
        <w:tc>
          <w:tcPr>
            <w:tcW w:w="22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Hypercare</w:t>
            </w:r>
          </w:p>
        </w:tc>
        <w:tc>
          <w:tcPr>
            <w:tcW w:w="13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8</w:t>
            </w:r>
          </w:p>
        </w:tc>
        <w:tc>
          <w:tcPr>
            <w:tcW w:w="58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Monitored run, exception triage, KT; transition to managed services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9. RACI matrix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5360"/>
        <w:gridCol w:w="2000"/>
        <w:gridCol w:w="2000"/>
      </w:tblGrid>
      <w:tr>
        <w:tc>
          <w:tcPr>
            <w:tcW w:w="5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Activity</w:t>
            </w:r>
          </w:p>
        </w:tc>
        <w:tc>
          <w:tcPr>
            <w:tcW w:w="2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Syntax</w:t>
            </w:r>
          </w:p>
        </w:tc>
        <w:tc>
          <w:tcPr>
            <w:tcW w:w="2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Customer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Discovery &amp; spec sign-off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R/A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EBS access / Database Tools Connection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R/A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XXPAF PL/SQL build + deploy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Managed-MCP tool registration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Agent build + .paf import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Validation-gate execution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UAT &amp; acceptance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R/A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Go-live &amp; scheduling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Ongoing managed services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Security / change approvals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</w:t>
            </w:r>
          </w:p>
        </w:tc>
        <w:tc>
          <w:tcPr>
            <w:tcW w:w="2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R/A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10. Service levels (SLAs)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5360"/>
        <w:gridCol w:w="4000"/>
      </w:tblGrid>
      <w:tr>
        <w:tc>
          <w:tcPr>
            <w:tcW w:w="5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Metric</w:t>
            </w:r>
          </w:p>
        </w:tc>
        <w:tc>
          <w:tcPr>
            <w:tcW w:w="4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Target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Agent service availability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99.5% monthly (excl. EBS/OCI maintenance)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P1 (service down) response / resolution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 hr / 8 business hrs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P2 (degraded) response / resolution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4 business hrs / 2 business days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P3 (question / minor) response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 business day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Support hours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8×5 (24×7 optional)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QA-gate pass on accepted invoices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100% balanced + reconciled before load</w:t>
            </w:r>
          </w:p>
        </w:tc>
      </w:tr>
      <w:tr>
        <w:tc>
          <w:tcPr>
            <w:tcW w:w="5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Extraction accuracy (sampled)</w:t>
            </w:r>
          </w:p>
        </w:tc>
        <w:tc>
          <w:tcPr>
            <w:tcW w:w="4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≥ 98% on in-scope document types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11. Entitlements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3360"/>
        <w:gridCol w:w="6000"/>
      </w:tblGrid>
      <w:tr>
        <w:tc>
          <w:tcPr>
            <w:tcW w:w="3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Item</w:t>
            </w:r>
          </w:p>
        </w:tc>
        <w:tc>
          <w:tcPr>
            <w:tcW w:w="6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Included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Agent license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 production agent (this domain); add-on agents priced separately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Environments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Production + one non-prod (UAT)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Included run hours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40 hrs/month managed-services run team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Updates &amp; upgrades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Prompt / model / tool updates + PAF-release compatibility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Support tier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Standard 8×5 (per SLA table); premium 24×7 optional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Documentation</w:t>
            </w:r>
          </w:p>
        </w:tc>
        <w:tc>
          <w:tcPr>
            <w:tcW w:w="6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Installation, technical design, validation gate, QA report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12. Pricing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Implementation (fixed fee, blended $95/hr, 320 hrs):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6360"/>
        <w:gridCol w:w="3000"/>
      </w:tblGrid>
      <w:tr>
        <w:tc>
          <w:tcPr>
            <w:tcW w:w="6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Item</w:t>
            </w:r>
          </w:p>
        </w:tc>
        <w:tc>
          <w:tcPr>
            <w:tcW w:w="3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Amount</w:t>
            </w:r>
          </w:p>
        </w:tc>
      </w:tr>
      <w:tr>
        <w:tc>
          <w:tcPr>
            <w:tcW w:w="6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Implementation (~320 hrs @ $95 blended)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$30,400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Managed services (per month, by commitment term — medium tier):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3360"/>
        <w:gridCol w:w="3000"/>
        <w:gridCol w:w="3000"/>
      </w:tblGrid>
      <w:tr>
        <w:tc>
          <w:tcPr>
            <w:tcW w:w="33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Term</w:t>
            </w:r>
          </w:p>
        </w:tc>
        <w:tc>
          <w:tcPr>
            <w:tcW w:w="3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Monthly</w:t>
            </w:r>
          </w:p>
        </w:tc>
        <w:tc>
          <w:tcPr>
            <w:tcW w:w="3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Discount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12 months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$8,957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—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24 months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$8,061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10%</w:t>
            </w:r>
          </w:p>
        </w:tc>
      </w:tr>
      <w:tr>
        <w:tc>
          <w:tcPr>
            <w:tcW w:w="33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36 months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$7,165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20%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13. OCI Bill of Materials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3800"/>
        <w:gridCol w:w="3000"/>
        <w:gridCol w:w="2560"/>
      </w:tblGrid>
      <w:tr>
        <w:tc>
          <w:tcPr>
            <w:tcW w:w="38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Component</w:t>
            </w:r>
          </w:p>
        </w:tc>
        <w:tc>
          <w:tcPr>
            <w:tcW w:w="300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Pricing model</w:t>
            </w:r>
          </w:p>
        </w:tc>
        <w:tc>
          <w:tcPr>
            <w:tcW w:w="256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Notes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Autonomous AI Database 26ai (ADB, ECPU)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License Included or BYOL (~76% lower)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PAF sidecar host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Oracle Private Agent Factory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$0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included with AI Database 26ai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OCI Database Tools / Managed MCP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consumption (confirm at install)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replaces self-hosted broker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OCI Generative AI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per-token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model-dependent (extraction)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OCI Document Understanding (OCR)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per-page (optional)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only if PDF/scan ingestion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Compute / storage / networking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consumption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no broker VM; no Instant Client host</w:t>
            </w:r>
          </w:p>
        </w:tc>
      </w:tr>
      <w:tr>
        <w:tc>
          <w:tcPr>
            <w:tcW w:w="38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EBS 19c (OCI DBaaS/Exadata)</w:t>
            </w:r>
          </w:p>
        </w:tc>
        <w:tc>
          <w:tcPr>
            <w:tcW w:w="300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customer existing license</w:t>
            </w:r>
          </w:p>
        </w:tc>
        <w:tc>
          <w:tcPr>
            <w:tcW w:w="256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system of record + XXPAF logic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14. Acceptance &amp; assumptions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Acceptance: a green live golden test plus a balanced interface load in customer UAT.</w:t>
      </w:r>
    </w:p>
    <w:p>
      <w:pPr>
        <w:spacing w:after="120"/>
      </w:pPr>
      <w:r>
        <w:rPr>
          <w:color w:val="16203A"/>
          <w:sz w:val="22"/>
          <w:rFonts w:ascii="Calibri" w:hAnsi="Calibri"/>
        </w:rPr>
        <w:t xml:space="preserve">This generic SOW shell is subject to the parties' MSA; have counsel review before use.</w:t>
      </w:r>
    </w:p>
    <w:p>
      <w:pPr>
        <w:spacing w:after="120"/>
      </w:pPr>
      <w:r>
        <w:rPr>
          <w:b/>
          <w:color w:val="0632A0"/>
          <w:sz w:val="30"/>
          <w:rFonts w:ascii="Calibri" w:hAnsi="Calibri"/>
        </w:rPr>
        <w:t xml:space="preserve">15. Signatures</w:t>
      </w:r>
    </w:p>
    <w:tbl>
      <w:tblPr>
        <w:tblStyle w:val="TableGrid"/>
        <w:tblW w:w="9360" w:type="dxa"/>
        <w:tblBorders>
          <w:top w:val="single" w:sz="4" w:color="DCE4F4"/>
          <w:left w:val="single" w:sz="4" w:color="DCE4F4"/>
          <w:bottom w:val="single" w:sz="4" w:color="DCE4F4"/>
          <w:right w:val="single" w:sz="4" w:color="DCE4F4"/>
          <w:insideH w:val="single" w:sz="4" w:color="DCE4F4"/>
          <w:insideV w:val="single" w:sz="4" w:color="DCE4F4"/>
        </w:tblBorders>
      </w:tblPr>
      <w:tblGrid>
        <w:gridCol w:w="4680"/>
        <w:gridCol w:w="4680"/>
      </w:tblGrid>
      <w:tr>
        <w:tc>
          <w:tcPr>
            <w:tcW w:w="468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For Customer</w:t>
            </w:r>
          </w:p>
        </w:tc>
        <w:tc>
          <w:tcPr>
            <w:tcW w:w="4680" w:type="dxa"/>
            <w:shd w:val="clear" w:fill="0632A0"/>
          </w:tcPr>
          <w:p>
            <w:pPr>
              <w:spacing w:after="2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For Syntax Corporation</w:t>
            </w:r>
          </w:p>
        </w:tc>
      </w:tr>
      <w:tr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Name:</w:t>
            </w:r>
          </w:p>
        </w:tc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Name:</w:t>
            </w:r>
          </w:p>
        </w:tc>
      </w:tr>
      <w:tr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Title:</w:t>
            </w:r>
          </w:p>
        </w:tc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Title:</w:t>
            </w:r>
          </w:p>
        </w:tc>
      </w:tr>
      <w:tr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Signature / Date:</w:t>
            </w:r>
          </w:p>
        </w:tc>
        <w:tc>
          <w:tcPr>
            <w:tcW w:w="4680" w:type="dxa"/>
            <w:shd w:val="clear" w:fill="F4F7FC"/>
          </w:tcPr>
          <w:p>
            <w:pPr>
              <w:spacing w:after="20"/>
            </w:pPr>
            <w:r>
              <w:rPr>
                <w:color w:val="16203A"/>
                <w:sz w:val="20"/>
                <w:rFonts w:ascii="Calibri" w:hAnsi="Calibri"/>
              </w:rPr>
              <w:t xml:space="preserve">Signature / Date:</w:t>
            </w:r>
          </w:p>
        </w:tc>
      </w:tr>
    </w:tbl>
    <w:p>
      <w:pPr>
        <w:spacing w:after="120"/>
      </w:pPr>
    </w:p>
    <w:p>
      <w:pPr>
        <w:spacing w:after="0"/>
        <w:jc w:val="center"/>
      </w:pPr>
      <w:r>
        <w:rPr>
          <w:color w:val="5B6577"/>
          <w:sz w:val="16"/>
          <w:rFonts w:ascii="Calibri" w:hAnsi="Calibri"/>
        </w:rPr>
        <w:t xml:space="preserve">Syntax Corporation © 2026 · Confidential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100" Type="http://schemas.openxmlformats.org/officeDocument/2006/relationships/image" Target="media/image0.png"/><Relationship Id="rId101" Type="http://schemas.openxmlformats.org/officeDocument/2006/relationships/image" Target="media/image1.png"/></Relationships>
</file>