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80"/>
      </w:pPr>
      <w:r>
        <w:rPr>
          <w:b/>
          <w:color w:val="0632A0"/>
          <w:sz w:val="44"/>
          <w:rFonts w:ascii="Calibri" w:hAnsi="Calibri"/>
        </w:rPr>
        <w:t xml:space="preserve">EBS AP Invoice Automation Agent — Technical Design</w:t>
      </w:r>
    </w:p>
    <w:p>
      <w:pPr>
        <w:spacing w:after="240"/>
      </w:pPr>
      <w:r>
        <w:rPr>
          <w:color w:val="5B6577"/>
          <w:sz w:val="22"/>
          <w:rFonts w:ascii="Calibri" w:hAnsi="Calibri"/>
        </w:rPr>
        <w:t xml:space="preserve">AP invoice automation · Oracle Private Agent Factory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Architecture</w:t>
      </w:r>
    </w:p>
    <w:p>
      <w:pPr>
        <w:jc w:val="center"/>
        <w:spacing w:after="160"/>
      </w:pPr>
      <w:r>
        <w:drawing>
          <wp:inline distT="0" distB="0" distL="0" distR="0">
            <wp:extent cx="5669280" cy="3188970"/>
            <wp:docPr id="1" name="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EBS 19c (OCI DBaaS/Exadata) is the system of record and the home of all logic — the XXPAF_AP_AGENT PL/SQL package. PAF runs on an ADB 26ai sidecar holding zero EBS data and is not in the data path. The OCI Database Tools Managed MCP (HTTPS + OAuth/IAM) exposes XXPAF as a governed custom tool + SQL Reports over a Database Tools Connection — no broker, no DB link, no thick-mode in production.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Functional flow</w:t>
      </w:r>
    </w:p>
    <w:p>
      <w:pPr>
        <w:jc w:val="center"/>
        <w:spacing w:after="160"/>
      </w:pPr>
      <w:r>
        <w:drawing>
          <wp:inline distT="0" distB="0" distL="0" distR="0">
            <wp:extent cx="5669280" cy="3188970"/>
            <wp:docPr id="1" name="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Processing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Extraction in the PAF LLM node → invoice JSON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match_code_and_validate (XXPAF): supplier resolve, duplicate check, 3-way match (dual %/$ tolerance), GL/tax coding, QA gate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Balanced AP interface rows (header = Σ lines incl. TAX line)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Load via the standard Payables Open Interface Import (writes off the MCP path)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Interface contract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3000"/>
        <w:gridCol w:w="6360"/>
      </w:tblGrid>
      <w:tr>
        <w:tc>
          <w:tcPr>
            <w:tcW w:w="3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Item</w:t>
            </w:r>
          </w:p>
        </w:tc>
        <w:tc>
          <w:tcPr>
            <w:tcW w:w="63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Value</w:t>
            </w:r>
          </w:p>
        </w:tc>
      </w:tr>
      <w:tr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Header table</w:t>
            </w:r>
          </w:p>
        </w:tc>
        <w:tc>
          <w:tcPr>
            <w:tcW w:w="6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AP_INVOICES_INTERFACE</w:t>
            </w:r>
          </w:p>
        </w:tc>
      </w:tr>
      <w:tr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Lines table</w:t>
            </w:r>
          </w:p>
        </w:tc>
        <w:tc>
          <w:tcPr>
            <w:tcW w:w="6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AP_INVOICE_LINES_INTERFACE</w:t>
            </w:r>
          </w:p>
        </w:tc>
      </w:tr>
      <w:tr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Import program</w:t>
            </w:r>
          </w:p>
        </w:tc>
        <w:tc>
          <w:tcPr>
            <w:tcW w:w="6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Payables Open Interface Import</w:t>
            </w:r>
          </w:p>
        </w:tc>
      </w:tr>
      <w:tr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Tolerances</w:t>
            </w:r>
          </w:p>
        </w:tc>
        <w:tc>
          <w:tcPr>
            <w:tcW w:w="6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price 2% &amp; $25 · qty 5% &amp; $25 (dual gate)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Assurance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Deterministic logic in PL/SQL; the Python reference engine is the test oracle (parity test asserts Python == PL/SQL on golden PO 3495 → balanced $632,500.00, QA PASS).</w:t>
      </w:r>
    </w:p>
    <w:p>
      <w:pPr>
        <w:spacing w:after="0"/>
        <w:jc w:val="center"/>
      </w:pPr>
      <w:r>
        <w:rPr>
          <w:color w:val="5B6577"/>
          <w:sz w:val="16"/>
          <w:rFonts w:ascii="Calibri" w:hAnsi="Calibri"/>
        </w:rPr>
        <w:t xml:space="preserve">Syntax Corporation © 2026 · Confidential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100" Type="http://schemas.openxmlformats.org/officeDocument/2006/relationships/image" Target="media/image0.png"/><Relationship Id="rId101" Type="http://schemas.openxmlformats.org/officeDocument/2006/relationships/image" Target="media/image1.png"/></Relationships>
</file>