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 xml:space="preserve">Version:</w:t>
      </w:r>
      <w:r>
        <w:rPr>
          <w:rFonts w:ascii="Calibri" w:cs="Calibri" w:eastAsia="Calibri" w:hAnsi="Calibri"/>
          <w:sz w:val="20"/>
          <w:szCs w:val="20"/>
        </w:rPr>
        <w:t xml:space="preserve"> 0.1, draft for GSR approval (Gate 0). October 2026.</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report and all pilot outputs are held on a permission-restricted Google Drive. The design will be posted publicly once GSR approves it. All other outputs stay restricted until GSR approves the full-scope research, when a project website will be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up to 30 public use cases, about 7–8 from each of four portfolios, chosen by stratified purposive selection with random draws inside strata.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use case in which a blockchain or distributed-ledger component is part of delivery: payments, smart contracts, tokens, records, storage or governance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linked to MCV, the UNICEF Venture Fund, the Filecoin Foundation or GSR Blockchain for Good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with no public link to these four</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fixed cap of searches per case (set at G1).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 xml:space="preserve">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w:t>
      </w:r>
      <w:r>
        <w:rPr>
          <w:rStyle w:val="FootnoteReference"/>
        </w:rPr>
        <w:footnoteReference w:id="59"/>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Michael Cooper has previously worked with the UNICEF Venture Fund.</w:t>
      </w:r>
      <w:r>
        <w:rPr>
          <w:rStyle w:val="FootnoteReference"/>
        </w:rPr>
        <w:footnoteReference w:id="60"/>
      </w:r>
      <w:r>
        <w:rPr>
          <w:rFonts w:ascii="Calibri" w:cs="Calibri" w:eastAsia="Calibri" w:hAnsi="Calibri"/>
          <w:sz w:val="20"/>
          <w:szCs w:val="20"/>
        </w:rPr>
        <w:t xml:space="preserve"> This is declared. As a mitigation, all UNICEF cases are included in the human audit pool at twice the base rate.</w:t>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 xml:space="preserve">Pilot Design Report v0.1 · Draft for GSR approval · Restricted until approved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