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0.5. October 2026. v0.5 records the Gate 3 decision: codebook v1.2 and the agreement fix plan (Sections 8.3 and 9), plus cost limits on collection and coding (Sections 5.5, 6.1, 6.2 and 8.1). Section 5.5 records the Gate 1 parameters. The pilot design is otherwise unchanged from v0.1, which GSR approved at Gate 0. v0.3 expanded Annex A.</w:t>
      </w:r>
      <w:r>
        <w:rPr>
          <w:rFonts w:ascii="Calibri" w:cs="Calibri" w:eastAsia="Calibri" w:hAnsi="Calibri"/>
          <w:sz w:val="20"/>
          <w:szCs w:val="20"/>
        </w:rPr>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protocol is public. Pilot working outputs, including the sampling frame and case list, are held on a permission-restricted Google Drive and a private workspace repository. They stay restricted until GSR approves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30 public use cases from four portfolios (11 MCV, 11 UNICEF, 5 Filecoin and 3 GSR, after places that Filecoin and GSR could not fill were reallocated). Cases are chosen by stratified purposive selection with random draws inside strata, and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 use case in which a blockchain or distributed-ledger component is part of delivery: payments, smart contracts, tokens, records, storage or governance. This includes pilots designed with a blockchain component that was later dropped, because the reversion is a status finding.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Publicly linked to MCV, the UNICEF Venture Fund, the Filecoin Foundation or GSR Blockchain for Good. Mercy Corps pilots count as MCV when MCV publishes them. Funding mechanisms where GSR is itself the donor are eligible and carry a declared-interest flag.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Use cases with no public link to these four. Organisations that use the Filecoin network but have no public Foundation grant.</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spacing w:after="100" w:line="264"/>
      </w:pPr>
      <w:r>
        <w:rPr>
          <w:rFonts w:ascii="Calibri" w:cs="Calibri" w:eastAsia="Calibri" w:hAnsi="Calibri"/>
          <w:sz w:val="20"/>
          <w:szCs w:val="20"/>
        </w:rPr>
        <w:t>Frame result (Gate 1, 16 October 2026): 56 use cases were listed and 53 were eligible: 25 MCV, 20 UNICEF, 5 Filecoin and 3 GSR. UNICEF reports 23 blockchain solutions, but its public pages name 20; the gap of three is recorded in the frame. Three listings were excluded: one MCV launch with no identifiable partner or blockchain component, and two Filecoin network users with no Foundation grant.</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 At Gate 1, Filecoin (5) and GSR (3) were included in full, and their six unused places were split between MCV and UNICEF, giving 11 each.</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2"/>
        <w:keepNext/>
      </w:pPr>
      <w:r>
        <w:rPr>
          <w:rFonts w:ascii="Calibri" w:cs="Calibri" w:eastAsia="Calibri" w:hAnsi="Calibri"/>
        </w:rPr>
        <w:t>5.5 Gate 1 parameters</w:t>
      </w:r>
    </w:p>
    <w:p>
      <w:pPr>
        <w:pStyle w:val="ListParagraph"/>
        <w:spacing w:after="50" w:line="259"/>
        <w:ind w:left="357" w:firstLine="0"/>
      </w:pPr>
      <w:r>
        <w:rPr>
          <w:rFonts w:ascii="Calibri" w:cs="Calibri" w:eastAsia="Calibri" w:hAnsi="Calibri"/>
          <w:b/>
          <w:bCs/>
          <w:sz w:val="20"/>
          <w:szCs w:val="20"/>
        </w:rPr>
        <w:t xml:space="preserve">Definitions (for GSR to confirm). </w:t>
      </w:r>
      <w:r>
        <w:rPr>
          <w:rFonts w:ascii="Calibri" w:cs="Calibri" w:eastAsia="Calibri" w:hAnsi="Calibri"/>
          <w:sz w:val="20"/>
          <w:szCs w:val="20"/>
        </w:rPr>
        <w:t>A pilot is a time-bound test with named users. A deployment is use of the same solution beyond the pilot period or by a new operator. A scale-up of the same solution, for the same problem in the same setting, keeps the original lineage ID and is not counted as a second case.</w:t>
      </w:r>
    </w:p>
    <w:p>
      <w:pPr>
        <w:pStyle w:val="ListParagraph"/>
        <w:spacing w:after="50" w:line="259"/>
        <w:ind w:left="357" w:firstLine="0"/>
      </w:pPr>
      <w:r>
        <w:rPr>
          <w:rFonts w:ascii="Calibri" w:cs="Calibri" w:eastAsia="Calibri" w:hAnsi="Calibri"/>
          <w:b/>
          <w:bCs/>
          <w:sz w:val="20"/>
          <w:szCs w:val="20"/>
        </w:rPr>
        <w:t xml:space="preserve">Use cases sharing an organisation. </w:t>
      </w:r>
      <w:r>
        <w:rPr>
          <w:rFonts w:ascii="Calibri" w:cs="Calibri" w:eastAsia="Calibri" w:hAnsi="Calibri"/>
          <w:sz w:val="20"/>
          <w:szCs w:val="20"/>
        </w:rPr>
        <w:t>Different solutions from the same organisation are separate use cases, linked by an organisation ID. For example, an archive and an aid platform from the same organisation are two use cases.</w:t>
      </w:r>
    </w:p>
    <w:p>
      <w:pPr>
        <w:pStyle w:val="ListParagraph"/>
        <w:spacing w:after="50" w:line="259"/>
        <w:ind w:left="357" w:firstLine="0"/>
      </w:pPr>
      <w:r>
        <w:rPr>
          <w:rFonts w:ascii="Calibri" w:cs="Calibri" w:eastAsia="Calibri" w:hAnsi="Calibri"/>
          <w:b/>
          <w:bCs/>
          <w:sz w:val="20"/>
          <w:szCs w:val="20"/>
        </w:rPr>
        <w:t xml:space="preserve">Pre-draw status check. </w:t>
      </w:r>
      <w:r>
        <w:rPr>
          <w:rFonts w:ascii="Calibri" w:cs="Calibri" w:eastAsia="Calibri" w:hAnsi="Calibri"/>
          <w:sz w:val="20"/>
          <w:szCs w:val="20"/>
        </w:rPr>
        <w:t>Before the draw, one logged search per eligible case set its status group and confirmed its blockchain component and portfolio link. This check is used only for stratification. Its results are not placed in evidence packets, and the formal status tracing in Section 6.3 is still done after coding.</w:t>
      </w:r>
    </w:p>
    <w:p>
      <w:pPr>
        <w:pStyle w:val="ListParagraph"/>
        <w:spacing w:after="50" w:line="259"/>
        <w:ind w:left="357" w:firstLine="0"/>
      </w:pPr>
      <w:r>
        <w:rPr>
          <w:rFonts w:ascii="Calibri" w:cs="Calibri" w:eastAsia="Calibri" w:hAnsi="Calibri"/>
          <w:b/>
          <w:bCs/>
          <w:sz w:val="20"/>
          <w:szCs w:val="20"/>
        </w:rPr>
        <w:t xml:space="preserve">Draw procedure and seed. </w:t>
      </w:r>
      <w:r>
        <w:rPr>
          <w:rFonts w:ascii="Calibri" w:cs="Calibri" w:eastAsia="Calibri" w:hAnsi="Calibri"/>
          <w:sz w:val="20"/>
          <w:szCs w:val="20"/>
        </w:rPr>
        <w:t>The seed is 20261016, using NumPy default_rng. Portfolios smaller than their target are included in full. The stalled and discontinued quota is drawn first, split by frame share. Next, one high-richness case is drawn for any portfolio that has none. Remaining places are filled by proportional random draws within domain-by-status strata. Six calibration cases are then drawn: one stalled case first, then one for each remaining portfolio, then the rest at random.</w:t>
      </w:r>
    </w:p>
    <w:p>
      <w:pPr>
        <w:pStyle w:val="ListParagraph"/>
        <w:spacing w:after="50" w:line="259"/>
        <w:ind w:left="357" w:firstLine="0"/>
      </w:pPr>
      <w:r>
        <w:rPr>
          <w:rFonts w:ascii="Calibri" w:cs="Calibri" w:eastAsia="Calibri" w:hAnsi="Calibri"/>
          <w:b/>
          <w:bCs/>
          <w:sz w:val="20"/>
          <w:szCs w:val="20"/>
        </w:rPr>
        <w:t xml:space="preserve">Quota results. </w:t>
      </w:r>
      <w:r>
        <w:rPr>
          <w:rFonts w:ascii="Calibri" w:cs="Calibri" w:eastAsia="Calibri" w:hAnsi="Calibri"/>
          <w:sz w:val="20"/>
          <w:szCs w:val="20"/>
        </w:rPr>
        <w:t>All six domains are represented. Seven cases are stalled or discontinued, against a target of at least six. MCV, UNICEF and Filecoin each have at least one high-richness case. GSR has none, because its grantees are early pilots. This shortfall is accepted and explained, not corrected by changing the sample.</w:t>
      </w:r>
    </w:p>
    <w:p>
      <w:pPr>
        <w:pStyle w:val="ListParagraph"/>
        <w:spacing w:after="50" w:line="259"/>
        <w:ind w:left="357" w:firstLine="0"/>
      </w:pPr>
      <w:r>
        <w:rPr>
          <w:rFonts w:ascii="Calibri" w:cs="Calibri" w:eastAsia="Calibri" w:hAnsi="Calibri"/>
          <w:b/>
          <w:bCs/>
          <w:sz w:val="20"/>
          <w:szCs w:val="20"/>
        </w:rPr>
        <w:t xml:space="preserve">Search cap. </w:t>
      </w:r>
      <w:r>
        <w:rPr>
          <w:rFonts w:ascii="Calibri" w:cs="Calibri" w:eastAsia="Calibri" w:hAnsi="Calibri"/>
          <w:sz w:val="20"/>
          <w:szCs w:val="20"/>
        </w:rPr>
        <w:t>Each case has a cap of 6 logged searches (Section 6.1). This was set at 12 at Gate 1 and reduced at Gate 3, because the calibration cases needed 4–5 searches each.</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Fixing these parameters before collection makes the draw reproducible and stops sampling being adjusted after evidence is seen. Accepting the GSR richness shortfall keeps the sample honest about how thin the newest grantee evidence is.</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cap of 6 logged searches per case (reduced from 12 at Gate 3). Step 5 (backward citations) is run only when the packet contains a report with a reference list.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spacing w:after="100" w:line="264"/>
      </w:pPr>
      <w:r>
        <w:rPr>
          <w:rFonts w:ascii="Calibri" w:cs="Calibri" w:eastAsia="Calibri" w:hAnsi="Calibri"/>
          <w:sz w:val="20"/>
          <w:szCs w:val="20"/>
        </w:rPr>
        <w:t>Packet limits (Gate 3): at most 6 documents and about 30,000 characters per case. Only passages about the use case are kept, duplicates are dropped, and long reports are excerpted to the pages that mention the case, with the excerpt recorded. Documents are selected by fixed rules (portfolio or endline page first, then implementer reports, then independent sources, with the most recent of any duplicates), not by a model.</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 The pre-draw status check (Section 5.5) is a sampling aid only and is not used as the status code.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 Following Gate 3, outcome-domain presence is reported at two thresholds: any level, and L2 or above. AC2 is reported alongside kappa for objective achievement, because a dominant value depresses kappa. Before agreement on achievement is computed, the adjudicator matches objectives across coders.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spacing w:after="100" w:line="264"/>
      </w:pPr>
      <w:r>
        <w:rPr>
          <w:rFonts w:ascii="Calibri" w:cs="Calibri" w:eastAsia="Calibri" w:hAnsi="Calibri"/>
          <w:b/>
          <w:bCs/>
          <w:sz w:val="20"/>
          <w:szCs w:val="20"/>
        </w:rPr>
        <w:t>Coding route and fix plan (Gate 3):</w:t>
      </w:r>
      <w:r>
        <w:rPr>
          <w:rFonts w:ascii="Calibri" w:cs="Calibri" w:eastAsia="Calibri" w:hAnsi="Calibri"/>
          <w:sz w:val="20"/>
          <w:szCs w:val="20"/>
        </w:rPr>
        <w:t xml:space="preserve"> each coder codes in batched sessions of about 10 cases, keeping the calibrated models (Coder A GPT-6 Astra; Coder B Gemini 3.8 Flash). A script validates every output and checks its quotes. Every stated-status code is reviewed by Michael, and metric 4 uses traced status. A script flags any Achieved or Partly achieved code that has no outcome at L2 or above, and every flag goes to adjudication.</w:t>
      </w:r>
      <w:r>
        <w:rPr>
          <w:rFonts w:ascii="Calibri" w:cs="Calibri" w:eastAsia="Calibri" w:hAnsi="Calibri"/>
          <w:b/>
          <w:bCs/>
          <w:sz w:val="20"/>
          <w:szCs w:val="20"/>
        </w:rPr>
      </w:r>
      <w:r>
        <w:rPr>
          <w:rFonts w:ascii="Calibri" w:cs="Calibri" w:eastAsia="Calibri" w:hAnsi="Calibri"/>
          <w:sz w:val="20"/>
          <w:szCs w:val="20"/>
        </w:rPr>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Domain by outcome. Size = number of use cases; shade = highest evidence level at L2 or above; cells with only L1 claims are marked “claims only”;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 Use cases where GSR is itself the donor, such as staking-yield funding mechanisms, carry a declared-interest flag in the dataset and are shown separately in the sensitivity analyses.</w:t>
      </w:r>
      <w:r>
        <w:rPr>
          <w:rStyle w:val="FootnoteReference"/>
        </w:rPr>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Michael Cooper has previously worked with the UNICEF Venture Fund.</w:t>
      </w:r>
      <w:r>
        <w:rPr>
          <w:rStyle w:val="FootnoteReference"/>
        </w:rPr>
        <w:footnoteReference w:id="60"/>
      </w:r>
      <w:r>
        <w:rPr>
          <w:rFonts w:ascii="Calibri" w:cs="Calibri" w:eastAsia="Calibri" w:hAnsi="Calibri"/>
          <w:sz w:val="20"/>
          <w:szCs w:val="20"/>
        </w:rPr>
        <w:t xml:space="preserve"> This is declared. As a mitigation, all UNICEF cases are included in the human audit pool at twice the base rate.</w:t>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v0.5 · Pilot design approved by GSR (Gate 0) · Gate 3 fix plan added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