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оглавление"/>
    <w:p>
      <w:pPr>
        <w:pStyle w:val="Heading1"/>
      </w:pPr>
      <w:r>
        <w:t xml:space="preserve">Оглавление</w:t>
      </w:r>
    </w:p>
    <w:p>
      <w:pPr>
        <w:pStyle w:val="Compact"/>
        <w:numPr>
          <w:ilvl w:val="0"/>
          <w:numId w:val="1001"/>
        </w:numPr>
      </w:pPr>
      <w:hyperlink r:id="rId9">
        <w:r>
          <w:rPr>
            <w:rStyle w:val="Hyperlink"/>
          </w:rPr>
          <w:t xml:space="preserve">Introduction</w:t>
        </w:r>
      </w:hyperlink>
    </w:p>
    <w:p>
      <w:pPr>
        <w:pStyle w:val="Compact"/>
        <w:numPr>
          <w:ilvl w:val="0"/>
          <w:numId w:val="1001"/>
        </w:numPr>
      </w:pPr>
      <w:hyperlink r:id="rId10">
        <w:r>
          <w:rPr>
            <w:rStyle w:val="Hyperlink"/>
          </w:rPr>
          <w:t xml:space="preserve">Background</w:t>
        </w:r>
      </w:hyperlink>
    </w:p>
    <w:p>
      <w:pPr>
        <w:pStyle w:val="Compact"/>
        <w:numPr>
          <w:ilvl w:val="0"/>
          <w:numId w:val="1001"/>
        </w:numPr>
      </w:pPr>
      <w:hyperlink r:id="rId11">
        <w:r>
          <w:rPr>
            <w:rStyle w:val="Hyperlink"/>
          </w:rPr>
          <w:t xml:space="preserve">Model Architecture</w:t>
        </w:r>
      </w:hyperlink>
    </w:p>
    <w:p>
      <w:pPr>
        <w:pStyle w:val="Compact"/>
        <w:numPr>
          <w:ilvl w:val="0"/>
          <w:numId w:val="1001"/>
        </w:numPr>
      </w:pPr>
      <w:hyperlink r:id="rId12">
        <w:r>
          <w:rPr>
            <w:rStyle w:val="Hyperlink"/>
          </w:rPr>
          <w:t xml:space="preserve">Experiments</w:t>
        </w:r>
      </w:hyperlink>
    </w:p>
    <w:p>
      <w:pPr>
        <w:pStyle w:val="Compact"/>
        <w:numPr>
          <w:ilvl w:val="0"/>
          <w:numId w:val="1001"/>
        </w:numPr>
      </w:pPr>
      <w:hyperlink r:id="rId13">
        <w:r>
          <w:rPr>
            <w:rStyle w:val="Hyperlink"/>
          </w:rPr>
          <w:t xml:space="preserve">Conclusion</w:t>
        </w:r>
      </w:hyperlink>
    </w:p>
    <w:bookmarkEnd w:id="14"/>
    <w:bookmarkStart w:id="15" w:name="introduction"/>
    <w:p>
      <w:pPr>
        <w:pStyle w:val="Heading1"/>
      </w:pPr>
      <w:r>
        <w:t xml:space="preserve">Introduction</w:t>
      </w:r>
    </w:p>
    <w:p>
      <w:pPr>
        <w:pStyle w:val="FirstParagraph"/>
      </w:pPr>
      <w:r>
        <w:t xml:space="preserve">Recurrent neural networks, long short-term memory networks, and gated recurrent neural networks in particular, have been firmly established as state of the art approaches in sequence modeling and transduction problems. The inherently sequential nature precludes parallelization within training examples, which becomes critical at longer sequence lengths, as memory constraints limit batching across examples.</w:t>
      </w:r>
    </w:p>
    <w:p>
      <w:pPr>
        <w:pStyle w:val="BodyText"/>
      </w:pPr>
      <w:r>
        <w:t xml:space="preserve">The attention mechanism has become an integral part of compelling sequence modeling and transduction models, allowing modeling of dependencies without regard to their distance in the input or output sequences.</w:t>
      </w:r>
    </w:p>
    <w:bookmarkEnd w:id="15"/>
    <w:bookmarkStart w:id="16" w:name="background"/>
    <w:p>
      <w:pPr>
        <w:pStyle w:val="Heading1"/>
      </w:pPr>
      <w:r>
        <w:t xml:space="preserve">Background</w:t>
      </w:r>
    </w:p>
    <w:p>
      <w:pPr>
        <w:pStyle w:val="FirstParagraph"/>
      </w:pPr>
      <w:r>
        <w:t xml:space="preserve">The goal of reducing sequential computation also forms the foundation of the Extended Neural GPU, ByteNet, and ConvS2S, all of which use convolutional neural networks as basic building blocks, computing hidden representations in parallel for all input and output positions.</w:t>
      </w:r>
    </w:p>
    <w:p>
      <w:pPr>
        <w:pStyle w:val="BodyText"/>
      </w:pPr>
      <w:r>
        <w:t xml:space="preserve">Self-attention, sometimes called intra-attention, is an attention mechanism relating different positions of a single sequence in order to compute a representation of the sequence.</w:t>
      </w:r>
    </w:p>
    <w:bookmarkEnd w:id="16"/>
    <w:bookmarkStart w:id="26" w:name="model-architecture"/>
    <w:p>
      <w:pPr>
        <w:pStyle w:val="Heading1"/>
      </w:pPr>
      <w:r>
        <w:t xml:space="preserve">Model Architecture</w:t>
      </w:r>
    </w:p>
    <w:p>
      <w:pPr>
        <w:pStyle w:val="FirstParagraph"/>
      </w:pPr>
      <w:r>
        <w:t xml:space="preserve">Most competitive neural sequence transduction models have an encoder-decoder structure. The encoder maps an input sequence of symbol representations</w:t>
      </w:r>
      <w:r>
        <w:t xml:space="preserve"> </w:t>
      </w:r>
      <m:oMath>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w:t>
      </w:r>
      <w:r>
        <w:t xml:space="preserve">to a sequence of continuous representations</w:t>
      </w:r>
      <w:r>
        <w:t xml:space="preserve"> </w:t>
      </w:r>
      <m:oMath>
        <m:r>
          <m:rPr>
            <m:sty m:val="b"/>
          </m:rPr>
          <m:t>z</m:t>
        </m:r>
        <m:r>
          <m:rPr>
            <m:sty m:val="p"/>
          </m:rPr>
          <m:t>=</m:t>
        </m:r>
        <m:r>
          <m:rPr>
            <m:sty m:val="p"/>
          </m:rPr>
          <m:t>(</m:t>
        </m:r>
        <m:sSub>
          <m:e>
            <m:r>
              <m:t>z</m:t>
            </m:r>
          </m:e>
          <m:sub>
            <m:r>
              <m:t>1</m:t>
            </m:r>
          </m:sub>
        </m:sSub>
        <m:r>
          <m:rPr>
            <m:sty m:val="p"/>
          </m:rPr>
          <m:t>,</m:t>
        </m:r>
        <m:r>
          <m:rPr>
            <m:sty m:val="p"/>
          </m:rPr>
          <m:t>.</m:t>
        </m:r>
        <m:r>
          <m:rPr>
            <m:sty m:val="p"/>
          </m:rPr>
          <m:t>.</m:t>
        </m:r>
        <m:r>
          <m:rPr>
            <m:sty m:val="p"/>
          </m:rPr>
          <m:t>.</m:t>
        </m:r>
        <m:r>
          <m:rPr>
            <m:sty m:val="p"/>
          </m:rPr>
          <m:t>,</m:t>
        </m:r>
        <m:sSub>
          <m:e>
            <m:r>
              <m:t>z</m:t>
            </m:r>
          </m:e>
          <m:sub>
            <m:r>
              <m:t>n</m:t>
            </m:r>
          </m:sub>
        </m:sSub>
        <m:r>
          <m:rPr>
            <m:sty m:val="p"/>
          </m:rPr>
          <m:t>)</m:t>
        </m:r>
      </m:oMath>
      <w:r>
        <w:t xml:space="preserve">. Given</w:t>
      </w:r>
      <w:r>
        <w:t xml:space="preserve"> </w:t>
      </w:r>
      <m:oMath>
        <m:r>
          <m:rPr>
            <m:sty m:val="b"/>
          </m:rPr>
          <m:t>z</m:t>
        </m:r>
      </m:oMath>
      <w:r>
        <w:t xml:space="preserve">, the decoder then generates an output sequence</w:t>
      </w:r>
      <w:r>
        <w:t xml:space="preserve"> </w:t>
      </w:r>
      <m:oMath>
        <m:r>
          <m:rPr>
            <m:sty m:val="p"/>
          </m:rPr>
          <m:t>(</m:t>
        </m:r>
        <m:sSub>
          <m:e>
            <m:r>
              <m:t>y</m:t>
            </m:r>
          </m:e>
          <m:sub>
            <m:r>
              <m:t>1</m:t>
            </m:r>
          </m:sub>
        </m:sSub>
        <m:r>
          <m:rPr>
            <m:sty m:val="p"/>
          </m:rPr>
          <m:t>,</m:t>
        </m:r>
        <m:r>
          <m:rPr>
            <m:sty m:val="p"/>
          </m:rPr>
          <m:t>.</m:t>
        </m:r>
        <m:r>
          <m:rPr>
            <m:sty m:val="p"/>
          </m:rPr>
          <m:t>.</m:t>
        </m:r>
        <m:r>
          <m:rPr>
            <m:sty m:val="p"/>
          </m:rPr>
          <m:t>.</m:t>
        </m:r>
        <m:r>
          <m:rPr>
            <m:sty m:val="p"/>
          </m:rPr>
          <m:t>,</m:t>
        </m:r>
        <m:sSub>
          <m:e>
            <m:r>
              <m:t>y</m:t>
            </m:r>
          </m:e>
          <m:sub>
            <m:r>
              <m:t>m</m:t>
            </m:r>
          </m:sub>
        </m:sSub>
        <m:r>
          <m:rPr>
            <m:sty m:val="p"/>
          </m:rPr>
          <m:t>)</m:t>
        </m:r>
      </m:oMath>
      <w:r>
        <w:t xml:space="preserve"> </w:t>
      </w:r>
      <w:r>
        <w:t xml:space="preserve">of symbols one element at a time.</w:t>
      </w:r>
    </w:p>
    <w:p>
      <w:pPr>
        <w:pStyle w:val="BodyText"/>
      </w:pPr>
      <w:r>
        <w:t xml:space="preserve">The Transformer follows this overall architecture using stacked self-attention and point-wise, fully connected layers for both the encoder and decoder, shown in Figure .</w:t>
      </w:r>
    </w:p>
    <w:p>
      <w:pPr>
        <w:pStyle w:val="CaptionedFigure"/>
      </w:pPr>
      <w:r>
        <w:drawing>
          <wp:inline>
            <wp:extent cx="3389034" cy="4642338"/>
            <wp:effectExtent b="0" l="0" r="0" t="0"/>
            <wp:docPr descr="Архитектура Transformer" title="" id="18" name="Picture"/>
            <a:graphic>
              <a:graphicData uri="http://schemas.openxmlformats.org/drawingml/2006/picture">
                <pic:pic>
                  <pic:nvPicPr>
                    <pic:cNvPr descr="transformer_architecture.PNG" id="19" name="Picture"/>
                    <pic:cNvPicPr>
                      <a:picLocks noChangeArrowheads="1" noChangeAspect="1"/>
                    </pic:cNvPicPr>
                  </pic:nvPicPr>
                  <pic:blipFill>
                    <a:blip r:embed="rId17"/>
                    <a:stretch>
                      <a:fillRect/>
                    </a:stretch>
                  </pic:blipFill>
                  <pic:spPr bwMode="auto">
                    <a:xfrm>
                      <a:off x="0" y="0"/>
                      <a:ext cx="3389034" cy="4642338"/>
                    </a:xfrm>
                    <a:prstGeom prst="rect">
                      <a:avLst/>
                    </a:prstGeom>
                    <a:noFill/>
                    <a:ln w="9525">
                      <a:noFill/>
                      <a:headEnd/>
                      <a:tailEnd/>
                    </a:ln>
                  </pic:spPr>
                </pic:pic>
              </a:graphicData>
            </a:graphic>
          </wp:inline>
        </w:drawing>
      </w:r>
    </w:p>
    <w:p>
      <w:pPr>
        <w:pStyle w:val="ImageCaption"/>
      </w:pPr>
      <w:r>
        <w:t xml:space="preserve">Архитектура Transformer</w:t>
      </w:r>
    </w:p>
    <w:bookmarkStart w:id="20" w:name="encoder-and-decoder-stacks"/>
    <w:p>
      <w:pPr>
        <w:pStyle w:val="Heading2"/>
      </w:pPr>
      <w:r>
        <w:t xml:space="preserve">Encoder and Decoder Stacks</w:t>
      </w:r>
    </w:p>
    <w:p>
      <w:pPr>
        <w:pStyle w:val="FirstParagraph"/>
      </w:pPr>
      <w:r>
        <w:rPr>
          <w:b/>
          <w:bCs/>
        </w:rPr>
        <w:t xml:space="preserve">Encoder:</w:t>
      </w:r>
      <w:r>
        <w:t xml:space="preserve"> </w:t>
      </w:r>
      <w:r>
        <w:t xml:space="preserve">The encoder is composed of a stack of</w:t>
      </w:r>
      <w:r>
        <w:t xml:space="preserve"> </w:t>
      </w:r>
      <m:oMath>
        <m:r>
          <m:t>N</m:t>
        </m:r>
        <m:r>
          <m:rPr>
            <m:sty m:val="p"/>
          </m:rPr>
          <m:t>=</m:t>
        </m:r>
        <m:r>
          <m:t>6</m:t>
        </m:r>
      </m:oMath>
      <w:r>
        <w:t xml:space="preserve"> </w:t>
      </w:r>
      <w:r>
        <w:t xml:space="preserve">identical layers. Each layer has two sub-layers. The first is a multi-head self-attention mechanism, and the second is a simple, position-wise fully connected feed-forward network.</w:t>
      </w:r>
    </w:p>
    <w:p>
      <w:pPr>
        <w:pStyle w:val="BodyText"/>
      </w:pPr>
      <w:r>
        <w:rPr>
          <w:b/>
          <w:bCs/>
        </w:rPr>
        <w:t xml:space="preserve">Decoder:</w:t>
      </w:r>
      <w:r>
        <w:t xml:space="preserve"> </w:t>
      </w:r>
      <w:r>
        <w:t xml:space="preserve">The decoder is also composed of a stack of</w:t>
      </w:r>
      <w:r>
        <w:t xml:space="preserve"> </w:t>
      </w:r>
      <m:oMath>
        <m:r>
          <m:t>N</m:t>
        </m:r>
        <m:r>
          <m:rPr>
            <m:sty m:val="p"/>
          </m:rPr>
          <m:t>=</m:t>
        </m:r>
        <m:r>
          <m:t>6</m:t>
        </m:r>
      </m:oMath>
      <w:r>
        <w:t xml:space="preserve"> </w:t>
      </w:r>
      <w:r>
        <w:t xml:space="preserve">identical layers. In addition to the two sub-layers in each encoder layer, the decoder inserts a third sub-layer, which performs multi-head attention over the output of the encoder stack.</w:t>
      </w:r>
    </w:p>
    <w:bookmarkEnd w:id="20"/>
    <w:bookmarkStart w:id="23" w:name="attention"/>
    <w:p>
      <w:pPr>
        <w:pStyle w:val="Heading2"/>
      </w:pPr>
      <w:r>
        <w:t xml:space="preserve">Attention</w:t>
      </w:r>
    </w:p>
    <w:p>
      <w:pPr>
        <w:pStyle w:val="FirstParagraph"/>
      </w:pPr>
      <w:r>
        <w:t xml:space="preserve">An attention function can be described as mapping a query and a set of key-value pairs to an output, where the query, keys, values, and output are all vectors. The output is computed as a weighted sum of the values, where the weight assigned to each value is computed by a compatibility function of the query with the corresponding key.</w:t>
      </w:r>
    </w:p>
    <w:bookmarkStart w:id="21" w:name="scaled-dot-product-attention"/>
    <w:p>
      <w:pPr>
        <w:pStyle w:val="Heading3"/>
      </w:pPr>
      <w:r>
        <w:t xml:space="preserve">Scaled Dot-Product Attention</w:t>
      </w:r>
    </w:p>
    <w:p>
      <w:pPr>
        <w:pStyle w:val="FirstParagraph"/>
      </w:pPr>
      <w:r>
        <w:t xml:space="preserve">We call our particular attention</w:t>
      </w:r>
      <w:r>
        <w:t xml:space="preserve"> </w:t>
      </w:r>
      <w:r>
        <w:t xml:space="preserve">“Scaled Dot-Product Attention”</w:t>
      </w:r>
      <w:r>
        <w:t xml:space="preserve"> </w:t>
      </w:r>
      <w:r>
        <w:t xml:space="preserve">(Figure ). The input consists of queries and keys of dimension</w:t>
      </w:r>
      <w:r>
        <w:t xml:space="preserve"> </w:t>
      </w:r>
      <m:oMath>
        <m:sSub>
          <m:e>
            <m:r>
              <m:t>d</m:t>
            </m:r>
          </m:e>
          <m:sub>
            <m:r>
              <m:t>k</m:t>
            </m:r>
          </m:sub>
        </m:sSub>
      </m:oMath>
      <w:r>
        <w:t xml:space="preserve">, and values of dimension</w:t>
      </w:r>
      <w:r>
        <w:t xml:space="preserve"> </w:t>
      </w:r>
      <m:oMath>
        <m:sSub>
          <m:e>
            <m:r>
              <m:t>d</m:t>
            </m:r>
          </m:e>
          <m:sub>
            <m:r>
              <m:t>v</m:t>
            </m:r>
          </m:sub>
        </m:sSub>
      </m:oMath>
      <w:r>
        <w:t xml:space="preserve">. We compute the dot products of the query with all keys, divide each by</w:t>
      </w:r>
      <w:r>
        <w:t xml:space="preserve"> </w:t>
      </w:r>
      <m:oMath>
        <m:rad>
          <m:radPr>
            <m:degHide m:val="on"/>
          </m:radPr>
          <m:deg/>
          <m:e>
            <m:sSub>
              <m:e>
                <m:r>
                  <m:t>d</m:t>
                </m:r>
              </m:e>
              <m:sub>
                <m:r>
                  <m:t>k</m:t>
                </m:r>
              </m:sub>
            </m:sSub>
          </m:e>
        </m:rad>
      </m:oMath>
      <w:r>
        <w:t xml:space="preserve">, and apply a softmax function to obtain the weights on the values.</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bookmarkEnd w:id="21"/>
    <w:bookmarkStart w:id="22" w:name="multi-head-attention"/>
    <w:p>
      <w:pPr>
        <w:pStyle w:val="Heading3"/>
      </w:pPr>
      <w:r>
        <w:t xml:space="preserve">Multi-Head Attention</w:t>
      </w:r>
    </w:p>
    <w:p>
      <w:pPr>
        <w:pStyle w:val="FirstParagraph"/>
      </w:pPr>
      <w:r>
        <w:t xml:space="preserve">Instead of performing a single attention function with</w:t>
      </w:r>
      <w:r>
        <w:t xml:space="preserve"> </w:t>
      </w:r>
      <m:oMath>
        <m:sSub>
          <m:e>
            <m:r>
              <m:t>d</m:t>
            </m:r>
          </m:e>
          <m:sub>
            <m:r>
              <m:rPr>
                <m:nor/>
                <m:sty m:val="p"/>
              </m:rPr>
              <m:t>model</m:t>
            </m:r>
          </m:sub>
        </m:sSub>
      </m:oMath>
      <w:r>
        <w:t xml:space="preserve">-dimensional keys, values and queries, we found it beneficial to linearly project the queries, keys and values</w:t>
      </w:r>
      <w:r>
        <w:t xml:space="preserve"> </w:t>
      </w:r>
      <m:oMath>
        <m:r>
          <m:t>h</m:t>
        </m:r>
      </m:oMath>
      <w:r>
        <w:t xml:space="preserve"> </w:t>
      </w:r>
      <w:r>
        <w:t xml:space="preserve">times with different, learned linear projections to</w:t>
      </w:r>
      <w:r>
        <w:t xml:space="preserve"> </w:t>
      </w:r>
      <m:oMath>
        <m:sSub>
          <m:e>
            <m:r>
              <m:t>d</m:t>
            </m:r>
          </m:e>
          <m:sub>
            <m:r>
              <m:t>k</m:t>
            </m:r>
          </m:sub>
        </m:sSub>
      </m:oMath>
      <w:r>
        <w:t xml:space="preserve">,</w:t>
      </w:r>
      <w:r>
        <w:t xml:space="preserve"> </w:t>
      </w:r>
      <m:oMath>
        <m:sSub>
          <m:e>
            <m:r>
              <m:t>d</m:t>
            </m:r>
          </m:e>
          <m:sub>
            <m:r>
              <m:t>k</m:t>
            </m:r>
          </m:sub>
        </m:sSub>
      </m:oMath>
      <w:r>
        <w:t xml:space="preserve"> </w:t>
      </w:r>
      <w:r>
        <w:t xml:space="preserve">and</w:t>
      </w:r>
      <w:r>
        <w:t xml:space="preserve"> </w:t>
      </w:r>
      <m:oMath>
        <m:sSub>
          <m:e>
            <m:r>
              <m:t>d</m:t>
            </m:r>
          </m:e>
          <m:sub>
            <m:r>
              <m:t>v</m:t>
            </m:r>
          </m:sub>
        </m:sSub>
      </m:oMath>
      <w:r>
        <w:t xml:space="preserve"> </w:t>
      </w:r>
      <w:r>
        <w:t xml:space="preserve">dimensions, respectively.</w:t>
      </w:r>
    </w:p>
    <w:p>
      <w:pPr>
        <w:pStyle w:val="BodyText"/>
      </w:pPr>
      <w:r>
        <w:t xml:space="preserve">Multi-head attention allows the model to jointly attend to information from different representation subspaces at different positions:</w:t>
      </w:r>
    </w:p>
    <w:p>
      <w:pPr>
        <w:pStyle w:val="BodyText"/>
      </w:pPr>
      <m:oMathPara>
        <m:oMathParaPr>
          <m:jc m:val="center"/>
        </m:oMathParaPr>
        <m:oMath>
          <m:eqArr>
            <m:e>
              <m:r>
                <m:rPr>
                  <m:nor/>
                  <m:sty m:val="p"/>
                </m:rPr>
                <m:t>MultiHead</m:t>
              </m:r>
              <m:r>
                <m:rPr>
                  <m:sty m:val="p"/>
                </m:rPr>
                <m:t>(</m:t>
              </m:r>
              <m:r>
                <m:t>Q</m:t>
              </m:r>
              <m:r>
                <m:rPr>
                  <m:sty m:val="p"/>
                </m:rPr>
                <m:t>,</m:t>
              </m:r>
              <m:r>
                <m:t>K</m:t>
              </m:r>
              <m:r>
                <m:rPr>
                  <m:sty m:val="p"/>
                </m:rPr>
                <m:t>,</m:t>
              </m:r>
              <m:r>
                <m:t>V</m:t>
              </m:r>
              <m:r>
                <m:rPr>
                  <m:sty m:val="p"/>
                </m:rPr>
                <m:t>)</m:t>
              </m:r>
              <m:r>
                <m:t>&amp;</m:t>
              </m:r>
              <m:r>
                <m:rPr>
                  <m:sty m:val="p"/>
                </m:rPr>
                <m:t>=</m:t>
              </m:r>
              <m:r>
                <m:rPr>
                  <m:nor/>
                  <m:sty m:val="p"/>
                </m:rPr>
                <m:t>Concat</m:t>
              </m:r>
              <m:r>
                <m:rPr>
                  <m:sty m:val="p"/>
                </m:rPr>
                <m:t>(</m:t>
              </m:r>
              <m:sSub>
                <m:e>
                  <m:r>
                    <m:rPr>
                      <m:nor/>
                      <m:sty m:val="p"/>
                    </m:rPr>
                    <m:t>head</m:t>
                  </m:r>
                </m:e>
                <m:sub>
                  <m:r>
                    <m:t>1</m:t>
                  </m:r>
                </m:sub>
              </m:sSub>
              <m:r>
                <m:rPr>
                  <m:sty m:val="p"/>
                </m:rPr>
                <m:t>,</m:t>
              </m:r>
              <m:r>
                <m:rPr>
                  <m:sty m:val="p"/>
                </m:rPr>
                <m:t>.</m:t>
              </m:r>
              <m:r>
                <m:rPr>
                  <m:sty m:val="p"/>
                </m:rPr>
                <m:t>.</m:t>
              </m:r>
              <m:r>
                <m:rPr>
                  <m:sty m:val="p"/>
                </m:rPr>
                <m:t>.</m:t>
              </m:r>
              <m:r>
                <m:rPr>
                  <m:sty m:val="p"/>
                </m:rPr>
                <m:t>,</m:t>
              </m:r>
              <m:sSub>
                <m:e>
                  <m:r>
                    <m:rPr>
                      <m:nor/>
                      <m:sty m:val="p"/>
                    </m:rPr>
                    <m:t>head</m:t>
                  </m:r>
                </m:e>
                <m:sub>
                  <m:r>
                    <m:t>h</m:t>
                  </m:r>
                </m:sub>
              </m:sSub>
              <m:r>
                <m:rPr>
                  <m:sty m:val="p"/>
                </m:rPr>
                <m:t>)</m:t>
              </m:r>
              <m:sSup>
                <m:e>
                  <m:r>
                    <m:t>W</m:t>
                  </m:r>
                </m:e>
                <m:sup>
                  <m:r>
                    <m:t>O</m:t>
                  </m:r>
                </m:sup>
              </m:sSup>
            </m:e>
            <m:e>
              <m:sSub>
                <m:e>
                  <m:r>
                    <m:rPr>
                      <m:nor/>
                      <m:sty m:val="p"/>
                    </m:rPr>
                    <m:t>where head</m:t>
                  </m:r>
                </m:e>
                <m:sub>
                  <m:r>
                    <m:t>i</m:t>
                  </m:r>
                </m:sub>
              </m:sSub>
              <m:r>
                <m:t>&amp;</m:t>
              </m:r>
              <m:r>
                <m:rPr>
                  <m:sty m:val="p"/>
                </m:rPr>
                <m:t>=</m:t>
              </m:r>
              <m:r>
                <m:rPr>
                  <m:nor/>
                  <m:sty m:val="p"/>
                </m:rPr>
                <m:t>Attention</m:t>
              </m:r>
              <m:r>
                <m:rPr>
                  <m:sty m:val="p"/>
                </m:rPr>
                <m:t>(</m:t>
              </m:r>
              <m:r>
                <m:t>Q</m:t>
              </m:r>
              <m:sSubSup>
                <m:e>
                  <m:r>
                    <m:t>W</m:t>
                  </m:r>
                </m:e>
                <m:sub>
                  <m:r>
                    <m:t>i</m:t>
                  </m:r>
                </m:sub>
                <m:sup>
                  <m:r>
                    <m:t>Q</m:t>
                  </m:r>
                </m:sup>
              </m:sSubSup>
              <m:r>
                <m:rPr>
                  <m:sty m:val="p"/>
                </m:rPr>
                <m:t>,</m:t>
              </m:r>
              <m:r>
                <m:t>K</m:t>
              </m:r>
              <m:sSubSup>
                <m:e>
                  <m:r>
                    <m:t>W</m:t>
                  </m:r>
                </m:e>
                <m:sub>
                  <m:r>
                    <m:t>i</m:t>
                  </m:r>
                </m:sub>
                <m:sup>
                  <m:r>
                    <m:t>K</m:t>
                  </m:r>
                </m:sup>
              </m:sSubSup>
              <m:r>
                <m:rPr>
                  <m:sty m:val="p"/>
                </m:rPr>
                <m:t>,</m:t>
              </m:r>
              <m:r>
                <m:t>V</m:t>
              </m:r>
              <m:sSubSup>
                <m:e>
                  <m:r>
                    <m:t>W</m:t>
                  </m:r>
                </m:e>
                <m:sub>
                  <m:r>
                    <m:t>i</m:t>
                  </m:r>
                </m:sub>
                <m:sup>
                  <m:r>
                    <m:t>V</m:t>
                  </m:r>
                </m:sup>
              </m:sSubSup>
              <m:r>
                <m:rPr>
                  <m:sty m:val="p"/>
                </m:rPr>
                <m:t>)</m:t>
              </m:r>
            </m:e>
          </m:eqArr>
        </m:oMath>
      </m:oMathPara>
    </w:p>
    <w:p>
      <w:pPr>
        <w:pStyle w:val="FirstParagraph"/>
      </w:pPr>
      <w:r>
        <w:t xml:space="preserve">Where the projections are parameter matrices:</w:t>
      </w:r>
      <w:r>
        <w:t xml:space="preserve"> </w:t>
      </w:r>
      <m:oMath>
        <m:sSubSup>
          <m:e>
            <m:r>
              <m:t>W</m:t>
            </m:r>
          </m:e>
          <m:sub>
            <m:r>
              <m:t>i</m:t>
            </m:r>
          </m:sub>
          <m:sup>
            <m:r>
              <m:t>Q</m:t>
            </m:r>
          </m:sup>
        </m:sSubSup>
        <m:r>
          <m:rPr>
            <m:sty m:val="p"/>
          </m:rPr>
          <m:t>∈</m:t>
        </m:r>
        <m:sSup>
          <m:e>
            <m:r>
              <m:rPr>
                <m:scr m:val="double-struck"/>
                <m:sty m:val="p"/>
              </m:rPr>
              <m:t>R</m:t>
            </m:r>
          </m:e>
          <m:sup>
            <m:sSub>
              <m:e>
                <m:r>
                  <m:t>d</m:t>
                </m:r>
              </m:e>
              <m:sub>
                <m:r>
                  <m:rPr>
                    <m:nor/>
                    <m:sty m:val="p"/>
                  </m:rPr>
                  <m:t>model</m:t>
                </m:r>
              </m:sub>
            </m:sSub>
            <m:r>
              <m:rPr>
                <m:sty m:val="p"/>
              </m:rPr>
              <m:t>×</m:t>
            </m:r>
            <m:sSub>
              <m:e>
                <m:r>
                  <m:t>d</m:t>
                </m:r>
              </m:e>
              <m:sub>
                <m:r>
                  <m:t>k</m:t>
                </m:r>
              </m:sub>
            </m:sSub>
          </m:sup>
        </m:sSup>
      </m:oMath>
      <w:r>
        <w:t xml:space="preserve">,</w:t>
      </w:r>
      <w:r>
        <w:t xml:space="preserve"> </w:t>
      </w:r>
      <m:oMath>
        <m:sSubSup>
          <m:e>
            <m:r>
              <m:t>W</m:t>
            </m:r>
          </m:e>
          <m:sub>
            <m:r>
              <m:t>i</m:t>
            </m:r>
          </m:sub>
          <m:sup>
            <m:r>
              <m:t>K</m:t>
            </m:r>
          </m:sup>
        </m:sSubSup>
        <m:r>
          <m:rPr>
            <m:sty m:val="p"/>
          </m:rPr>
          <m:t>∈</m:t>
        </m:r>
        <m:sSup>
          <m:e>
            <m:r>
              <m:rPr>
                <m:scr m:val="double-struck"/>
                <m:sty m:val="p"/>
              </m:rPr>
              <m:t>R</m:t>
            </m:r>
          </m:e>
          <m:sup>
            <m:sSub>
              <m:e>
                <m:r>
                  <m:t>d</m:t>
                </m:r>
              </m:e>
              <m:sub>
                <m:r>
                  <m:rPr>
                    <m:nor/>
                    <m:sty m:val="p"/>
                  </m:rPr>
                  <m:t>model</m:t>
                </m:r>
              </m:sub>
            </m:sSub>
            <m:r>
              <m:rPr>
                <m:sty m:val="p"/>
              </m:rPr>
              <m:t>×</m:t>
            </m:r>
            <m:sSub>
              <m:e>
                <m:r>
                  <m:t>d</m:t>
                </m:r>
              </m:e>
              <m:sub>
                <m:r>
                  <m:t>k</m:t>
                </m:r>
              </m:sub>
            </m:sSub>
          </m:sup>
        </m:sSup>
      </m:oMath>
      <w:r>
        <w:t xml:space="preserve">,</w:t>
      </w:r>
      <w:r>
        <w:t xml:space="preserve"> </w:t>
      </w:r>
      <m:oMath>
        <m:sSubSup>
          <m:e>
            <m:r>
              <m:t>W</m:t>
            </m:r>
          </m:e>
          <m:sub>
            <m:r>
              <m:t>i</m:t>
            </m:r>
          </m:sub>
          <m:sup>
            <m:r>
              <m:t>V</m:t>
            </m:r>
          </m:sup>
        </m:sSubSup>
        <m:r>
          <m:rPr>
            <m:sty m:val="p"/>
          </m:rPr>
          <m:t>∈</m:t>
        </m:r>
        <m:sSup>
          <m:e>
            <m:r>
              <m:rPr>
                <m:scr m:val="double-struck"/>
                <m:sty m:val="p"/>
              </m:rPr>
              <m:t>R</m:t>
            </m:r>
          </m:e>
          <m:sup>
            <m:sSub>
              <m:e>
                <m:r>
                  <m:t>d</m:t>
                </m:r>
              </m:e>
              <m:sub>
                <m:r>
                  <m:rPr>
                    <m:nor/>
                    <m:sty m:val="p"/>
                  </m:rPr>
                  <m:t>model</m:t>
                </m:r>
              </m:sub>
            </m:sSub>
            <m:r>
              <m:rPr>
                <m:sty m:val="p"/>
              </m:rPr>
              <m:t>×</m:t>
            </m:r>
            <m:sSub>
              <m:e>
                <m:r>
                  <m:t>d</m:t>
                </m:r>
              </m:e>
              <m:sub>
                <m:r>
                  <m:t>v</m:t>
                </m:r>
              </m:sub>
            </m:sSub>
          </m:sup>
        </m:sSup>
      </m:oMath>
      <w:r>
        <w:t xml:space="preserve"> </w:t>
      </w:r>
      <w:r>
        <w:t xml:space="preserve">and</w:t>
      </w:r>
      <w:r>
        <w:t xml:space="preserve"> </w:t>
      </w:r>
      <m:oMath>
        <m:sSup>
          <m:e>
            <m:r>
              <m:t>W</m:t>
            </m:r>
          </m:e>
          <m:sup>
            <m:r>
              <m:t>O</m:t>
            </m:r>
          </m:sup>
        </m:sSup>
        <m:r>
          <m:rPr>
            <m:sty m:val="p"/>
          </m:rPr>
          <m:t>∈</m:t>
        </m:r>
        <m:sSup>
          <m:e>
            <m:r>
              <m:rPr>
                <m:scr m:val="double-struck"/>
                <m:sty m:val="p"/>
              </m:rPr>
              <m:t>R</m:t>
            </m:r>
          </m:e>
          <m:sup>
            <m:r>
              <m:t>h</m:t>
            </m:r>
            <m:sSub>
              <m:e>
                <m:r>
                  <m:t>d</m:t>
                </m:r>
              </m:e>
              <m:sub>
                <m:r>
                  <m:t>v</m:t>
                </m:r>
              </m:sub>
            </m:sSub>
            <m:r>
              <m:rPr>
                <m:sty m:val="p"/>
              </m:rPr>
              <m:t>×</m:t>
            </m:r>
            <m:sSub>
              <m:e>
                <m:r>
                  <m:t>d</m:t>
                </m:r>
              </m:e>
              <m:sub>
                <m:r>
                  <m:rPr>
                    <m:nor/>
                    <m:sty m:val="p"/>
                  </m:rPr>
                  <m:t>model</m:t>
                </m:r>
              </m:sub>
            </m:sSub>
          </m:sup>
        </m:sSup>
      </m:oMath>
      <w:r>
        <w:t xml:space="preserve">.</w:t>
      </w:r>
    </w:p>
    <w:p>
      <w:pPr>
        <w:pStyle w:val="BodyText"/>
      </w:pPr>
      <w:r>
        <w:rPr>
          <w:b/>
          <w:bCs/>
        </w:rPr>
        <w:t xml:space="preserve">[(left) Scaled Dot-Product Attention. (right) Multi-Head Attention consists of several attention layers running in parallel.]</w:t>
      </w:r>
      <w:r>
        <w:t xml:space="preserve"> </w:t>
      </w:r>
      <w:r>
        <w:rPr>
          <w:i/>
          <w:iCs/>
        </w:rPr>
        <w:t xml:space="preserve">(рисунок attention.png не найден)</w:t>
      </w:r>
    </w:p>
    <w:bookmarkEnd w:id="22"/>
    <w:bookmarkEnd w:id="23"/>
    <w:bookmarkStart w:id="24" w:name="position-wise-feed-forward-networks"/>
    <w:p>
      <w:pPr>
        <w:pStyle w:val="Heading2"/>
      </w:pPr>
      <w:r>
        <w:t xml:space="preserve">Position-wise Feed-Forward Networks</w:t>
      </w:r>
    </w:p>
    <w:p>
      <w:pPr>
        <w:pStyle w:val="FirstParagraph"/>
      </w:pPr>
      <w:r>
        <w:t xml:space="preserve">Each layer in our encoder and decoder contains a fully connected feed-forward network, which is applied to each position separately and identically. This consists of two linear transformations with a ReLU activation in between:</w:t>
      </w:r>
    </w:p>
    <w:p>
      <w:pPr>
        <w:pStyle w:val="BodyText"/>
      </w:pPr>
      <m:oMathPara>
        <m:oMathParaPr>
          <m:jc m:val="center"/>
        </m:oMathParaPr>
        <m:oMath>
          <m:r>
            <m:rPr>
              <m:nor/>
              <m:sty m:val="p"/>
            </m:rPr>
            <m:t>FFN</m:t>
          </m:r>
          <m:r>
            <m:rPr>
              <m:sty m:val="p"/>
            </m:rPr>
            <m:t>(</m:t>
          </m:r>
          <m:r>
            <m:t>x</m:t>
          </m:r>
          <m:r>
            <m:rPr>
              <m:sty m:val="p"/>
            </m:rPr>
            <m:t>)</m:t>
          </m:r>
          <m:r>
            <m:rPr>
              <m:sty m:val="p"/>
            </m:rPr>
            <m:t>=</m:t>
          </m:r>
          <m:r>
            <m:rPr>
              <m:sty m:val="p"/>
            </m:rPr>
            <m:t>max</m:t>
          </m:r>
          <m:r>
            <m:rPr>
              <m:sty m:val="p"/>
            </m:rPr>
            <m:t>(</m:t>
          </m:r>
          <m:r>
            <m:t>0</m:t>
          </m:r>
          <m:r>
            <m:rPr>
              <m:sty m:val="p"/>
            </m:rPr>
            <m:t>,</m:t>
          </m:r>
          <m:r>
            <m:t>x</m:t>
          </m:r>
          <m:sSub>
            <m:e>
              <m:r>
                <m:t>W</m:t>
              </m:r>
            </m:e>
            <m:sub>
              <m:r>
                <m:t>1</m:t>
              </m:r>
            </m:sub>
          </m:sSub>
          <m:r>
            <m:rPr>
              <m:sty m:val="p"/>
            </m:rPr>
            <m:t>+</m:t>
          </m:r>
          <m:sSub>
            <m:e>
              <m:r>
                <m:t>b</m:t>
              </m:r>
            </m:e>
            <m:sub>
              <m:r>
                <m:t>1</m:t>
              </m:r>
            </m:sub>
          </m:sSub>
          <m:r>
            <m:rPr>
              <m:sty m:val="p"/>
            </m:rPr>
            <m:t>)</m:t>
          </m:r>
          <m:sSub>
            <m:e>
              <m:r>
                <m:t>W</m:t>
              </m:r>
            </m:e>
            <m:sub>
              <m:r>
                <m:t>2</m:t>
              </m:r>
            </m:sub>
          </m:sSub>
          <m:r>
            <m:rPr>
              <m:sty m:val="p"/>
            </m:rPr>
            <m:t>+</m:t>
          </m:r>
          <m:sSub>
            <m:e>
              <m:r>
                <m:t>b</m:t>
              </m:r>
            </m:e>
            <m:sub>
              <m:r>
                <m:t>2</m:t>
              </m:r>
            </m:sub>
          </m:sSub>
        </m:oMath>
      </m:oMathPara>
    </w:p>
    <w:bookmarkEnd w:id="24"/>
    <w:bookmarkStart w:id="25" w:name="positional-encoding"/>
    <w:p>
      <w:pPr>
        <w:pStyle w:val="Heading2"/>
      </w:pPr>
      <w:r>
        <w:t xml:space="preserve">Positional Encoding</w:t>
      </w:r>
    </w:p>
    <w:p>
      <w:pPr>
        <w:pStyle w:val="FirstParagraph"/>
      </w:pPr>
      <w:r>
        <w:t xml:space="preserve">Since our model contains no recurrence and no convolution, in order for the model to make use of the order of the sequence, we must inject some information about the relative or absolute position of the tokens in the sequence. We use sine and cosine functions of different frequencies:</w:t>
      </w:r>
    </w:p>
    <w:p>
      <w:pPr>
        <w:pStyle w:val="BodyText"/>
      </w:pPr>
      <m:oMathPara>
        <m:oMathParaPr>
          <m:jc m:val="center"/>
        </m:oMathParaPr>
        <m:oMath>
          <m:eqArr>
            <m:e>
              <m:r>
                <m:t>P</m:t>
              </m:r>
              <m:sSub>
                <m:e>
                  <m:r>
                    <m:t>E</m:t>
                  </m:r>
                </m:e>
                <m:sub>
                  <m:r>
                    <m:rPr>
                      <m:sty m:val="p"/>
                    </m:rPr>
                    <m:t>(</m:t>
                  </m:r>
                  <m:r>
                    <m:t>p</m:t>
                  </m:r>
                  <m:r>
                    <m:t>o</m:t>
                  </m:r>
                  <m:r>
                    <m:t>s</m:t>
                  </m:r>
                  <m:r>
                    <m:rPr>
                      <m:sty m:val="p"/>
                    </m:rPr>
                    <m:t>,</m:t>
                  </m:r>
                  <m:r>
                    <m:t>2</m:t>
                  </m:r>
                  <m:r>
                    <m:t>i</m:t>
                  </m:r>
                  <m:r>
                    <m:rPr>
                      <m:sty m:val="p"/>
                    </m:rPr>
                    <m:t>)</m:t>
                  </m:r>
                </m:sub>
              </m:sSub>
              <m:r>
                <m:t>&amp;</m:t>
              </m:r>
              <m:r>
                <m:rPr>
                  <m:sty m:val="p"/>
                </m:rPr>
                <m:t>=</m:t>
              </m:r>
              <m:r>
                <m:rPr>
                  <m:sty m:val="p"/>
                </m:rPr>
                <m:t>sin</m:t>
              </m:r>
              <m:d>
                <m:dPr>
                  <m:begChr m:val="("/>
                  <m:sepChr m:val=""/>
                  <m:endChr m:val=")"/>
                  <m:grow/>
                </m:dPr>
                <m:e>
                  <m:f>
                    <m:fPr>
                      <m:type m:val="bar"/>
                    </m:fPr>
                    <m:num>
                      <m:r>
                        <m:t>p</m:t>
                      </m:r>
                      <m:r>
                        <m:t>o</m:t>
                      </m:r>
                      <m:r>
                        <m:t>s</m:t>
                      </m:r>
                    </m:num>
                    <m:den>
                      <m:sSup>
                        <m:e>
                          <m:r>
                            <m:t>10000</m:t>
                          </m:r>
                        </m:e>
                        <m:sup>
                          <m:r>
                            <m:t>2</m:t>
                          </m:r>
                          <m:r>
                            <m:t>i</m:t>
                          </m:r>
                          <m:r>
                            <m:rPr>
                              <m:sty m:val="p"/>
                            </m:rPr>
                            <m:t>/</m:t>
                          </m:r>
                          <m:sSub>
                            <m:e>
                              <m:r>
                                <m:t>d</m:t>
                              </m:r>
                            </m:e>
                            <m:sub>
                              <m:r>
                                <m:rPr>
                                  <m:nor/>
                                  <m:sty m:val="p"/>
                                </m:rPr>
                                <m:t>model</m:t>
                              </m:r>
                            </m:sub>
                          </m:sSub>
                        </m:sup>
                      </m:sSup>
                    </m:den>
                  </m:f>
                </m:e>
              </m:d>
            </m:e>
            <m:e>
              <m:r>
                <m:t>P</m:t>
              </m:r>
              <m:sSub>
                <m:e>
                  <m:r>
                    <m:t>E</m:t>
                  </m:r>
                </m:e>
                <m:sub>
                  <m:r>
                    <m:rPr>
                      <m:sty m:val="p"/>
                    </m:rPr>
                    <m:t>(</m:t>
                  </m:r>
                  <m:r>
                    <m:t>p</m:t>
                  </m:r>
                  <m:r>
                    <m:t>o</m:t>
                  </m:r>
                  <m:r>
                    <m:t>s</m:t>
                  </m:r>
                  <m:r>
                    <m:rPr>
                      <m:sty m:val="p"/>
                    </m:rPr>
                    <m:t>,</m:t>
                  </m:r>
                  <m:r>
                    <m:t>2</m:t>
                  </m:r>
                  <m:r>
                    <m:t>i</m:t>
                  </m:r>
                  <m:r>
                    <m:rPr>
                      <m:sty m:val="p"/>
                    </m:rPr>
                    <m:t>+</m:t>
                  </m:r>
                  <m:r>
                    <m:t>1</m:t>
                  </m:r>
                  <m:r>
                    <m:rPr>
                      <m:sty m:val="p"/>
                    </m:rPr>
                    <m:t>)</m:t>
                  </m:r>
                </m:sub>
              </m:sSub>
              <m:r>
                <m:t>&amp;</m:t>
              </m:r>
              <m:r>
                <m:rPr>
                  <m:sty m:val="p"/>
                </m:rPr>
                <m:t>=</m:t>
              </m:r>
              <m:r>
                <m:rPr>
                  <m:sty m:val="p"/>
                </m:rPr>
                <m:t>cos</m:t>
              </m:r>
              <m:d>
                <m:dPr>
                  <m:begChr m:val="("/>
                  <m:sepChr m:val=""/>
                  <m:endChr m:val=")"/>
                  <m:grow/>
                </m:dPr>
                <m:e>
                  <m:f>
                    <m:fPr>
                      <m:type m:val="bar"/>
                    </m:fPr>
                    <m:num>
                      <m:r>
                        <m:t>p</m:t>
                      </m:r>
                      <m:r>
                        <m:t>o</m:t>
                      </m:r>
                      <m:r>
                        <m:t>s</m:t>
                      </m:r>
                    </m:num>
                    <m:den>
                      <m:sSup>
                        <m:e>
                          <m:r>
                            <m:t>10000</m:t>
                          </m:r>
                        </m:e>
                        <m:sup>
                          <m:r>
                            <m:t>2</m:t>
                          </m:r>
                          <m:r>
                            <m:t>i</m:t>
                          </m:r>
                          <m:r>
                            <m:rPr>
                              <m:sty m:val="p"/>
                            </m:rPr>
                            <m:t>/</m:t>
                          </m:r>
                          <m:sSub>
                            <m:e>
                              <m:r>
                                <m:t>d</m:t>
                              </m:r>
                            </m:e>
                            <m:sub>
                              <m:r>
                                <m:rPr>
                                  <m:nor/>
                                  <m:sty m:val="p"/>
                                </m:rPr>
                                <m:t>model</m:t>
                              </m:r>
                            </m:sub>
                          </m:sSub>
                        </m:sup>
                      </m:sSup>
                    </m:den>
                  </m:f>
                </m:e>
              </m:d>
            </m:e>
          </m:eqArr>
        </m:oMath>
      </m:oMathPara>
    </w:p>
    <w:p>
      <w:pPr>
        <w:pStyle w:val="FirstParagraph"/>
      </w:pPr>
      <w:r>
        <w:t xml:space="preserve">where</w:t>
      </w:r>
      <w:r>
        <w:t xml:space="preserve"> </w:t>
      </w:r>
      <m:oMath>
        <m:r>
          <m:t>p</m:t>
        </m:r>
        <m:r>
          <m:t>o</m:t>
        </m:r>
        <m:r>
          <m:t>s</m:t>
        </m:r>
      </m:oMath>
      <w:r>
        <w:t xml:space="preserve"> </w:t>
      </w:r>
      <w:r>
        <w:t xml:space="preserve">is the position and</w:t>
      </w:r>
      <w:r>
        <w:t xml:space="preserve"> </w:t>
      </w:r>
      <m:oMath>
        <m:r>
          <m:t>i</m:t>
        </m:r>
      </m:oMath>
      <w:r>
        <w:t xml:space="preserve"> </w:t>
      </w:r>
      <w:r>
        <w:t xml:space="preserve">is the dimension.</w:t>
      </w:r>
    </w:p>
    <w:bookmarkEnd w:id="25"/>
    <w:bookmarkEnd w:id="26"/>
    <w:bookmarkStart w:id="29" w:name="experiments"/>
    <w:p>
      <w:pPr>
        <w:pStyle w:val="Heading1"/>
      </w:pPr>
      <w:r>
        <w:t xml:space="preserve">Experiments</w:t>
      </w:r>
    </w:p>
    <w:bookmarkStart w:id="27" w:name="training-data-and-benchmarking"/>
    <w:p>
      <w:pPr>
        <w:pStyle w:val="Heading2"/>
      </w:pPr>
      <w:r>
        <w:t xml:space="preserve">Training Data and Benchmarking</w:t>
      </w:r>
    </w:p>
    <w:p>
      <w:pPr>
        <w:pStyle w:val="FirstParagraph"/>
      </w:pPr>
      <w:r>
        <w:t xml:space="preserve">We trained on the standard WMT 2014 English-German dataset consisting of about 4.5 million sentence pairs. Sentences were encoded using byte-pair encoding. For English-French, we used the significantly larger WMT 2014 English-French dataset consisting of 36M sentences.</w:t>
      </w:r>
    </w:p>
    <w:bookmarkEnd w:id="27"/>
    <w:bookmarkStart w:id="28" w:name="results"/>
    <w:p>
      <w:pPr>
        <w:pStyle w:val="Heading2"/>
      </w:pPr>
      <w:r>
        <w:t xml:space="preserve">Results</w:t>
      </w:r>
    </w:p>
    <w:p>
      <w:pPr>
        <w:pStyle w:val="FirstParagraph"/>
      </w:pPr>
      <w:r>
        <w:t xml:space="preserve">On the WMT 2014 English-to-German translation task, the Transformer achieves a BLEU score of 28.4, outperforming all previously published models. The results are shown in Table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Model</w:t>
            </w:r>
          </w:p>
        </w:tc>
        <w:tc>
          <w:tcPr/>
          <w:p>
            <w:pPr>
              <w:pStyle w:val="Compact"/>
            </w:pPr>
            <w:r>
              <w:rPr>
                <w:b/>
                <w:bCs/>
              </w:rPr>
              <w:t xml:space="preserve">BLEU</w:t>
            </w:r>
          </w:p>
        </w:tc>
        <w:tc>
          <w:tcPr/>
          <w:p>
            <w:pPr>
              <w:pStyle w:val="Compact"/>
            </w:pPr>
            <w:r>
              <w:rPr>
                <w:b/>
                <w:bCs/>
              </w:rPr>
              <w:t xml:space="preserve">Training Cost (FLOPs)</w:t>
            </w:r>
          </w:p>
        </w:tc>
      </w:tr>
      <w:tr>
        <w:tc>
          <w:tcPr/>
          <w:p>
            <w:pPr>
              <w:pStyle w:val="Compact"/>
            </w:pPr>
            <w:r>
              <w:rPr>
                <w:b/>
                <w:bCs/>
              </w:rPr>
              <w:t xml:space="preserve">English-to-German</w:t>
            </w:r>
          </w:p>
        </w:tc>
        <w:tc>
          <w:tcPr/>
          <w:p>
            <w:pPr>
              <w:pStyle w:val="Compact"/>
            </w:pPr>
          </w:p>
        </w:tc>
        <w:tc>
          <w:tcPr/>
          <w:p>
            <w:pPr>
              <w:pStyle w:val="Compact"/>
            </w:pPr>
          </w:p>
        </w:tc>
      </w:tr>
      <w:tr>
        <w:tc>
          <w:tcPr/>
          <w:p>
            <w:pPr>
              <w:pStyle w:val="Compact"/>
            </w:pPr>
            <w:r>
              <w:t xml:space="preserve">Transformer (base)</w:t>
            </w:r>
          </w:p>
        </w:tc>
        <w:tc>
          <w:tcPr/>
          <w:p>
            <w:pPr>
              <w:pStyle w:val="Compact"/>
            </w:pPr>
            <w:r>
              <w:t xml:space="preserve">27.3</w:t>
            </w:r>
          </w:p>
        </w:tc>
        <w:tc>
          <w:tcPr/>
          <w:p>
            <w:pPr>
              <w:pStyle w:val="Compact"/>
            </w:pPr>
            <m:oMath>
              <m:r>
                <m:t>3.3</m:t>
              </m:r>
              <m:r>
                <m:rPr>
                  <m:sty m:val="p"/>
                </m:rPr>
                <m:t>×</m:t>
              </m:r>
              <m:sSup>
                <m:e>
                  <m:r>
                    <m:t>10</m:t>
                  </m:r>
                </m:e>
                <m:sup>
                  <m:r>
                    <m:t>18</m:t>
                  </m:r>
                </m:sup>
              </m:sSup>
            </m:oMath>
          </w:p>
        </w:tc>
      </w:tr>
      <w:tr>
        <w:tc>
          <w:tcPr/>
          <w:p>
            <w:pPr>
              <w:pStyle w:val="Compact"/>
            </w:pPr>
            <w:r>
              <w:t xml:space="preserve">Transformer (big)</w:t>
            </w:r>
          </w:p>
        </w:tc>
        <w:tc>
          <w:tcPr/>
          <w:p>
            <w:pPr>
              <w:pStyle w:val="Compact"/>
            </w:pPr>
            <w:r>
              <w:rPr>
                <w:b/>
                <w:bCs/>
              </w:rPr>
              <w:t xml:space="preserve">28.4</w:t>
            </w:r>
          </w:p>
        </w:tc>
        <w:tc>
          <w:tcPr/>
          <w:p>
            <w:pPr>
              <w:pStyle w:val="Compact"/>
            </w:pPr>
            <m:oMath>
              <m:r>
                <m:t>2.3</m:t>
              </m:r>
              <m:r>
                <m:rPr>
                  <m:sty m:val="p"/>
                </m:rPr>
                <m:t>×</m:t>
              </m:r>
              <m:sSup>
                <m:e>
                  <m:r>
                    <m:t>10</m:t>
                  </m:r>
                </m:e>
                <m:sup>
                  <m:r>
                    <m:t>19</m:t>
                  </m:r>
                </m:sup>
              </m:sSup>
            </m:oMath>
          </w:p>
        </w:tc>
      </w:tr>
      <w:tr>
        <w:tc>
          <w:tcPr/>
          <w:p>
            <w:pPr>
              <w:pStyle w:val="Compact"/>
            </w:pPr>
          </w:p>
        </w:tc>
        <w:tc>
          <w:tcPr/>
          <w:p>
            <w:pPr>
              <w:pStyle w:val="Compact"/>
            </w:pPr>
          </w:p>
        </w:tc>
        <w:tc>
          <w:tcPr/>
          <w:p>
            <w:pPr>
              <w:pStyle w:val="Compact"/>
            </w:pPr>
          </w:p>
        </w:tc>
      </w:tr>
      <w:tr>
        <w:tc>
          <w:tcPr/>
          <w:p>
            <w:pPr>
              <w:pStyle w:val="Compact"/>
            </w:pPr>
            <w:r>
              <w:rPr>
                <w:b/>
                <w:bCs/>
              </w:rPr>
              <w:t xml:space="preserve">English-to-French</w:t>
            </w:r>
          </w:p>
        </w:tc>
        <w:tc>
          <w:tcPr/>
          <w:p>
            <w:pPr>
              <w:pStyle w:val="Compact"/>
            </w:pPr>
          </w:p>
        </w:tc>
        <w:tc>
          <w:tcPr/>
          <w:p>
            <w:pPr>
              <w:pStyle w:val="Compact"/>
            </w:pPr>
          </w:p>
        </w:tc>
      </w:tr>
      <w:tr>
        <w:tc>
          <w:tcPr/>
          <w:p>
            <w:pPr>
              <w:pStyle w:val="Compact"/>
            </w:pPr>
            <w:r>
              <w:t xml:space="preserve">Transformer (base)</w:t>
            </w:r>
          </w:p>
        </w:tc>
        <w:tc>
          <w:tcPr/>
          <w:p>
            <w:pPr>
              <w:pStyle w:val="Compact"/>
            </w:pPr>
            <w:r>
              <w:t xml:space="preserve">38.1</w:t>
            </w:r>
          </w:p>
        </w:tc>
        <w:tc>
          <w:tcPr/>
          <w:p>
            <w:pPr>
              <w:pStyle w:val="Compact"/>
            </w:pPr>
            <m:oMath>
              <m:r>
                <m:t>3.3</m:t>
              </m:r>
              <m:r>
                <m:rPr>
                  <m:sty m:val="p"/>
                </m:rPr>
                <m:t>×</m:t>
              </m:r>
              <m:sSup>
                <m:e>
                  <m:r>
                    <m:t>10</m:t>
                  </m:r>
                </m:e>
                <m:sup>
                  <m:r>
                    <m:t>18</m:t>
                  </m:r>
                </m:sup>
              </m:sSup>
            </m:oMath>
          </w:p>
        </w:tc>
      </w:tr>
      <w:tr>
        <w:tc>
          <w:tcPr/>
          <w:p>
            <w:pPr>
              <w:pStyle w:val="Compact"/>
            </w:pPr>
            <w:r>
              <w:t xml:space="preserve">Transformer (big)</w:t>
            </w:r>
          </w:p>
        </w:tc>
        <w:tc>
          <w:tcPr/>
          <w:p>
            <w:pPr>
              <w:pStyle w:val="Compact"/>
            </w:pPr>
            <w:r>
              <w:rPr>
                <w:b/>
                <w:bCs/>
              </w:rPr>
              <w:t xml:space="preserve">41.8</w:t>
            </w:r>
          </w:p>
        </w:tc>
        <w:tc>
          <w:tcPr/>
          <w:p>
            <w:pPr>
              <w:pStyle w:val="Compact"/>
            </w:pPr>
            <m:oMath>
              <m:r>
                <m:t>2.3</m:t>
              </m:r>
              <m:r>
                <m:rPr>
                  <m:sty m:val="p"/>
                </m:rPr>
                <m:t>×</m:t>
              </m:r>
              <m:sSup>
                <m:e>
                  <m:r>
                    <m:t>10</m:t>
                  </m:r>
                </m:e>
                <m:sup>
                  <m:r>
                    <m:t>19</m:t>
                  </m:r>
                </m:sup>
              </m:sSup>
            </m:oMath>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Model</w:t>
            </w:r>
          </w:p>
        </w:tc>
        <w:tc>
          <w:tcPr/>
          <w:p>
            <w:pPr>
              <w:pStyle w:val="Compact"/>
            </w:pPr>
            <w:r>
              <w:rPr>
                <w:b/>
                <w:bCs/>
              </w:rPr>
              <w:t xml:space="preserve">F1 Score</w:t>
            </w:r>
          </w:p>
        </w:tc>
      </w:tr>
      <w:tr>
        <w:tc>
          <w:tcPr/>
          <w:p>
            <w:pPr>
              <w:pStyle w:val="Compact"/>
            </w:pPr>
            <w:r>
              <w:t xml:space="preserve">Transformer (4 layers)</w:t>
            </w:r>
          </w:p>
        </w:tc>
        <w:tc>
          <w:tcPr/>
          <w:p>
            <w:pPr>
              <w:pStyle w:val="Compact"/>
            </w:pPr>
            <w:r>
              <w:t xml:space="preserve">91.3</w:t>
            </w:r>
          </w:p>
        </w:tc>
      </w:tr>
      <w:tr>
        <w:tc>
          <w:tcPr/>
          <w:p>
            <w:pPr>
              <w:pStyle w:val="Compact"/>
            </w:pPr>
            <w:r>
              <w:t xml:space="preserve">Transformer (8 layers)</w:t>
            </w:r>
          </w:p>
        </w:tc>
        <w:tc>
          <w:tcPr/>
          <w:p>
            <w:pPr>
              <w:pStyle w:val="Compact"/>
            </w:pPr>
            <w:r>
              <w:t xml:space="preserve">91.7</w:t>
            </w:r>
          </w:p>
        </w:tc>
      </w:tr>
    </w:tbl>
    <w:bookmarkEnd w:id="28"/>
    <w:bookmarkEnd w:id="29"/>
    <w:bookmarkStart w:id="30" w:name="conclusion"/>
    <w:p>
      <w:pPr>
        <w:pStyle w:val="Heading1"/>
      </w:pPr>
      <w:r>
        <w:t xml:space="preserve">Conclusion</w:t>
      </w:r>
    </w:p>
    <w:p>
      <w:pPr>
        <w:pStyle w:val="FirstParagraph"/>
      </w:pPr>
      <w:r>
        <w:t xml:space="preserve">We have presented the Transformer, the first sequence transduction model based entirely on attention, replacing the recurrent layers most commonly used in encoder-decoder architectures with multi-headed self-attention.</w:t>
      </w:r>
    </w:p>
    <w:p>
      <w:pPr>
        <w:pStyle w:val="BodyText"/>
      </w:pPr>
      <w:r>
        <w:t xml:space="preserve">For translation tasks, the Transformer can be trained significantly faster than architectures based on recurrent or convolutional layers. We achieve a new state of the art on the WMT 2014 English-to-German and English-to-French translation tasks.</w:t>
      </w:r>
    </w:p>
    <w:p>
      <w:pPr>
        <w:pStyle w:val="BodyText"/>
      </w:pPr>
      <w:r>
        <w:t xml:space="preserve">We are excited about the future of attention-based models and plan to apply them to other tasks. The Transformer is particularly suitable for tasks involving large inputs and outputs, and we plan to continue its development.</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hyperlink" Id="rId9" Target="01-introduction.md" TargetMode="External" /><Relationship Type="http://schemas.openxmlformats.org/officeDocument/2006/relationships/hyperlink" Id="rId10" Target="02-background.md" TargetMode="External" /><Relationship Type="http://schemas.openxmlformats.org/officeDocument/2006/relationships/hyperlink" Id="rId11" Target="03-model-architecture.md" TargetMode="External" /><Relationship Type="http://schemas.openxmlformats.org/officeDocument/2006/relationships/hyperlink" Id="rId12" Target="04-experiments.md" TargetMode="External" /><Relationship Type="http://schemas.openxmlformats.org/officeDocument/2006/relationships/hyperlink" Id="rId13" Target="05-conclusion.md" TargetMode="External" /></Relationships>
</file>

<file path=word/_rels/footnotes.xml.rels><?xml version="1.0" encoding="UTF-8"?><Relationships xmlns="http://schemas.openxmlformats.org/package/2006/relationships"><Relationship Type="http://schemas.openxmlformats.org/officeDocument/2006/relationships/hyperlink" Id="rId9" Target="01-introduction.md" TargetMode="External" /><Relationship Type="http://schemas.openxmlformats.org/officeDocument/2006/relationships/hyperlink" Id="rId10" Target="02-background.md" TargetMode="External" /><Relationship Type="http://schemas.openxmlformats.org/officeDocument/2006/relationships/hyperlink" Id="rId11" Target="03-model-architecture.md" TargetMode="External" /><Relationship Type="http://schemas.openxmlformats.org/officeDocument/2006/relationships/hyperlink" Id="rId12" Target="04-experiments.md" TargetMode="External" /><Relationship Type="http://schemas.openxmlformats.org/officeDocument/2006/relationships/hyperlink" Id="rId13" Target="05-conclus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2025-11-26T16:22:38Z</dcterms:created>
  <dcterms:modified xsi:type="dcterms:W3CDTF">2025-11-26T16:22:38Z</dcterms:modified>
</cp:coreProperties>
</file>

<file path=docProps/custom.xml><?xml version="1.0" encoding="utf-8"?>
<Properties xmlns="http://schemas.openxmlformats.org/officeDocument/2006/custom-properties" xmlns:vt="http://schemas.openxmlformats.org/officeDocument/2006/docPropsVTypes"/>
</file>