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fe664336cd0e17a18cb10544f56375bcf97aa8"/>
    <w:p>
      <w:pPr>
        <w:pStyle w:val="Heading1"/>
      </w:pPr>
      <w:r>
        <w:t xml:space="preserve">Master Patient Index (MPI): A Technical and Operational Treatise</w:t>
      </w:r>
    </w:p>
    <w:p>
      <w:pPr>
        <w:pStyle w:val="FirstParagraph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Health IT Analysts, Architects, and Developers</w:t>
      </w:r>
    </w:p>
    <w:p>
      <w:r>
        <w:pict>
          <v:rect style="width:0;height:1.5pt" o:hralign="center" o:hrstd="t" o:hr="t"/>
        </w:pict>
      </w:r>
    </w:p>
    <w:bookmarkStart w:id="10" w:name="Xeddbd80ca10f53b7d0772452391b065779cfb61"/>
    <w:p>
      <w:pPr>
        <w:pStyle w:val="Heading2"/>
      </w:pPr>
      <w:r>
        <w:t xml:space="preserve">1. Introduction: The Identity Hypothesis</w:t>
      </w:r>
    </w:p>
    <w:p>
      <w:pPr>
        <w:pStyle w:val="FirstParagraph"/>
      </w:pPr>
      <w:r>
        <w:t xml:space="preserve">In healthcare, patient identity is not a static fact; it is a resolvable, auditable hypothesis. Clinical systems (EMRs, LIS, RIS) are designed to manage</w:t>
      </w:r>
      <w:r>
        <w:t xml:space="preserve"> </w:t>
      </w:r>
      <w:r>
        <w:rPr>
          <w:b/>
          <w:bCs/>
        </w:rPr>
        <w:t xml:space="preserve">records</w:t>
      </w:r>
      <w:r>
        <w:t xml:space="preserve">—sets of clinical observations, orders, and billing events—using a local identifier (MRN). However, these systems are notoriously poor at managing</w:t>
      </w:r>
      <w:r>
        <w:t xml:space="preserve"> </w:t>
      </w:r>
      <w:r>
        <w:rPr>
          <w:b/>
          <w:bCs/>
        </w:rPr>
        <w:t xml:space="preserve">identity</w:t>
      </w:r>
      <w:r>
        <w:t xml:space="preserve">—the mapping of multiple disparate records to a single human being.</w:t>
      </w:r>
    </w:p>
    <w:p>
      <w:pPr>
        <w:pStyle w:val="BodyText"/>
      </w:pPr>
      <w:r>
        <w:t xml:space="preserve">The fundamental challenge of a Master Patient Index (MPI) is not just "finding duplicates," but managing the lifecycle of identity resolution without compromising clinical safety, legal integrity, or global health equity.</w:t>
      </w:r>
    </w:p>
    <w:bookmarkStart w:id="9" w:name="the-golden-rule-of-mpi"/>
    <w:p>
      <w:pPr>
        <w:pStyle w:val="Heading3"/>
      </w:pPr>
      <w:r>
        <w:t xml:space="preserve">The Golden Rule of MPI</w:t>
      </w:r>
    </w:p>
    <w:p>
      <w:pPr>
        <w:pStyle w:val="BlockText"/>
      </w:pPr>
      <w:r>
        <w:rPr>
          <w:b/>
          <w:bCs/>
        </w:rPr>
        <w:t xml:space="preserve">Patient IDs represent records. Person IDs represent reality.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Xdd3a8df1cadcdfe10bd2d88afd1b301e6524b21"/>
    <w:p>
      <w:pPr>
        <w:pStyle w:val="Heading2"/>
      </w:pPr>
      <w:r>
        <w:t xml:space="preserve">2. The Reference Architecture: Three-Layer Separation</w:t>
      </w:r>
    </w:p>
    <w:p>
      <w:pPr>
        <w:pStyle w:val="FirstParagraph"/>
      </w:pPr>
      <w:r>
        <w:t xml:space="preserve">Successful MPIs rely on a fundamental separation of concerns. Collapsing identity truth into a search index is the most common cause of MPI failure.</w:t>
      </w:r>
    </w:p>
    <w:bookmarkStart w:id="11" w:name="layer-1-the-identity-anchor-person"/>
    <w:p>
      <w:pPr>
        <w:pStyle w:val="Heading3"/>
      </w:pPr>
      <w:r>
        <w:t xml:space="preserve">Layer 1: The Identity Anchor (</w:t>
      </w:r>
      <w:r>
        <w:rPr>
          <w:rStyle w:val="VerbatimChar"/>
        </w:rPr>
        <w:t xml:space="preserve">person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table is the stable, long-lived anchor. It contains no clinical data and rarely changes. It serves as the enterprise-wide "Source of Truth" for human identity.</w:t>
      </w:r>
    </w:p>
    <w:bookmarkEnd w:id="11"/>
    <w:bookmarkStart w:id="12" w:name="X9bc7c09fd1cff3f6d71ce055585a7c5cf763006"/>
    <w:p>
      <w:pPr>
        <w:pStyle w:val="Heading3"/>
      </w:pPr>
      <w:r>
        <w:t xml:space="preserve">Layer 3: The Identity Assertion (</w:t>
      </w:r>
      <w:r>
        <w:rPr>
          <w:rStyle w:val="VerbatimChar"/>
        </w:rPr>
        <w:t xml:space="preserve">person_patient_xref</w:t>
      </w:r>
      <w:r>
        <w:t xml:space="preserve">)</w:t>
      </w:r>
    </w:p>
    <w:p>
      <w:pPr>
        <w:pStyle w:val="FirstParagraph"/>
      </w:pPr>
      <w:r>
        <w:t xml:space="preserve">This layer maps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to various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s across different systems. It records the</w:t>
      </w:r>
      <w:r>
        <w:t xml:space="preserve"> </w:t>
      </w:r>
      <w:r>
        <w:rPr>
          <w:b/>
          <w:bCs/>
        </w:rPr>
        <w:t xml:space="preserve">judgment</w:t>
      </w:r>
      <w:r>
        <w:t xml:space="preserve"> </w:t>
      </w:r>
      <w:r>
        <w:t xml:space="preserve">that "Record A and Record B belong to Person X." It must be auditable, reversible, and account for</w:t>
      </w:r>
      <w:r>
        <w:t xml:space="preserve"> </w:t>
      </w:r>
      <w:r>
        <w:rPr>
          <w:b/>
          <w:bCs/>
        </w:rPr>
        <w:t xml:space="preserve">Source System Trust</w:t>
      </w:r>
      <w:r>
        <w:t xml:space="preserve">—weighting identifiers from national registries higher than self-registration portals.</w:t>
      </w:r>
    </w:p>
    <w:bookmarkEnd w:id="12"/>
    <w:bookmarkStart w:id="13" w:name="X793b166b864d7a155466564e6925a10ea40e7e7"/>
    <w:p>
      <w:pPr>
        <w:pStyle w:val="Heading3"/>
      </w:pPr>
      <w:r>
        <w:t xml:space="preserve">Layer 3: The Search Engine (</w:t>
      </w:r>
      <w:r>
        <w:rPr>
          <w:rStyle w:val="VerbatimChar"/>
        </w:rPr>
        <w:t xml:space="preserve">mpi_patient_index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perception</w:t>
      </w:r>
      <w:r>
        <w:t xml:space="preserve"> </w:t>
      </w:r>
      <w:r>
        <w:t xml:space="preserve">layer. It contains denormalized, cleaned, and phonetic versions of demographics. It is optimized for speed and recall, identifying</w:t>
      </w:r>
      <w:r>
        <w:t xml:space="preserve"> </w:t>
      </w:r>
      <w:r>
        <w:rPr>
          <w:i/>
          <w:iCs/>
        </w:rPr>
        <w:t xml:space="preserve">candidates</w:t>
      </w:r>
      <w:r>
        <w:t xml:space="preserve"> </w:t>
      </w:r>
      <w:r>
        <w:t xml:space="preserve">for review.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6e0bcab5651e714201ed911a26642803caadae8"/>
    <w:p>
      <w:pPr>
        <w:pStyle w:val="Heading2"/>
      </w:pPr>
      <w:r>
        <w:t xml:space="preserve">3. Technical Implementation: The Schema</w:t>
      </w:r>
    </w:p>
    <w:bookmarkStart w:id="15" w:name="database-design-mysql-8-example"/>
    <w:p>
      <w:pPr>
        <w:pStyle w:val="Heading3"/>
      </w:pPr>
      <w:r>
        <w:t xml:space="preserve">Database Design (MySQL 8+ Example)</w:t>
      </w:r>
    </w:p>
    <w:p>
      <w:pPr>
        <w:pStyle w:val="FirstParagraph"/>
      </w:pPr>
      <w:r>
        <w:t xml:space="preserve">The following schema enforces transactional safety and clear ownership boundaries.</w:t>
      </w:r>
    </w:p>
    <w:p>
      <w:pPr>
        <w:pStyle w:val="SourceCode"/>
      </w:pPr>
      <w:r>
        <w:rPr>
          <w:rStyle w:val="CommentTok"/>
        </w:rPr>
        <w:t xml:space="preserve">-- Identity Anchor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person (</w:t>
      </w:r>
      <w:r>
        <w:br/>
      </w:r>
      <w:r>
        <w:rPr>
          <w:rStyle w:val="NormalTok"/>
        </w:rPr>
        <w:t xml:space="preserve">  person_id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Use UUIDs for future HIE federation</w:t>
      </w:r>
      <w:r>
        <w:br/>
      </w:r>
      <w:r>
        <w:rPr>
          <w:rStyle w:val="NormalTok"/>
        </w:rPr>
        <w:t xml:space="preserve">  status     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'merged'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Cross-Reference (The Assertion Layer)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person_patient_xref (</w:t>
      </w:r>
      <w:r>
        <w:br/>
      </w:r>
      <w:r>
        <w:rPr>
          <w:rStyle w:val="NormalTok"/>
        </w:rPr>
        <w:t xml:space="preserve">  person_id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patient_id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source_system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source_trust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-- 0-100 weighting</w:t>
      </w:r>
      <w:r>
        <w:br/>
      </w:r>
      <w:r>
        <w:rPr>
          <w:rStyle w:val="NormalTok"/>
        </w:rPr>
        <w:t xml:space="preserve">  link_reason   ENUM(</w:t>
      </w:r>
      <w:r>
        <w:rPr>
          <w:rStyle w:val="StringTok"/>
        </w:rPr>
        <w:t xml:space="preserve">'registration_new'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'registration_selected'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'mpi_auto'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'mpi_manual'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'system_import'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'superseded'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(person_id, patient_id),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(person_id)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person(person_id)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Search Index (The Perception Layer)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mpi_patient_index (</w:t>
      </w:r>
      <w:r>
        <w:br/>
      </w:r>
      <w:r>
        <w:rPr>
          <w:rStyle w:val="NormalTok"/>
        </w:rPr>
        <w:t xml:space="preserve">  patient_id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name_1_canon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Global-friendly (e.g. Given)</w:t>
      </w:r>
      <w:r>
        <w:br/>
      </w:r>
      <w:r>
        <w:rPr>
          <w:rStyle w:val="NormalTok"/>
        </w:rPr>
        <w:t xml:space="preserve">  name_2_canon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Global-friendly (e.g. Family)</w:t>
      </w:r>
      <w:r>
        <w:br/>
      </w:r>
      <w:r>
        <w:rPr>
          <w:rStyle w:val="NormalTok"/>
        </w:rPr>
        <w:t xml:space="preserve">  full_name_norm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alt_name_keys       JSON,         </w:t>
      </w:r>
      <w:r>
        <w:br/>
      </w:r>
      <w:r>
        <w:rPr>
          <w:rStyle w:val="NormalTok"/>
        </w:rPr>
        <w:t xml:space="preserve">  phonetic_code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dob   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9d516f17be28d1c2632dd55c8f78e0ac3a93e2f"/>
    <w:p>
      <w:pPr>
        <w:pStyle w:val="Heading2"/>
      </w:pPr>
      <w:r>
        <w:t xml:space="preserve">4. Global Name Handling: The Five Representations</w:t>
      </w:r>
    </w:p>
    <w:p>
      <w:pPr>
        <w:pStyle w:val="FirstParagraph"/>
      </w:pPr>
      <w:r>
        <w:t xml:space="preserve">In global contexts, "First/Middle/Last" structures often fail. A robust MPI uses generic name components (Name 1, Name 2, etc.) to handle patronymics, double surnames, or mononymous patients.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RAW</w:t>
      </w:r>
      <w:r>
        <w:t xml:space="preserve">: Exactly what was typed (Dr. John O'Malley).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CANONICAL</w:t>
      </w:r>
      <w:r>
        <w:t xml:space="preserve">: Cleaned for human review (JOHN OMALLEY).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NORMALIZED</w:t>
      </w:r>
      <w:r>
        <w:t xml:space="preserve">: Collapsed strings (JOHNOMALLEY) for fast B-tree indexing.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ALTERNATE ORDER</w:t>
      </w:r>
      <w:r>
        <w:t xml:space="preserve">: Defense against field swaps (OMALLEYJOHN).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PHONETIC</w:t>
      </w:r>
      <w:r>
        <w:t xml:space="preserve">: Algorithm-generated codes (JNMAL). Must use language-appropriate algorithms (e.g., Metaphone for English, custom for Arabic/Chinese).</w:t>
      </w:r>
    </w:p>
    <w:p>
      <w:r>
        <w:pict>
          <v:rect style="width:0;height:1.5pt" o:hralign="center" o:hrstd="t" o:hr="t"/>
        </w:pict>
      </w:r>
    </w:p>
    <w:bookmarkEnd w:id="17"/>
    <w:bookmarkStart w:id="18" w:name="Xbdd9cc4ac5285442af79d7cd114e4e4d8cc016a"/>
    <w:p>
      <w:pPr>
        <w:pStyle w:val="Heading2"/>
      </w:pPr>
      <w:r>
        <w:t xml:space="preserve">5. Matching Theory: Fellegi-Sunter &amp; Source Trust</w:t>
      </w:r>
    </w:p>
    <w:p>
      <w:pPr>
        <w:pStyle w:val="FirstParagraph"/>
      </w:pPr>
      <w:r>
        <w:t xml:space="preserve">MPI matching uses</w:t>
      </w:r>
      <w:r>
        <w:t xml:space="preserve"> </w:t>
      </w:r>
      <w:r>
        <w:rPr>
          <w:b/>
          <w:bCs/>
        </w:rPr>
        <w:t xml:space="preserve">Fellegi-Sunter (F-S) Theory</w:t>
      </w:r>
      <w:r>
        <w:t xml:space="preserve"> </w:t>
      </w:r>
      <w:r>
        <w:t xml:space="preserve">to produce a</w:t>
      </w:r>
      <w:r>
        <w:t xml:space="preserve"> </w:t>
      </w:r>
      <w:r>
        <w:rPr>
          <w:b/>
          <w:bCs/>
        </w:rPr>
        <w:t xml:space="preserve">Total Score</w:t>
      </w:r>
      <w:r>
        <w:t xml:space="preserve"> </w:t>
      </w:r>
      <w:r>
        <w:t xml:space="preserve">based on weighted evidence.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M-probability</w:t>
      </w:r>
      <w:r>
        <w:t xml:space="preserve">: Likelihood fields agree given a match (e.g., National ID).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U-probability</w:t>
      </w:r>
      <w:r>
        <w:t xml:space="preserve">: Likelihood fields agree by chance (e.g., common surnames).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Source Trust Weighting</w:t>
      </w:r>
      <w:r>
        <w:t xml:space="preserve">: Identity decisions are weighted by the source system's reliability. A link asserted by a National Identity Registry carries more weight than one from a legacy clinic spreadsheet.</w:t>
      </w:r>
    </w:p>
    <w:p>
      <w:r>
        <w:pict>
          <v:rect style="width:0;height:1.5pt" o:hralign="center" o:hrstd="t" o:hr="t"/>
        </w:pict>
      </w:r>
    </w:p>
    <w:bookmarkEnd w:id="18"/>
    <w:bookmarkStart w:id="19" w:name="X0a095cbc83753f6bc7f85148b7b624b7abe8d27"/>
    <w:p>
      <w:pPr>
        <w:pStyle w:val="Heading2"/>
      </w:pPr>
      <w:r>
        <w:t xml:space="preserve">6. Interoperability &amp; Standards (HL7/FHIR)</w:t>
      </w:r>
    </w:p>
    <w:p>
      <w:pPr>
        <w:pStyle w:val="FirstParagraph"/>
      </w:pPr>
      <w:r>
        <w:t xml:space="preserve">Internal identity decisions must propagate using international standards to maintain semantic interoperability.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FHIR</w:t>
      </w:r>
      <w:r>
        <w:t xml:space="preserve">: Map internal links to</w:t>
      </w:r>
      <w:r>
        <w:t xml:space="preserve"> </w:t>
      </w:r>
      <w:r>
        <w:rPr>
          <w:rStyle w:val="VerbatimChar"/>
        </w:rPr>
        <w:t xml:space="preserve">Patient.link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replaced-by</w:t>
      </w:r>
      <w:r>
        <w:t xml:space="preserve"> </w:t>
      </w:r>
      <w:r>
        <w:t xml:space="preserve">for merges and</w:t>
      </w:r>
      <w:r>
        <w:t xml:space="preserve"> </w:t>
      </w:r>
      <w:r>
        <w:rPr>
          <w:rStyle w:val="VerbatimChar"/>
        </w:rPr>
        <w:t xml:space="preserve">seealso</w:t>
      </w:r>
      <w:r>
        <w:t xml:space="preserve"> </w:t>
      </w:r>
      <w:r>
        <w:t xml:space="preserve">for high-confidence candidates.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HL7 v2</w:t>
      </w:r>
      <w:r>
        <w:t xml:space="preserve">: Use the</w:t>
      </w:r>
      <w:r>
        <w:t xml:space="preserve"> </w:t>
      </w:r>
      <w:r>
        <w:rPr>
          <w:rStyle w:val="VerbatimChar"/>
        </w:rPr>
        <w:t xml:space="preserve">MRG</w:t>
      </w:r>
      <w:r>
        <w:t xml:space="preserve"> </w:t>
      </w:r>
      <w:r>
        <w:t xml:space="preserve">(Merge Patient) segment in</w:t>
      </w:r>
      <w:r>
        <w:t xml:space="preserve"> </w:t>
      </w:r>
      <w:r>
        <w:rPr>
          <w:rStyle w:val="VerbatimChar"/>
        </w:rPr>
        <w:t xml:space="preserve">ADT</w:t>
      </w:r>
      <w:r>
        <w:t xml:space="preserve"> </w:t>
      </w:r>
      <w:r>
        <w:t xml:space="preserve">messages to inform downstream systems (LIS, PACS) of identity resolution.</w:t>
      </w:r>
    </w:p>
    <w:p>
      <w:r>
        <w:pict>
          <v:rect style="width:0;height:1.5pt" o:hralign="center" o:hrstd="t" o:hr="t"/>
        </w:pict>
      </w:r>
    </w:p>
    <w:bookmarkEnd w:id="19"/>
    <w:bookmarkStart w:id="22" w:name="X1ce4144a676afdd8355364f22082ad35f6325f1"/>
    <w:p>
      <w:pPr>
        <w:pStyle w:val="Heading2"/>
      </w:pPr>
      <w:r>
        <w:t xml:space="preserve">7. Practical Implementation: The "In-App" Enterprise Pattern</w:t>
      </w:r>
    </w:p>
    <w:p>
      <w:pPr>
        <w:pStyle w:val="FirstParagraph"/>
      </w:pPr>
      <w:r>
        <w:t xml:space="preserve">When a separate MPI service is not feasible, the MPI can be built directly within the enterprise database using a dedicated schema to maintain logical separation.</w:t>
      </w:r>
    </w:p>
    <w:bookmarkStart w:id="20" w:name="the-architectural-strategy"/>
    <w:p>
      <w:pPr>
        <w:pStyle w:val="Heading3"/>
      </w:pPr>
      <w:r>
        <w:t xml:space="preserve">The Architectural Strategy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identity_mpi;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identity_mpi.persons (</w:t>
      </w:r>
      <w:r>
        <w:br/>
      </w:r>
      <w:r>
        <w:rPr>
          <w:rStyle w:val="NormalTok"/>
        </w:rPr>
        <w:t xml:space="preserve">  person_id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canonical_mrn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global_status  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'merged'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'suppressed'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Link existing EMR records to the Anchor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 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enterprise_person_id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identity_mpi.persons(person_id);</w:t>
      </w:r>
    </w:p>
    <w:bookmarkEnd w:id="20"/>
    <w:bookmarkStart w:id="21" w:name="key-advantages"/>
    <w:p>
      <w:pPr>
        <w:pStyle w:val="Heading3"/>
      </w:pPr>
      <w:r>
        <w:t xml:space="preserve">Key Advantages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Transactional Integrity</w:t>
      </w:r>
      <w:r>
        <w:t xml:space="preserve">: Wrap merge/unmerge in a single ACID transaction.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Zero Latency</w:t>
      </w:r>
      <w:r>
        <w:t xml:space="preserve">: Perform direct</w:t>
      </w:r>
      <w:r>
        <w:t xml:space="preserve"> </w:t>
      </w:r>
      <w:r>
        <w:rPr>
          <w:rStyle w:val="VerbatimChar"/>
        </w:rPr>
        <w:t xml:space="preserve">JOIN</w:t>
      </w:r>
      <w:r>
        <w:t xml:space="preserve">s for real-time duplicate detection.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Atomic Backups</w:t>
      </w:r>
      <w:r>
        <w:t xml:space="preserve">: Clinical and identity truth stay perfectly synchronized in snapshots.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2f3dfde121c4bc9c63bdd259a59470d0c0ec044"/>
    <w:p>
      <w:pPr>
        <w:pStyle w:val="Heading2"/>
      </w:pPr>
      <w:r>
        <w:t xml:space="preserve">8. Bootstrapping Identity: From Monolith to MPI</w:t>
      </w:r>
    </w:p>
    <w:p>
      <w:pPr>
        <w:pStyle w:val="FirstParagraph"/>
      </w:pPr>
      <w:r>
        <w:t xml:space="preserve">For organizations migrating from a monolithic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table to an MPI-enabled structure, the transition must be managed to ensure zero data loss and immediate operational continuity.</w:t>
      </w:r>
    </w:p>
    <w:bookmarkStart w:id="26" w:name="X9b77e03457835ec7fbacccdb45fb6bb62138e69"/>
    <w:p>
      <w:pPr>
        <w:pStyle w:val="Heading3"/>
      </w:pPr>
      <w:r>
        <w:t xml:space="preserve">The Recommended Migration Strategy (Phase-Based)</w:t>
      </w:r>
    </w:p>
    <w:bookmarkStart w:id="23" w:name="phase-1-the-11-anchor-initialization"/>
    <w:p>
      <w:pPr>
        <w:pStyle w:val="Heading4"/>
      </w:pPr>
      <w:r>
        <w:t xml:space="preserve">Phase 1: The "1:1 Anchor" Initialization</w:t>
      </w:r>
    </w:p>
    <w:p>
      <w:pPr>
        <w:pStyle w:val="FirstParagraph"/>
      </w:pPr>
      <w:r>
        <w:t xml:space="preserve">The safest starting point is to assume every existing patient record is a unique human until proven otherwise. This avoids "accidental merges" during the migration process.</w:t>
      </w:r>
    </w:p>
    <w:p>
      <w:pPr>
        <w:pStyle w:val="SourceCode"/>
      </w:pPr>
      <w:r>
        <w:rPr>
          <w:rStyle w:val="CommentTok"/>
        </w:rPr>
        <w:t xml:space="preserve">-- 1. Add the identity anchor to the existing patients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enterprise_person_id UUID;</w:t>
      </w:r>
      <w:r>
        <w:br/>
      </w:r>
      <w:r>
        <w:br/>
      </w:r>
      <w:r>
        <w:rPr>
          <w:rStyle w:val="CommentTok"/>
        </w:rPr>
        <w:t xml:space="preserve">-- 2. Generate a unique identity for every record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enterprise_person_id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gen_random_uuid();</w:t>
      </w:r>
      <w:r>
        <w:br/>
      </w:r>
      <w:r>
        <w:br/>
      </w:r>
      <w:r>
        <w:rPr>
          <w:rStyle w:val="CommentTok"/>
        </w:rPr>
        <w:t xml:space="preserve">-- 3. Populate the 'persons' table from the newly generated IDs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identity_mpi.persons (person_id, global_status)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enterprise_person_id,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.patients;</w:t>
      </w:r>
      <w:r>
        <w:br/>
      </w:r>
      <w:r>
        <w:br/>
      </w:r>
      <w:r>
        <w:rPr>
          <w:rStyle w:val="CommentTok"/>
        </w:rPr>
        <w:t xml:space="preserve">-- 4. Initialize the cross-reference table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identity_mpi.person_patient_xref (person_id, patient_id, source_system, link_reason)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enterprise_person_id, patient_id, </w:t>
      </w:r>
      <w:r>
        <w:rPr>
          <w:rStyle w:val="StringTok"/>
        </w:rPr>
        <w:t xml:space="preserve">'LEGACY_SYSTEM'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'system_import'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.patients;</w:t>
      </w:r>
    </w:p>
    <w:bookmarkEnd w:id="23"/>
    <w:bookmarkStart w:id="24" w:name="phase-2-duplicate-discovery"/>
    <w:p>
      <w:pPr>
        <w:pStyle w:val="Heading4"/>
      </w:pPr>
      <w:r>
        <w:t xml:space="preserve">Phase 2: Duplicate Discovery</w:t>
      </w:r>
    </w:p>
    <w:p>
      <w:pPr>
        <w:pStyle w:val="FirstParagraph"/>
      </w:pPr>
      <w:r>
        <w:t xml:space="preserve">Once the 1:1 mapping is established, run the</w:t>
      </w:r>
      <w:r>
        <w:t xml:space="preserve"> </w:t>
      </w:r>
      <w:r>
        <w:rPr>
          <w:b/>
          <w:bCs/>
        </w:rPr>
        <w:t xml:space="preserve">Fellegi-Sunter matching algorithm</w:t>
      </w:r>
      <w:r>
        <w:t xml:space="preserve"> </w:t>
      </w:r>
      <w:r>
        <w:t xml:space="preserve">across the entire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table.</w:t>
      </w:r>
      <w:r>
        <w:t xml:space="preserve"> 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Identify pairs or groups of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s that likely belong to the same human.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Output</w:t>
      </w:r>
      <w:r>
        <w:t xml:space="preserve">: A list of "High Confidence" merge candidates.</w:t>
      </w:r>
    </w:p>
    <w:bookmarkEnd w:id="24"/>
    <w:bookmarkStart w:id="25" w:name="phase-3-the-soft-merge"/>
    <w:p>
      <w:pPr>
        <w:pStyle w:val="Heading4"/>
      </w:pPr>
      <w:r>
        <w:t xml:space="preserve">Phase 3: The "Soft Merge"</w:t>
      </w:r>
    </w:p>
    <w:p>
      <w:pPr>
        <w:pStyle w:val="FirstParagraph"/>
      </w:pPr>
      <w:r>
        <w:t xml:space="preserve">For high-confidence candidates, execute a "Soft Merge" by updating the</w:t>
      </w:r>
      <w:r>
        <w:t xml:space="preserve"> </w:t>
      </w:r>
      <w:r>
        <w:rPr>
          <w:rStyle w:val="VerbatimChar"/>
        </w:rPr>
        <w:t xml:space="preserve">person_patient_xref</w:t>
      </w:r>
      <w:r>
        <w:t xml:space="preserve"> </w:t>
      </w:r>
      <w:r>
        <w:t xml:space="preserve">table.</w:t>
      </w:r>
    </w:p>
    <w:p>
      <w:pPr>
        <w:pStyle w:val="SourceCode"/>
      </w:pPr>
      <w:r>
        <w:rPr>
          <w:rStyle w:val="CommentTok"/>
        </w:rPr>
        <w:t xml:space="preserve">-- Example: Merging Patient B into Patient A's Identity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-- 1. Re-point Patient B to Patient A's Person 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identity_mpi.person_patient_xref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person_id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identity_mpi.person_patient_xref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patient_id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'PATIENT_A'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'superseded'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patient_id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'PATIENT_B'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-- 2. Retire the redundant Person 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identity_mpi.persons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global_status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'merged'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person_id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'PERSON_B_ID'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bookmarkEnd w:id="25"/>
    <w:bookmarkEnd w:id="26"/>
    <w:bookmarkStart w:id="27" w:name="critical-success-factors"/>
    <w:p>
      <w:pPr>
        <w:pStyle w:val="Heading3"/>
      </w:pPr>
      <w:r>
        <w:t xml:space="preserve">Critical Success Factors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Do Not Batch-Merge at Migration</w:t>
      </w:r>
      <w:r>
        <w:t xml:space="preserve">: Never perform automated merges during the initial data load. Establish the structure first, then deduplicate iteratively.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Maintain the Legacy Key</w:t>
      </w:r>
      <w:r>
        <w:t xml:space="preserve">: Keep the original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(MRN) as the primary key for clinical data. The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is for identity resolution, not for database joins in clinical modules.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Audit the Genesis</w:t>
      </w:r>
      <w:r>
        <w:t xml:space="preserve">: Every record in the</w:t>
      </w:r>
      <w:r>
        <w:t xml:space="preserve"> </w:t>
      </w:r>
      <w:r>
        <w:rPr>
          <w:rStyle w:val="VerbatimChar"/>
        </w:rPr>
        <w:t xml:space="preserve">person_patient_xref</w:t>
      </w:r>
      <w:r>
        <w:t xml:space="preserve"> </w:t>
      </w:r>
      <w:r>
        <w:t xml:space="preserve">table should have a</w:t>
      </w:r>
      <w:r>
        <w:t xml:space="preserve"> </w:t>
      </w:r>
      <w:r>
        <w:rPr>
          <w:rStyle w:val="VerbatimChar"/>
        </w:rPr>
        <w:t xml:space="preserve">link_reason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system_import</w:t>
      </w:r>
      <w:r>
        <w:t xml:space="preserve"> </w:t>
      </w:r>
      <w:r>
        <w:t xml:space="preserve">for the bootstrap phase to distinguish legacy data from new, registration-time assertions.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3b2304c7216248a2e2d9542e0b8db9420898735"/>
    <w:p>
      <w:pPr>
        <w:pStyle w:val="Heading2"/>
      </w:pPr>
      <w:r>
        <w:t xml:space="preserve">9. Operational Stewardship</w:t>
      </w:r>
    </w:p>
    <w:p>
      <w:pPr>
        <w:pStyle w:val="FirstParagraph"/>
      </w:pPr>
      <w:r>
        <w:t xml:space="preserve">Even the best algorithm requires a human</w:t>
      </w:r>
      <w:r>
        <w:t xml:space="preserve"> </w:t>
      </w:r>
      <w:r>
        <w:rPr>
          <w:b/>
          <w:bCs/>
        </w:rPr>
        <w:t xml:space="preserve">Data Steward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Stewardship Workflow</w:t>
      </w:r>
      <w:r>
        <w:t xml:space="preserve">: Provide a UI for adjudicating "Medium Score" candidates.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"Blast Radius" Principle</w:t>
      </w:r>
      <w:r>
        <w:t xml:space="preserve">: Merging and unmerging should only affect the</w:t>
      </w:r>
      <w:r>
        <w:t xml:space="preserve"> </w:t>
      </w:r>
      <w:r>
        <w:rPr>
          <w:rStyle w:val="VerbatimChar"/>
        </w:rPr>
        <w:t xml:space="preserve">xref</w:t>
      </w:r>
      <w:r>
        <w:t xml:space="preserve"> </w:t>
      </w:r>
      <w:r>
        <w:t xml:space="preserve">layer.</w:t>
      </w:r>
      <w:r>
        <w:t xml:space="preserve"> </w:t>
      </w:r>
      <w:r>
        <w:rPr>
          <w:b/>
          <w:bCs/>
        </w:rPr>
        <w:t xml:space="preserve">Never delete clinical history or merge records in clinical tables.</w:t>
      </w:r>
    </w:p>
    <w:p>
      <w:r>
        <w:pict>
          <v:rect style="width:0;height:1.5pt" o:hralign="center" o:hrstd="t" o:hr="t"/>
        </w:pict>
      </w:r>
    </w:p>
    <w:bookmarkEnd w:id="29"/>
    <w:bookmarkStart w:id="30" w:name="Xf084a3aad2ba019113a3f84a3b857d0628c92ce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A scalable MPI is a combination of a high-performance search engine and a rigorous identity layer. By treating identity as a resolvable hypothesis and adhering to global standards, Health IT organizations can ensure patient safety and data continuity across diverse ecosystems.</w:t>
      </w:r>
    </w:p>
    <w:p>
      <w:pPr>
        <w:pStyle w:val="BlockText"/>
      </w:pPr>
      <w:r>
        <w:rPr>
          <w:b/>
          <w:bCs/>
        </w:rPr>
        <w:t xml:space="preserve">Indexes find candidates. Links assert truth. Persons preserve reality.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2026-03-11T07:44:23Z</dcterms:created>
  <dcterms:modified xsi:type="dcterms:W3CDTF">2026-03-11T07:44:23Z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