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40"/>
          <w:szCs w:val="40"/>
        </w:rPr>
        <w:t xml:space="preserve">CAPTURE ONCE,</w:t>
      </w:r>
    </w:p>
    <w:p>
      <w:pPr>
        <w:spacing w:after="200"/>
      </w:pPr>
      <w:r>
        <w:rPr>
          <w:rFonts w:ascii="Arial" w:cs="Arial" w:eastAsia="Arial" w:hAnsi="Arial"/>
          <w:b/>
          <w:bCs/>
          <w:color w:val="1F4E79"/>
          <w:sz w:val="40"/>
          <w:szCs w:val="40"/>
        </w:rPr>
        <w:t xml:space="preserve">ORCHESTRATE EVERYWHERE</w:t>
      </w:r>
    </w:p>
    <w:p>
      <w:pPr>
        <w:spacing w:after="120"/>
      </w:pPr>
      <w:r>
        <w:rPr>
          <w:rFonts w:ascii="Arial" w:cs="Arial" w:eastAsia="Arial" w:hAnsi="Arial"/>
          <w:i/>
          <w:iCs/>
          <w:color w:val="2E75B6"/>
          <w:sz w:val="26"/>
          <w:szCs w:val="26"/>
        </w:rPr>
        <w:t xml:space="preserve">Reusable Data Capture on Passthrough Action Paths</w:t>
      </w:r>
    </w:p>
    <w:p>
      <w:pPr>
        <w:spacing w:after="60"/>
      </w:pPr>
      <w:r>
        <w:rPr>
          <w:rFonts w:ascii="Arial" w:cs="Arial" w:eastAsia="Arial" w:hAnsi="Arial"/>
          <w:color w:val="555555"/>
          <w:sz w:val="20"/>
          <w:szCs w:val="20"/>
        </w:rPr>
        <w:t xml:space="preserve">Architecture Note  ·  CaptureGetResponse &amp; CapturePostRequest</w:t>
      </w:r>
    </w:p>
    <w:p>
      <w:pPr>
        <w:spacing w:after="300"/>
      </w:pPr>
      <w:r>
        <w:rPr>
          <w:rFonts w:ascii="Arial" w:cs="Arial" w:eastAsia="Arial" w:hAnsi="Arial"/>
          <w:color w:val="888888"/>
          <w:sz w:val="18"/>
          <w:szCs w:val="18"/>
        </w:rPr>
        <w:t xml:space="preserve">PolySaaS  ·  August 2026</w:t>
      </w:r>
    </w:p>
    <w:p>
      <w:pPr>
        <w:pStyle w:val="Heading1"/>
        <w:spacing w:after="200" w:before="360"/>
      </w:pPr>
      <w:r>
        <w:rPr>
          <w:rFonts w:ascii="Arial" w:cs="Arial" w:eastAsia="Arial" w:hAnsi="Arial"/>
          <w:b/>
          <w:bCs/>
          <w:color w:val="1F4E79"/>
          <w:sz w:val="32"/>
          <w:szCs w:val="32"/>
        </w:rPr>
        <w:t xml:space="preserve">1. The Integration Trap</w:t>
      </w:r>
    </w:p>
    <w:p>
      <w:pPr>
        <w:spacing w:after="200" w:line="276"/>
      </w:pPr>
      <w:r>
        <w:rPr>
          <w:rFonts w:ascii="Arial" w:cs="Arial" w:eastAsia="Arial" w:hAnsi="Arial"/>
          <w:sz w:val="22"/>
          <w:szCs w:val="22"/>
        </w:rPr>
        <w:t xml:space="preserve">If you have ever built integrations across multiple SaaS applications, you know the pattern. You write a custom data-extraction script for Odoo. Then another for Liferay. Then one more for Mattermost, Nextcloud, Dolibarr, and every other system that lands on the roadmap. Each extractor speaks a slightly different dialect of the same problem: “pull the data that just moved.”</w:t>
      </w:r>
    </w:p>
    <w:p>
      <w:pPr>
        <w:spacing w:after="200" w:line="276"/>
      </w:pPr>
      <w:r>
        <w:rPr>
          <w:rFonts w:ascii="Arial" w:cs="Arial" w:eastAsia="Arial" w:hAnsi="Arial"/>
          <w:sz w:val="22"/>
          <w:szCs w:val="22"/>
        </w:rPr>
        <w:t xml:space="preserve">Before long the integration layer becomes a tangled collection of product-specific API scrapers, brittle selectors, and one-off handlers. Every new application adds another branch of special-case code. Maintenance cost rises faster than value. Operators stop trusting the layer because they cannot predict how the next path will behave.</w:t>
      </w:r>
    </w:p>
    <w:p>
      <w:pPr>
        <w:spacing w:after="200" w:line="276"/>
      </w:pPr>
      <w:r>
        <w:rPr>
          <w:rFonts w:ascii="Arial" w:cs="Arial" w:eastAsia="Arial" w:hAnsi="Arial"/>
          <w:sz w:val="22"/>
          <w:szCs w:val="22"/>
        </w:rPr>
        <w:t xml:space="preserve">At PolySaaS we rejected that model. Because our users work inside bundled applications through a passthrough architecture, the HTTP traffic is already flowing through our platform. The data we need is already in motion. The only remaining question is whether we capture it generically or keep writing custom extractors.</w:t>
      </w:r>
    </w:p>
    <w:p>
      <w:pPr>
        <w:spacing w:after="200" w:line="276"/>
      </w:pPr>
      <w:r>
        <w:rPr>
          <w:rFonts w:ascii="Arial" w:cs="Arial" w:eastAsia="Arial" w:hAnsi="Arial"/>
          <w:sz w:val="22"/>
          <w:szCs w:val="22"/>
        </w:rPr>
        <w:t xml:space="preserve">This document describes the answer we chose: two deliberately narrow, reusable atomic services — CaptureGetResponse and CapturePostRequest — that turn every passthrough action path into a potential observation point without writing a single line of application-specific capture code.</w:t>
      </w:r>
    </w:p>
    <w:p>
      <w:pPr>
        <w:pStyle w:val="Heading1"/>
        <w:spacing w:after="200" w:before="360"/>
      </w:pPr>
      <w:r>
        <w:rPr>
          <w:rFonts w:ascii="Arial" w:cs="Arial" w:eastAsia="Arial" w:hAnsi="Arial"/>
          <w:b/>
          <w:bCs/>
          <w:color w:val="1F4E79"/>
          <w:sz w:val="32"/>
          <w:szCs w:val="32"/>
        </w:rPr>
        <w:t xml:space="preserve">2. PolySaaS Context: Passthrough + Dynamic Orchestration</w:t>
      </w:r>
    </w:p>
    <w:p>
      <w:pPr>
        <w:spacing w:after="200" w:line="276"/>
      </w:pPr>
      <w:r>
        <w:rPr>
          <w:rFonts w:ascii="Arial" w:cs="Arial" w:eastAsia="Arial" w:hAnsi="Arial"/>
          <w:sz w:val="22"/>
          <w:szCs w:val="22"/>
        </w:rPr>
        <w:t xml:space="preserve">PolySaaS is an AI-orchestrated multi-tenant SaaS operating layer. Subscribers work inside real applications (Odoo, Mattermost, Nextcloud, Liferay, Dolibarr, and others) that are presented through a controlled passthrough. The platform never owns the upstream application’s data model; it observes and acts on the traffic that moves through the session.</w:t>
      </w:r>
    </w:p>
    <w:p>
      <w:pPr>
        <w:spacing w:after="200" w:line="276"/>
      </w:pPr>
      <w:r>
        <w:rPr>
          <w:rFonts w:ascii="Arial" w:cs="Arial" w:eastAsia="Arial" w:hAnsi="Arial"/>
          <w:sz w:val="22"/>
          <w:szCs w:val="22"/>
        </w:rPr>
        <w:t xml:space="preserve">Dynamic orchestration sits on top of that traffic. Operators attach Instructions to specific action paths (for example /odoo/contacts). When a matching request or response travels the path, the Instruction fires one or more atomic services. Those services can notify, transform, route, or hand control to human-in-the-loop review. The entire model is data-driven: new behavior is added by creating Instruction rows, not by shipping new Python handlers for every path.</w:t>
      </w:r>
    </w:p>
    <w:p>
      <w:pPr>
        <w:spacing w:after="200" w:line="276"/>
      </w:pPr>
      <w:r>
        <w:rPr>
          <w:rFonts w:ascii="Arial" w:cs="Arial" w:eastAsia="Arial" w:hAnsi="Arial"/>
          <w:sz w:val="22"/>
          <w:szCs w:val="22"/>
        </w:rPr>
        <w:t xml:space="preserve">The capture services described here are the foundational observation layer for that system. They exist so that the rest of the orchestration stack never has to reach into the raw HTTP stream itself.</w:t>
      </w:r>
    </w:p>
    <w:p>
      <w:pPr>
        <w:pStyle w:val="Heading1"/>
        <w:spacing w:after="200" w:before="360"/>
      </w:pPr>
      <w:r>
        <w:rPr>
          <w:rFonts w:ascii="Arial" w:cs="Arial" w:eastAsia="Arial" w:hAnsi="Arial"/>
          <w:b/>
          <w:bCs/>
          <w:color w:val="1F4E79"/>
          <w:sz w:val="32"/>
          <w:szCs w:val="32"/>
        </w:rPr>
        <w:t xml:space="preserve">3. Strict Scope Boundaries</w:t>
      </w:r>
    </w:p>
    <w:p>
      <w:pPr>
        <w:spacing w:after="200" w:line="276"/>
      </w:pPr>
      <w:r>
        <w:rPr>
          <w:rFonts w:ascii="Arial" w:cs="Arial" w:eastAsia="Arial" w:hAnsi="Arial"/>
          <w:sz w:val="22"/>
          <w:szCs w:val="22"/>
        </w:rPr>
        <w:t xml:space="preserve">These atomic services live in exactly one place in the platform:</w:t>
      </w:r>
    </w:p>
    <w:p>
      <w:pPr>
        <w:spacing w:after="200" w:before="120"/>
        <w:jc w:val="center"/>
      </w:pPr>
      <w:r>
        <w:rPr>
          <w:rFonts w:ascii="Arial" w:cs="Arial" w:eastAsia="Arial" w:hAnsi="Arial"/>
          <w:b/>
          <w:bCs/>
          <w:sz w:val="22"/>
          <w:szCs w:val="22"/>
        </w:rPr>
        <w:t xml:space="preserve">Passthrough  →  Action Path  →  Instruction  →  Atomic Service</w:t>
      </w:r>
    </w:p>
    <w:p>
      <w:pPr>
        <w:pStyle w:val="Heading3"/>
        <w:spacing w:after="120" w:before="240"/>
      </w:pPr>
      <w:r>
        <w:rPr>
          <w:rFonts w:ascii="Arial" w:cs="Arial" w:eastAsia="Arial" w:hAnsi="Arial"/>
          <w:b/>
          <w:bCs/>
          <w:color w:val="404040"/>
          <w:sz w:val="24"/>
          <w:szCs w:val="24"/>
        </w:rPr>
        <w:t xml:space="preserve">In Scope</w:t>
      </w:r>
    </w:p>
    <w:p>
      <w:pPr>
        <w:pStyle w:val="ListParagraph"/>
        <w:numPr>
          <w:ilvl w:val="0"/>
          <w:numId w:val="2"/>
        </w:numPr>
        <w:spacing w:after="120"/>
      </w:pPr>
      <w:r>
        <w:rPr>
          <w:rFonts w:ascii="Arial" w:cs="Arial" w:eastAsia="Arial" w:hAnsi="Arial"/>
          <w:sz w:val="22"/>
          <w:szCs w:val="22"/>
        </w:rPr>
        <w:t xml:space="preserve">Any passthrough action path (Odoo, Mattermost, Dolibarr, Nextcloud, Liferay, etc.)</w:t>
      </w:r>
    </w:p>
    <w:p>
      <w:pPr>
        <w:pStyle w:val="ListParagraph"/>
        <w:numPr>
          <w:ilvl w:val="0"/>
          <w:numId w:val="2"/>
        </w:numPr>
        <w:spacing w:after="120"/>
      </w:pPr>
      <w:r>
        <w:rPr>
          <w:rFonts w:ascii="Arial" w:cs="Arial" w:eastAsia="Arial" w:hAnsi="Arial"/>
          <w:sz w:val="22"/>
          <w:szCs w:val="22"/>
        </w:rPr>
        <w:t xml:space="preserve">The green orchestration bar that surfaces the current path to operators</w:t>
      </w:r>
    </w:p>
    <w:p>
      <w:pPr>
        <w:pStyle w:val="ListParagraph"/>
        <w:numPr>
          <w:ilvl w:val="0"/>
          <w:numId w:val="2"/>
        </w:numPr>
        <w:spacing w:after="120"/>
      </w:pPr>
      <w:r>
        <w:rPr>
          <w:rFonts w:ascii="Arial" w:cs="Arial" w:eastAsia="Arial" w:hAnsi="Arial"/>
          <w:sz w:val="22"/>
          <w:szCs w:val="22"/>
        </w:rPr>
        <w:t xml:space="preserve">Tenant Instructions that match those paths by method and direction</w:t>
      </w:r>
    </w:p>
    <w:p>
      <w:pPr>
        <w:pStyle w:val="ListParagraph"/>
        <w:numPr>
          <w:ilvl w:val="0"/>
          <w:numId w:val="2"/>
        </w:numPr>
        <w:spacing w:after="120"/>
      </w:pPr>
      <w:r>
        <w:rPr>
          <w:rFonts w:ascii="Arial" w:cs="Arial" w:eastAsia="Arial" w:hAnsi="Arial"/>
          <w:sz w:val="22"/>
          <w:szCs w:val="22"/>
        </w:rPr>
        <w:t xml:space="preserve">GET responses leaving the upstream application and POST bodies entering it</w:t>
      </w:r>
    </w:p>
    <w:p>
      <w:pPr>
        <w:pStyle w:val="Heading3"/>
        <w:spacing w:after="120" w:before="240"/>
      </w:pPr>
      <w:r>
        <w:rPr>
          <w:rFonts w:ascii="Arial" w:cs="Arial" w:eastAsia="Arial" w:hAnsi="Arial"/>
          <w:b/>
          <w:bCs/>
          <w:color w:val="404040"/>
          <w:sz w:val="24"/>
          <w:szCs w:val="24"/>
        </w:rPr>
        <w:t xml:space="preserve">Out of Scope</w:t>
      </w:r>
    </w:p>
    <w:p>
      <w:pPr>
        <w:pStyle w:val="ListParagraph"/>
        <w:numPr>
          <w:ilvl w:val="0"/>
          <w:numId w:val="2"/>
        </w:numPr>
        <w:spacing w:after="120"/>
      </w:pPr>
      <w:r>
        <w:rPr>
          <w:rFonts w:ascii="Arial" w:cs="Arial" w:eastAsia="Arial" w:hAnsi="Arial"/>
          <w:sz w:val="22"/>
          <w:szCs w:val="22"/>
        </w:rPr>
        <w:t xml:space="preserve">Marketing website pages and public content</w:t>
      </w:r>
    </w:p>
    <w:p>
      <w:pPr>
        <w:pStyle w:val="ListParagraph"/>
        <w:numPr>
          <w:ilvl w:val="0"/>
          <w:numId w:val="2"/>
        </w:numPr>
        <w:spacing w:after="120"/>
      </w:pPr>
      <w:r>
        <w:rPr>
          <w:rFonts w:ascii="Arial" w:cs="Arial" w:eastAsia="Arial" w:hAnsi="Arial"/>
          <w:sz w:val="22"/>
          <w:szCs w:val="22"/>
        </w:rPr>
        <w:t xml:space="preserve">WPForms, Stripe checkouts, or any payment/commerce flow outside passthrough</w:t>
      </w:r>
    </w:p>
    <w:p>
      <w:pPr>
        <w:pStyle w:val="ListParagraph"/>
        <w:numPr>
          <w:ilvl w:val="0"/>
          <w:numId w:val="2"/>
        </w:numPr>
        <w:spacing w:after="120"/>
      </w:pPr>
      <w:r>
        <w:rPr>
          <w:rFonts w:ascii="Arial" w:cs="Arial" w:eastAsia="Arial" w:hAnsi="Arial"/>
          <w:sz w:val="22"/>
          <w:szCs w:val="22"/>
        </w:rPr>
        <w:t xml:space="preserve">Public REST APIs that are not part of a subscriber’s passthrough session</w:t>
      </w:r>
    </w:p>
    <w:p>
      <w:pPr>
        <w:pStyle w:val="ListParagraph"/>
        <w:numPr>
          <w:ilvl w:val="0"/>
          <w:numId w:val="2"/>
        </w:numPr>
        <w:spacing w:after="120"/>
      </w:pPr>
      <w:r>
        <w:rPr>
          <w:rFonts w:ascii="Arial" w:cs="Arial" w:eastAsia="Arial" w:hAnsi="Arial"/>
          <w:sz w:val="22"/>
          <w:szCs w:val="22"/>
        </w:rPr>
        <w:t xml:space="preserve">Direct browser-side scraping or DOM inspection</w:t>
      </w:r>
    </w:p>
    <w:p>
      <w:pPr>
        <w:spacing w:after="200" w:line="276"/>
      </w:pPr>
      <w:r>
        <w:rPr>
          <w:rFonts w:ascii="Arial" w:cs="Arial" w:eastAsia="Arial" w:hAnsi="Arial"/>
          <w:sz w:val="22"/>
          <w:szCs w:val="22"/>
        </w:rPr>
        <w:t xml:space="preserve">If there is no active passthrough session and no Instruction bound to the current action path, these services do not execute. Period. That constraint keeps the capture surface small, predictable, and auditable.</w:t>
      </w:r>
    </w:p>
    <w:p>
      <w:pPr>
        <w:pStyle w:val="Heading1"/>
        <w:spacing w:after="200" w:before="360"/>
      </w:pPr>
      <w:r>
        <w:rPr>
          <w:rFonts w:ascii="Arial" w:cs="Arial" w:eastAsia="Arial" w:hAnsi="Arial"/>
          <w:b/>
          <w:bCs/>
          <w:color w:val="1F4E79"/>
          <w:sz w:val="32"/>
          <w:szCs w:val="32"/>
        </w:rPr>
        <w:t xml:space="preserve">4. The Two-Layer Philosophy: Capture vs. Consume</w:t>
      </w:r>
    </w:p>
    <w:p>
      <w:pPr>
        <w:spacing w:after="200" w:line="276"/>
      </w:pPr>
      <w:r>
        <w:rPr>
          <w:rFonts w:ascii="Arial" w:cs="Arial" w:eastAsia="Arial" w:hAnsi="Arial"/>
          <w:sz w:val="22"/>
          <w:szCs w:val="22"/>
        </w:rPr>
        <w:t xml:space="preserve">The single most important design decision is the separation of capturing data from processing it. Most integration platforms blur the two. We refuse to.</w:t>
      </w:r>
    </w:p>
    <w:p>
      <w:pPr>
        <w:pStyle w:val="Heading3"/>
        <w:spacing w:after="120" w:before="240"/>
      </w:pPr>
      <w:r>
        <w:rPr>
          <w:rFonts w:ascii="Arial" w:cs="Arial" w:eastAsia="Arial" w:hAnsi="Arial"/>
          <w:b/>
          <w:bCs/>
          <w:color w:val="404040"/>
          <w:sz w:val="24"/>
          <w:szCs w:val="24"/>
        </w:rPr>
        <w:t xml:space="preserve">Layer 1 — Capture</w:t>
      </w:r>
    </w:p>
    <w:p>
      <w:pPr>
        <w:spacing w:after="200" w:line="276"/>
      </w:pPr>
      <w:r>
        <w:rPr>
          <w:rFonts w:ascii="Arial" w:cs="Arial" w:eastAsia="Arial" w:hAnsi="Arial"/>
          <w:sz w:val="22"/>
          <w:szCs w:val="22"/>
        </w:rPr>
        <w:t xml:space="preserve">The two atomic services do only one job: read the relevant HTTP body on a passthrough action path and publish a structured event onto the message bus. They perform no transformation, no enrichment beyond minimal metadata, and no business logic. Their success criterion is simple: “Did the raw payload leave the request/response path and land on the bus in a usable shape?”</w:t>
      </w:r>
    </w:p>
    <w:p>
      <w:pPr>
        <w:pStyle w:val="Heading3"/>
        <w:spacing w:after="120" w:before="240"/>
      </w:pPr>
      <w:r>
        <w:rPr>
          <w:rFonts w:ascii="Arial" w:cs="Arial" w:eastAsia="Arial" w:hAnsi="Arial"/>
          <w:b/>
          <w:bCs/>
          <w:color w:val="404040"/>
          <w:sz w:val="24"/>
          <w:szCs w:val="24"/>
        </w:rPr>
        <w:t xml:space="preserve">Layer 2 — Consume</w:t>
      </w:r>
    </w:p>
    <w:p>
      <w:pPr>
        <w:spacing w:after="200" w:line="276"/>
      </w:pPr>
      <w:r>
        <w:rPr>
          <w:rFonts w:ascii="Arial" w:cs="Arial" w:eastAsia="Arial" w:hAnsi="Arial"/>
          <w:sz w:val="22"/>
          <w:szCs w:val="22"/>
        </w:rPr>
        <w:t xml:space="preserve">A completely separate family of atomic services (and future AI agents) act as queue consumers. They subscribe to topics or filtered subscriptions, convert payloads into domain objects, persist records, trigger downstream workflows, or raise human-in-the-loop tasks. Because capture is already complete and standardized, every consumer can be written against the same event contract.</w:t>
      </w:r>
    </w:p>
    <w:p>
      <w:pPr>
        <w:spacing w:after="200" w:line="276"/>
      </w:pPr>
      <w:r>
        <w:rPr>
          <w:rFonts w:ascii="Arial" w:cs="Arial" w:eastAsia="Arial" w:hAnsi="Arial"/>
          <w:sz w:val="22"/>
          <w:szCs w:val="22"/>
        </w:rPr>
        <w:t xml:space="preserve">This separation is the superpower. There is no separate Python class, no handler branch, and no per-path code block for /odoo/contacts versus /liferay/users. Whenever data must be observed, operators use the exact same two atomic services. New action paths require only new Instruction rows.</w:t>
      </w:r>
    </w:p>
    <w:p>
      <w:pPr>
        <w:pStyle w:val="Heading1"/>
        <w:spacing w:after="200" w:before="360"/>
      </w:pPr>
      <w:r>
        <w:rPr>
          <w:rFonts w:ascii="Arial" w:cs="Arial" w:eastAsia="Arial" w:hAnsi="Arial"/>
          <w:b/>
          <w:bCs/>
          <w:color w:val="1F4E79"/>
          <w:sz w:val="32"/>
          <w:szCs w:val="32"/>
        </w:rPr>
        <w:t xml:space="preserve">5. The Two Capture Services</w:t>
      </w:r>
    </w:p>
    <w:p>
      <w:pPr>
        <w:spacing w:after="200" w:line="276"/>
      </w:pPr>
      <w:r>
        <w:rPr>
          <w:rFonts w:ascii="Arial" w:cs="Arial" w:eastAsia="Arial" w:hAnsi="Arial"/>
          <w:sz w:val="22"/>
          <w:szCs w:val="22"/>
        </w:rPr>
        <w:t xml:space="preserve">When a subscriber works inside an embedded application, operators can attach Instructions to the action path. Depending on traffic direction, one of two services is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600"/>
        <w:gridCol w:w="2300"/>
        <w:gridCol w:w="2160"/>
      </w:tblGrid>
      <w:tr>
        <w:tc>
          <w:tcPr>
            <w:tcW w:type="dxa" w:w="2100"/>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Atomic Service</w:t>
            </w:r>
          </w:p>
        </w:tc>
        <w:tc>
          <w:tcPr>
            <w:tcW w:type="dxa" w:w="1200"/>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1600"/>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Direction</w:t>
            </w:r>
          </w:p>
        </w:tc>
        <w:tc>
          <w:tcPr>
            <w:tcW w:type="dxa" w:w="2300"/>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When It Fires</w:t>
            </w:r>
          </w:p>
        </w:tc>
        <w:tc>
          <w:tcPr>
            <w:tcW w:type="dxa" w:w="2160"/>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What It Captures</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CaptureGetResponse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RESPONSE (RES)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After upstream returns through passthrough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Response body (JSON preferred) on the way out</w:t>
            </w:r>
          </w:p>
        </w:tc>
      </w:tr>
      <w:tr>
        <w:tc>
          <w:tcPr>
            <w:tcW w:type="dxa" w:w="2100"/>
            <w:tcBorders>
              <w:top w:val="single" w:color="CCCCCC" w:sz="1"/>
              <w:left w:val="single" w:color="CCCCCC" w:sz="1"/>
              <w:bottom w:val="single" w:color="CCCCCC" w:sz="1"/>
              <w:right w:val="single" w:color="CCCCCC" w:sz="1"/>
            </w:tcBorders>
            <w:shd w:fill="F8FBFD" w:val="clear"/>
            <w:tcMar>
              <w:top w:type="dxa" w:w="60"/>
              <w:left w:type="dxa" w:w="100"/>
              <w:bottom w:type="dxa" w:w="60"/>
              <w:right w:type="dxa" w:w="100"/>
            </w:tcMar>
          </w:tcPr>
          <w:p>
            <w:r>
              <w:rPr>
                <w:rFonts w:ascii="Arial" w:cs="Arial" w:eastAsia="Arial" w:hAnsi="Arial"/>
                <w:b/>
                <w:bCs/>
                <w:color w:val="333333"/>
                <w:sz w:val="18"/>
                <w:szCs w:val="18"/>
              </w:rPr>
              <w:t xml:space="preserve">CapturePostRequest</w:t>
            </w:r>
          </w:p>
        </w:tc>
        <w:tc>
          <w:tcPr>
            <w:tcW w:type="dxa" w:w="1200"/>
            <w:tcBorders>
              <w:top w:val="single" w:color="CCCCCC" w:sz="1"/>
              <w:left w:val="single" w:color="CCCCCC" w:sz="1"/>
              <w:bottom w:val="single" w:color="CCCCCC" w:sz="1"/>
              <w:right w:val="single" w:color="CCCCCC" w:sz="1"/>
            </w:tcBorders>
            <w:shd w:fill="F8FBFD" w:val="clear"/>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1600"/>
            <w:tcBorders>
              <w:top w:val="single" w:color="CCCCCC" w:sz="1"/>
              <w:left w:val="single" w:color="CCCCCC" w:sz="1"/>
              <w:bottom w:val="single" w:color="CCCCCC" w:sz="1"/>
              <w:right w:val="single" w:color="CCCCCC" w:sz="1"/>
            </w:tcBorders>
            <w:shd w:fill="F8FBFD" w:val="clear"/>
            <w:tcMar>
              <w:top w:type="dxa" w:w="60"/>
              <w:left w:type="dxa" w:w="100"/>
              <w:bottom w:type="dxa" w:w="60"/>
              <w:right w:type="dxa" w:w="100"/>
            </w:tcMar>
          </w:tcPr>
          <w:p>
            <w:r>
              <w:rPr>
                <w:rFonts w:ascii="Arial" w:cs="Arial" w:eastAsia="Arial" w:hAnsi="Arial"/>
                <w:color w:val="333333"/>
                <w:sz w:val="18"/>
                <w:szCs w:val="18"/>
              </w:rPr>
              <w:t xml:space="preserve">REQUEST (REQ)</w:t>
            </w:r>
          </w:p>
        </w:tc>
        <w:tc>
          <w:tcPr>
            <w:tcW w:type="dxa" w:w="2300"/>
            <w:tcBorders>
              <w:top w:val="single" w:color="CCCCCC" w:sz="1"/>
              <w:left w:val="single" w:color="CCCCCC" w:sz="1"/>
              <w:bottom w:val="single" w:color="CCCCCC" w:sz="1"/>
              <w:right w:val="single" w:color="CCCCCC" w:sz="1"/>
            </w:tcBorders>
            <w:shd w:fill="F8FBFD" w:val="clear"/>
            <w:tcMar>
              <w:top w:type="dxa" w:w="60"/>
              <w:left w:type="dxa" w:w="100"/>
              <w:bottom w:type="dxa" w:w="60"/>
              <w:right w:type="dxa" w:w="100"/>
            </w:tcMar>
          </w:tcPr>
          <w:p>
            <w:r>
              <w:rPr>
                <w:rFonts w:ascii="Arial" w:cs="Arial" w:eastAsia="Arial" w:hAnsi="Arial"/>
                <w:color w:val="333333"/>
                <w:sz w:val="18"/>
                <w:szCs w:val="18"/>
              </w:rPr>
              <w:t xml:space="preserve">When client posts through passthrough</w:t>
            </w:r>
          </w:p>
        </w:tc>
        <w:tc>
          <w:tcPr>
            <w:tcW w:type="dxa" w:w="2160"/>
            <w:tcBorders>
              <w:top w:val="single" w:color="CCCCCC" w:sz="1"/>
              <w:left w:val="single" w:color="CCCCCC" w:sz="1"/>
              <w:bottom w:val="single" w:color="CCCCCC" w:sz="1"/>
              <w:right w:val="single" w:color="CCCCCC" w:sz="1"/>
            </w:tcBorders>
            <w:shd w:fill="F8FBFD" w:val="clear"/>
            <w:tcMar>
              <w:top w:type="dxa" w:w="60"/>
              <w:left w:type="dxa" w:w="100"/>
              <w:bottom w:type="dxa" w:w="60"/>
              <w:right w:type="dxa" w:w="100"/>
            </w:tcMar>
          </w:tcPr>
          <w:p>
            <w:r>
              <w:rPr>
                <w:rFonts w:ascii="Arial" w:cs="Arial" w:eastAsia="Arial" w:hAnsi="Arial"/>
                <w:color w:val="333333"/>
                <w:sz w:val="18"/>
                <w:szCs w:val="18"/>
              </w:rPr>
              <w:t xml:space="preserve">Outbound POST body on the way into the app</w:t>
            </w:r>
          </w:p>
        </w:tc>
      </w:tr>
    </w:tbl>
    <w:p>
      <w:pPr>
        <w:spacing w:after="120" w:before="200"/>
      </w:pPr>
    </w:p>
    <w:p>
      <w:pPr>
        <w:pStyle w:val="Heading3"/>
        <w:spacing w:after="120" w:before="240"/>
      </w:pPr>
      <w:r>
        <w:rPr>
          <w:rFonts w:ascii="Arial" w:cs="Arial" w:eastAsia="Arial" w:hAnsi="Arial"/>
          <w:b/>
          <w:bCs/>
          <w:color w:val="404040"/>
          <w:sz w:val="24"/>
          <w:szCs w:val="24"/>
        </w:rPr>
        <w:t xml:space="preserve">Golden Mnemonic</w:t>
      </w:r>
    </w:p>
    <w:p>
      <w:pPr>
        <w:pStyle w:val="ListParagraph"/>
        <w:numPr>
          <w:ilvl w:val="0"/>
          <w:numId w:val="2"/>
        </w:numPr>
        <w:spacing w:after="120"/>
      </w:pPr>
      <w:r>
        <w:rPr>
          <w:rFonts w:ascii="Arial" w:cs="Arial" w:eastAsia="Arial" w:hAnsi="Arial"/>
          <w:b/>
          <w:bCs/>
          <w:sz w:val="22"/>
          <w:szCs w:val="22"/>
        </w:rPr>
        <w:t xml:space="preserve">GET Instruction (RES)</w:t>
      </w:r>
      <w:r>
        <w:rPr>
          <w:rFonts w:ascii="Arial" w:cs="Arial" w:eastAsia="Arial" w:hAnsi="Arial"/>
          <w:sz w:val="22"/>
          <w:szCs w:val="22"/>
        </w:rPr>
        <w:t xml:space="preserve"> → capture on the way out of the application</w:t>
      </w:r>
    </w:p>
    <w:p>
      <w:pPr>
        <w:pStyle w:val="ListParagraph"/>
        <w:numPr>
          <w:ilvl w:val="0"/>
          <w:numId w:val="2"/>
        </w:numPr>
        <w:spacing w:after="120"/>
      </w:pPr>
      <w:r>
        <w:rPr>
          <w:rFonts w:ascii="Arial" w:cs="Arial" w:eastAsia="Arial" w:hAnsi="Arial"/>
          <w:b/>
          <w:bCs/>
          <w:sz w:val="22"/>
          <w:szCs w:val="22"/>
        </w:rPr>
        <w:t xml:space="preserve">POST Instruction (REQ)</w:t>
      </w:r>
      <w:r>
        <w:rPr>
          <w:rFonts w:ascii="Arial" w:cs="Arial" w:eastAsia="Arial" w:hAnsi="Arial"/>
          <w:sz w:val="22"/>
          <w:szCs w:val="22"/>
        </w:rPr>
        <w:t xml:space="preserve"> → capture on the way into the application</w:t>
      </w:r>
    </w:p>
    <w:p>
      <w:pPr>
        <w:spacing w:after="200" w:line="276"/>
      </w:pPr>
      <w:r>
        <w:rPr>
          <w:rFonts w:ascii="Arial" w:cs="Arial" w:eastAsia="Arial" w:hAnsi="Arial"/>
          <w:sz w:val="22"/>
          <w:szCs w:val="22"/>
        </w:rPr>
        <w:t xml:space="preserve">If an Instruction is configured with a mismatched method (for example a POST Instruction on a pure GET request), the service simply skips. This makes it safe to attach both capture types to the same action path; only the matching direction will fire.</w:t>
      </w:r>
    </w:p>
    <w:p>
      <w:pPr>
        <w:pStyle w:val="Heading1"/>
        <w:spacing w:after="200" w:before="360"/>
      </w:pPr>
      <w:r>
        <w:rPr>
          <w:rFonts w:ascii="Arial" w:cs="Arial" w:eastAsia="Arial" w:hAnsi="Arial"/>
          <w:b/>
          <w:bCs/>
          <w:color w:val="1F4E79"/>
          <w:sz w:val="32"/>
          <w:szCs w:val="32"/>
        </w:rPr>
        <w:t xml:space="preserve">6. Routing &amp; Topic Design</w:t>
      </w:r>
    </w:p>
    <w:p>
      <w:pPr>
        <w:spacing w:after="200" w:line="276"/>
      </w:pPr>
      <w:r>
        <w:rPr>
          <w:rFonts w:ascii="Arial" w:cs="Arial" w:eastAsia="Arial" w:hAnsi="Arial"/>
          <w:sz w:val="22"/>
          <w:szCs w:val="22"/>
        </w:rPr>
        <w:t xml:space="preserve">Captured events are published to the message bus using a strict, predictable naming convention. The primary target is Google Cloud Pub/Sub; the same logical names work with local RabbitMQ during development.</w:t>
      </w:r>
    </w:p>
    <w:p>
      <w:pPr>
        <w:pStyle w:val="Heading3"/>
        <w:spacing w:after="120" w:before="240"/>
      </w:pPr>
      <w:r>
        <w:rPr>
          <w:rFonts w:ascii="Arial" w:cs="Arial" w:eastAsia="Arial" w:hAnsi="Arial"/>
          <w:b/>
          <w:bCs/>
          <w:color w:val="404040"/>
          <w:sz w:val="24"/>
          <w:szCs w:val="24"/>
        </w:rPr>
        <w:t xml:space="preserve">Topic Formula</w:t>
      </w:r>
    </w:p>
    <w:p>
      <w:pPr>
        <w:spacing w:after="160" w:before="100"/>
        <w:jc w:val="center"/>
      </w:pPr>
      <w:r>
        <w:rPr>
          <w:rFonts w:ascii="Consolas" w:cs="Consolas" w:eastAsia="Consolas" w:hAnsi="Consolas"/>
          <w:b/>
          <w:bCs/>
          <w:sz w:val="22"/>
          <w:szCs w:val="22"/>
        </w:rPr>
        <w:t xml:space="preserve">{Direction}.{Action_Path}.{Username}</w:t>
      </w:r>
    </w:p>
    <w:p>
      <w:pPr>
        <w:pStyle w:val="ListParagraph"/>
        <w:numPr>
          <w:ilvl w:val="0"/>
          <w:numId w:val="2"/>
        </w:numPr>
        <w:spacing w:after="120"/>
      </w:pPr>
      <w:r>
        <w:rPr>
          <w:rFonts w:ascii="Arial" w:cs="Arial" w:eastAsia="Arial" w:hAnsi="Arial"/>
          <w:b/>
          <w:bCs/>
          <w:sz w:val="22"/>
          <w:szCs w:val="22"/>
        </w:rPr>
        <w:t xml:space="preserve">Direction</w:t>
      </w:r>
      <w:r>
        <w:rPr>
          <w:rFonts w:ascii="Arial" w:cs="Arial" w:eastAsia="Arial" w:hAnsi="Arial"/>
          <w:sz w:val="22"/>
          <w:szCs w:val="22"/>
        </w:rPr>
        <w:t xml:space="preserve"> — REQ for requests, RES for responses</w:t>
      </w:r>
    </w:p>
    <w:p>
      <w:pPr>
        <w:pStyle w:val="ListParagraph"/>
        <w:numPr>
          <w:ilvl w:val="0"/>
          <w:numId w:val="2"/>
        </w:numPr>
        <w:spacing w:after="120"/>
      </w:pPr>
      <w:r>
        <w:rPr>
          <w:rFonts w:ascii="Arial" w:cs="Arial" w:eastAsia="Arial" w:hAnsi="Arial"/>
          <w:b/>
          <w:bCs/>
          <w:sz w:val="22"/>
          <w:szCs w:val="22"/>
        </w:rPr>
        <w:t xml:space="preserve">Action Path</w:t>
      </w:r>
      <w:r>
        <w:rPr>
          <w:rFonts w:ascii="Arial" w:cs="Arial" w:eastAsia="Arial" w:hAnsi="Arial"/>
          <w:sz w:val="22"/>
          <w:szCs w:val="22"/>
        </w:rPr>
        <w:t xml:space="preserve"> — taken from the orchestration bar and normalized (e.g. /odoo/contacts becomes odoo.contacts)</w:t>
      </w:r>
    </w:p>
    <w:p>
      <w:pPr>
        <w:pStyle w:val="ListParagraph"/>
        <w:numPr>
          <w:ilvl w:val="0"/>
          <w:numId w:val="2"/>
        </w:numPr>
        <w:spacing w:after="120"/>
      </w:pPr>
      <w:r>
        <w:rPr>
          <w:rFonts w:ascii="Arial" w:cs="Arial" w:eastAsia="Arial" w:hAnsi="Arial"/>
          <w:b/>
          <w:bCs/>
          <w:sz w:val="22"/>
          <w:szCs w:val="22"/>
        </w:rPr>
        <w:t xml:space="preserve">Username</w:t>
      </w:r>
      <w:r>
        <w:rPr>
          <w:rFonts w:ascii="Arial" w:cs="Arial" w:eastAsia="Arial" w:hAnsi="Arial"/>
          <w:sz w:val="22"/>
          <w:szCs w:val="22"/>
        </w:rPr>
        <w:t xml:space="preserve"> — the signed-in PolySaaS tenant identifier (e.g. pso13)</w:t>
      </w:r>
    </w:p>
    <w:p>
      <w:pPr>
        <w:pStyle w:val="Heading3"/>
        <w:spacing w:after="120" w:before="240"/>
      </w:pPr>
      <w:r>
        <w:rPr>
          <w:rFonts w:ascii="Arial" w:cs="Arial" w:eastAsia="Arial" w:hAnsi="Arial"/>
          <w:b/>
          <w:bCs/>
          <w:color w:val="404040"/>
          <w:sz w:val="24"/>
          <w:szCs w:val="24"/>
        </w:rPr>
        <w:t xml:space="preserve">Examples</w:t>
      </w:r>
    </w:p>
    <w:p>
      <w:pPr>
        <w:pStyle w:val="ListParagraph"/>
        <w:numPr>
          <w:ilvl w:val="0"/>
          <w:numId w:val="2"/>
        </w:numPr>
        <w:spacing w:after="120"/>
      </w:pPr>
      <w:r>
        <w:rPr>
          <w:rFonts w:ascii="Arial" w:cs="Arial" w:eastAsia="Arial" w:hAnsi="Arial"/>
          <w:sz w:val="22"/>
          <w:szCs w:val="22"/>
        </w:rPr>
        <w:t xml:space="preserve">RES.odoo.contacts.pso13  —  GET response captured from Odoo contacts</w:t>
      </w:r>
    </w:p>
    <w:p>
      <w:pPr>
        <w:pStyle w:val="ListParagraph"/>
        <w:numPr>
          <w:ilvl w:val="0"/>
          <w:numId w:val="2"/>
        </w:numPr>
        <w:spacing w:after="120"/>
      </w:pPr>
      <w:r>
        <w:rPr>
          <w:rFonts w:ascii="Arial" w:cs="Arial" w:eastAsia="Arial" w:hAnsi="Arial"/>
          <w:sz w:val="22"/>
          <w:szCs w:val="22"/>
        </w:rPr>
        <w:t xml:space="preserve">REQ.liferay.users.pso13  —  POST body captured going into Liferay users</w:t>
      </w:r>
    </w:p>
    <w:p>
      <w:pPr>
        <w:pStyle w:val="ListParagraph"/>
        <w:numPr>
          <w:ilvl w:val="0"/>
          <w:numId w:val="2"/>
        </w:numPr>
        <w:spacing w:after="120"/>
      </w:pPr>
      <w:r>
        <w:rPr>
          <w:rFonts w:ascii="Arial" w:cs="Arial" w:eastAsia="Arial" w:hAnsi="Arial"/>
          <w:sz w:val="22"/>
          <w:szCs w:val="22"/>
        </w:rPr>
        <w:t xml:space="preserve">RES.mattermost.channels.pso13  —  response from a Mattermost channel view</w:t>
      </w:r>
    </w:p>
    <w:p>
      <w:pPr>
        <w:spacing w:after="200" w:line="276"/>
      </w:pPr>
      <w:r>
        <w:rPr>
          <w:rFonts w:ascii="Arial" w:cs="Arial" w:eastAsia="Arial" w:hAnsi="Arial"/>
          <w:sz w:val="22"/>
          <w:szCs w:val="22"/>
        </w:rPr>
        <w:t xml:space="preserve">Downstream consumers can bind with high precision: globally by direction (RES.#), by application (REQ.odoo.#), or by specific tenant and path. In Pub/Sub the same information can also be carried as message attributes, enabling filter-based subscriptions without proliferating physical topics.</w:t>
      </w:r>
    </w:p>
    <w:p>
      <w:pPr>
        <w:pStyle w:val="Heading3"/>
        <w:spacing w:after="120" w:before="240"/>
      </w:pPr>
      <w:r>
        <w:rPr>
          <w:rFonts w:ascii="Arial" w:cs="Arial" w:eastAsia="Arial" w:hAnsi="Arial"/>
          <w:b/>
          <w:bCs/>
          <w:color w:val="404040"/>
          <w:sz w:val="24"/>
          <w:szCs w:val="24"/>
        </w:rPr>
        <w:t xml:space="preserve">Local-to-Cloud Continuity</w:t>
      </w:r>
    </w:p>
    <w:p>
      <w:pPr>
        <w:spacing w:after="200" w:line="276"/>
      </w:pPr>
      <w:r>
        <w:rPr>
          <w:rFonts w:ascii="Arial" w:cs="Arial" w:eastAsia="Arial" w:hAnsi="Arial"/>
          <w:sz w:val="22"/>
          <w:szCs w:val="22"/>
        </w:rPr>
        <w:t xml:space="preserve">Development and early production can run against a local RabbitMQ instance using the identical topic formula. When the platform moves fully onto Google Cloud, the capture services publish to Pub/Sub topics (or a single topic with attributes). The Instruction model itself never changes. That is the practical meaning of “future-proof.”</w:t>
      </w:r>
    </w:p>
    <w:p>
      <w:pPr>
        <w:pStyle w:val="Heading1"/>
        <w:spacing w:after="200" w:before="360"/>
      </w:pPr>
      <w:r>
        <w:rPr>
          <w:rFonts w:ascii="Arial" w:cs="Arial" w:eastAsia="Arial" w:hAnsi="Arial"/>
          <w:b/>
          <w:bCs/>
          <w:color w:val="1F4E79"/>
          <w:sz w:val="32"/>
          <w:szCs w:val="32"/>
        </w:rPr>
        <w:t xml:space="preserve">7. Event Payload Contract</w:t>
      </w:r>
    </w:p>
    <w:p>
      <w:pPr>
        <w:spacing w:after="200" w:line="276"/>
      </w:pPr>
      <w:r>
        <w:rPr>
          <w:rFonts w:ascii="Arial" w:cs="Arial" w:eastAsia="Arial" w:hAnsi="Arial"/>
          <w:sz w:val="22"/>
          <w:szCs w:val="22"/>
        </w:rPr>
        <w:t xml:space="preserve">Every capture event follows a single, stable shape. Consumers never have to guess which fields will be present.</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"capture": "CaptureGetResponse",</w:t>
      </w:r>
    </w:p>
    <w:p>
      <w:pPr>
        <w:shd w:fill="F5F5F5" w:val="clear"/>
        <w:spacing w:after="0"/>
      </w:pPr>
      <w:r>
        <w:rPr>
          <w:rFonts w:ascii="Consolas" w:cs="Consolas" w:eastAsia="Consolas" w:hAnsi="Consolas"/>
          <w:sz w:val="18"/>
          <w:szCs w:val="18"/>
        </w:rPr>
        <w:t xml:space="preserve">  "topic": "RES.odoo.contacts.pso13",</w:t>
      </w:r>
    </w:p>
    <w:p>
      <w:pPr>
        <w:shd w:fill="F5F5F5" w:val="clear"/>
        <w:spacing w:after="0"/>
      </w:pPr>
      <w:r>
        <w:rPr>
          <w:rFonts w:ascii="Consolas" w:cs="Consolas" w:eastAsia="Consolas" w:hAnsi="Consolas"/>
          <w:sz w:val="18"/>
          <w:szCs w:val="18"/>
        </w:rPr>
        <w:t xml:space="preserve">  "action_path": "/odoo/contacts",</w:t>
      </w:r>
    </w:p>
    <w:p>
      <w:pPr>
        <w:shd w:fill="F5F5F5" w:val="clear"/>
        <w:spacing w:after="0"/>
      </w:pPr>
      <w:r>
        <w:rPr>
          <w:rFonts w:ascii="Consolas" w:cs="Consolas" w:eastAsia="Consolas" w:hAnsi="Consolas"/>
          <w:sz w:val="18"/>
          <w:szCs w:val="18"/>
        </w:rPr>
        <w:t xml:space="preserve">  "method": "GET",</w:t>
      </w:r>
    </w:p>
    <w:p>
      <w:pPr>
        <w:shd w:fill="F5F5F5" w:val="clear"/>
        <w:spacing w:after="0"/>
      </w:pPr>
      <w:r>
        <w:rPr>
          <w:rFonts w:ascii="Consolas" w:cs="Consolas" w:eastAsia="Consolas" w:hAnsi="Consolas"/>
          <w:sz w:val="18"/>
          <w:szCs w:val="18"/>
        </w:rPr>
        <w:t xml:space="preserve">  "direction": "RES",</w:t>
      </w:r>
    </w:p>
    <w:p>
      <w:pPr>
        <w:shd w:fill="F5F5F5" w:val="clear"/>
        <w:spacing w:after="0"/>
      </w:pPr>
      <w:r>
        <w:rPr>
          <w:rFonts w:ascii="Consolas" w:cs="Consolas" w:eastAsia="Consolas" w:hAnsi="Consolas"/>
          <w:sz w:val="18"/>
          <w:szCs w:val="18"/>
        </w:rPr>
        <w:t xml:space="preserve">  "response_meta": {</w:t>
      </w:r>
    </w:p>
    <w:p>
      <w:pPr>
        <w:shd w:fill="F5F5F5" w:val="clear"/>
        <w:spacing w:after="0"/>
      </w:pPr>
      <w:r>
        <w:rPr>
          <w:rFonts w:ascii="Consolas" w:cs="Consolas" w:eastAsia="Consolas" w:hAnsi="Consolas"/>
          <w:sz w:val="18"/>
          <w:szCs w:val="18"/>
        </w:rPr>
        <w:t xml:space="preserve">    "status_code": 200,</w:t>
      </w:r>
    </w:p>
    <w:p>
      <w:pPr>
        <w:shd w:fill="F5F5F5" w:val="clear"/>
        <w:spacing w:after="0"/>
      </w:pPr>
      <w:r>
        <w:rPr>
          <w:rFonts w:ascii="Consolas" w:cs="Consolas" w:eastAsia="Consolas" w:hAnsi="Consolas"/>
          <w:sz w:val="18"/>
          <w:szCs w:val="18"/>
        </w:rPr>
        <w:t xml:space="preserve">    "content_type": "application/json",</w:t>
      </w:r>
    </w:p>
    <w:p>
      <w:pPr>
        <w:shd w:fill="F5F5F5" w:val="clear"/>
        <w:spacing w:after="0"/>
      </w:pPr>
      <w:r>
        <w:rPr>
          <w:rFonts w:ascii="Consolas" w:cs="Consolas" w:eastAsia="Consolas" w:hAnsi="Consolas"/>
          <w:sz w:val="18"/>
          <w:szCs w:val="18"/>
        </w:rPr>
        <w:t xml:space="preserve">    "source": "upstream_response"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"data": { ... },</w:t>
      </w:r>
    </w:p>
    <w:p>
      <w:pPr>
        <w:shd w:fill="F5F5F5" w:val="clear"/>
        <w:spacing w:after="0"/>
      </w:pPr>
      <w:r>
        <w:rPr>
          <w:rFonts w:ascii="Consolas" w:cs="Consolas" w:eastAsia="Consolas" w:hAnsi="Consolas"/>
          <w:sz w:val="18"/>
          <w:szCs w:val="18"/>
        </w:rPr>
        <w:t xml:space="preserve">  "username": "pso13",</w:t>
      </w:r>
    </w:p>
    <w:p>
      <w:pPr>
        <w:shd w:fill="F5F5F5" w:val="clear"/>
        <w:spacing w:after="0"/>
      </w:pPr>
      <w:r>
        <w:rPr>
          <w:rFonts w:ascii="Consolas" w:cs="Consolas" w:eastAsia="Consolas" w:hAnsi="Consolas"/>
          <w:sz w:val="18"/>
          <w:szCs w:val="18"/>
        </w:rPr>
        <w:t xml:space="preserve">  "instruction_id": 42,</w:t>
      </w:r>
    </w:p>
    <w:p>
      <w:pPr>
        <w:shd w:fill="F5F5F5" w:val="clear"/>
        <w:spacing w:after="0"/>
      </w:pPr>
      <w:r>
        <w:rPr>
          <w:rFonts w:ascii="Consolas" w:cs="Consolas" w:eastAsia="Consolas" w:hAnsi="Consolas"/>
          <w:sz w:val="18"/>
          <w:szCs w:val="18"/>
        </w:rPr>
        <w:t xml:space="preserve">  "eventKey": "odoo.contacts",</w:t>
      </w:r>
    </w:p>
    <w:p>
      <w:pPr>
        <w:shd w:fill="F5F5F5" w:val="clear"/>
        <w:spacing w:after="0"/>
      </w:pPr>
      <w:r>
        <w:rPr>
          <w:rFonts w:ascii="Consolas" w:cs="Consolas" w:eastAsia="Consolas" w:hAnsi="Consolas"/>
          <w:sz w:val="18"/>
          <w:szCs w:val="18"/>
        </w:rPr>
        <w:t xml:space="preserve">  "captured_at": "2026-08-01T18:42:11.234Z"</w:t>
      </w:r>
    </w:p>
    <w:p>
      <w:pPr>
        <w:shd w:fill="F5F5F5" w:val="clear"/>
        <w:spacing w:after="0"/>
      </w:pPr>
      <w:r>
        <w:rPr>
          <w:rFonts w:ascii="Consolas" w:cs="Consolas" w:eastAsia="Consolas" w:hAnsi="Consolas"/>
          <w:sz w:val="18"/>
          <w:szCs w:val="18"/>
        </w:rPr>
        <w:t xml:space="preserve">}</w:t>
      </w:r>
    </w:p>
    <w:p>
      <w:pPr>
        <w:spacing w:after="120" w:before="160"/>
      </w:pPr>
    </w:p>
    <w:p>
      <w:pPr>
        <w:pStyle w:val="Heading3"/>
        <w:spacing w:after="120" w:before="240"/>
      </w:pPr>
      <w:r>
        <w:rPr>
          <w:rFonts w:ascii="Arial" w:cs="Arial" w:eastAsia="Arial" w:hAnsi="Arial"/>
          <w:b/>
          <w:bCs/>
          <w:color w:val="404040"/>
          <w:sz w:val="24"/>
          <w:szCs w:val="24"/>
        </w:rPr>
        <w:t xml:space="preserve">Key Fields</w:t>
      </w:r>
    </w:p>
    <w:p>
      <w:pPr>
        <w:pStyle w:val="ListParagraph"/>
        <w:numPr>
          <w:ilvl w:val="0"/>
          <w:numId w:val="2"/>
        </w:numPr>
        <w:spacing w:after="120"/>
      </w:pPr>
      <w:r>
        <w:rPr>
          <w:rFonts w:ascii="Arial" w:cs="Arial" w:eastAsia="Arial" w:hAnsi="Arial"/>
          <w:b/>
          <w:bCs/>
          <w:sz w:val="22"/>
          <w:szCs w:val="22"/>
        </w:rPr>
        <w:t xml:space="preserve">capture</w:t>
      </w:r>
      <w:r>
        <w:rPr>
          <w:rFonts w:ascii="Arial" w:cs="Arial" w:eastAsia="Arial" w:hAnsi="Arial"/>
          <w:sz w:val="22"/>
          <w:szCs w:val="22"/>
        </w:rPr>
        <w:t xml:space="preserve"> — service identity (CaptureGetResponse or CapturePostRequest)</w:t>
      </w:r>
    </w:p>
    <w:p>
      <w:pPr>
        <w:pStyle w:val="ListParagraph"/>
        <w:numPr>
          <w:ilvl w:val="0"/>
          <w:numId w:val="2"/>
        </w:numPr>
        <w:spacing w:after="120"/>
      </w:pPr>
      <w:r>
        <w:rPr>
          <w:rFonts w:ascii="Arial" w:cs="Arial" w:eastAsia="Arial" w:hAnsi="Arial"/>
          <w:b/>
          <w:bCs/>
          <w:sz w:val="22"/>
          <w:szCs w:val="22"/>
        </w:rPr>
        <w:t xml:space="preserve">topic</w:t>
      </w:r>
      <w:r>
        <w:rPr>
          <w:rFonts w:ascii="Arial" w:cs="Arial" w:eastAsia="Arial" w:hAnsi="Arial"/>
          <w:sz w:val="22"/>
          <w:szCs w:val="22"/>
        </w:rPr>
        <w:t xml:space="preserve"> — fully resolved routing key</w:t>
      </w:r>
    </w:p>
    <w:p>
      <w:pPr>
        <w:pStyle w:val="ListParagraph"/>
        <w:numPr>
          <w:ilvl w:val="0"/>
          <w:numId w:val="2"/>
        </w:numPr>
        <w:spacing w:after="120"/>
      </w:pPr>
      <w:r>
        <w:rPr>
          <w:rFonts w:ascii="Arial" w:cs="Arial" w:eastAsia="Arial" w:hAnsi="Arial"/>
          <w:b/>
          <w:bCs/>
          <w:sz w:val="22"/>
          <w:szCs w:val="22"/>
        </w:rPr>
        <w:t xml:space="preserve">action_path</w:t>
      </w:r>
      <w:r>
        <w:rPr>
          <w:rFonts w:ascii="Arial" w:cs="Arial" w:eastAsia="Arial" w:hAnsi="Arial"/>
          <w:sz w:val="22"/>
          <w:szCs w:val="22"/>
        </w:rPr>
        <w:t xml:space="preserve"> — original path as seen by the orchestration bar</w:t>
      </w:r>
    </w:p>
    <w:p>
      <w:pPr>
        <w:pStyle w:val="ListParagraph"/>
        <w:numPr>
          <w:ilvl w:val="0"/>
          <w:numId w:val="2"/>
        </w:numPr>
        <w:spacing w:after="120"/>
      </w:pPr>
      <w:r>
        <w:rPr>
          <w:rFonts w:ascii="Arial" w:cs="Arial" w:eastAsia="Arial" w:hAnsi="Arial"/>
          <w:b/>
          <w:bCs/>
          <w:sz w:val="22"/>
          <w:szCs w:val="22"/>
        </w:rPr>
        <w:t xml:space="preserve">data</w:t>
      </w:r>
      <w:r>
        <w:rPr>
          <w:rFonts w:ascii="Arial" w:cs="Arial" w:eastAsia="Arial" w:hAnsi="Arial"/>
          <w:sz w:val="22"/>
          <w:szCs w:val="22"/>
        </w:rPr>
        <w:t xml:space="preserve"> — the actual payload (parsed JSON when possible, otherwise truncated string)</w:t>
      </w:r>
    </w:p>
    <w:p>
      <w:pPr>
        <w:pStyle w:val="ListParagraph"/>
        <w:numPr>
          <w:ilvl w:val="0"/>
          <w:numId w:val="2"/>
        </w:numPr>
        <w:spacing w:after="120"/>
      </w:pPr>
      <w:r>
        <w:rPr>
          <w:rFonts w:ascii="Arial" w:cs="Arial" w:eastAsia="Arial" w:hAnsi="Arial"/>
          <w:b/>
          <w:bCs/>
          <w:sz w:val="22"/>
          <w:szCs w:val="22"/>
        </w:rPr>
        <w:t xml:space="preserve">instruction_id</w:t>
      </w:r>
      <w:r>
        <w:rPr>
          <w:rFonts w:ascii="Arial" w:cs="Arial" w:eastAsia="Arial" w:hAnsi="Arial"/>
          <w:sz w:val="22"/>
          <w:szCs w:val="22"/>
        </w:rPr>
        <w:t xml:space="preserve"> — the Instruction that triggered the capture (auditability)</w:t>
      </w:r>
    </w:p>
    <w:p>
      <w:pPr>
        <w:pStyle w:val="ListParagraph"/>
        <w:numPr>
          <w:ilvl w:val="0"/>
          <w:numId w:val="2"/>
        </w:numPr>
        <w:spacing w:after="120"/>
      </w:pPr>
      <w:r>
        <w:rPr>
          <w:rFonts w:ascii="Arial" w:cs="Arial" w:eastAsia="Arial" w:hAnsi="Arial"/>
          <w:b/>
          <w:bCs/>
          <w:sz w:val="22"/>
          <w:szCs w:val="22"/>
        </w:rPr>
        <w:t xml:space="preserve">eventKey</w:t>
      </w:r>
      <w:r>
        <w:rPr>
          <w:rFonts w:ascii="Arial" w:cs="Arial" w:eastAsia="Arial" w:hAnsi="Arial"/>
          <w:sz w:val="22"/>
          <w:szCs w:val="22"/>
        </w:rPr>
        <w:t xml:space="preserve"> — normalized short key useful for consumer routing and logging</w:t>
      </w:r>
    </w:p>
    <w:p>
      <w:pPr>
        <w:pStyle w:val="Heading3"/>
        <w:spacing w:after="120" w:before="240"/>
      </w:pPr>
      <w:r>
        <w:rPr>
          <w:rFonts w:ascii="Arial" w:cs="Arial" w:eastAsia="Arial" w:hAnsi="Arial"/>
          <w:b/>
          <w:bCs/>
          <w:color w:val="404040"/>
          <w:sz w:val="24"/>
          <w:szCs w:val="24"/>
        </w:rPr>
        <w:t xml:space="preserve">Safety Valve: max_chars</w:t>
      </w:r>
    </w:p>
    <w:p>
      <w:pPr>
        <w:spacing w:after="200" w:line="276"/>
      </w:pPr>
      <w:r>
        <w:rPr>
          <w:rFonts w:ascii="Arial" w:cs="Arial" w:eastAsia="Arial" w:hAnsi="Arial"/>
          <w:sz w:val="22"/>
          <w:szCs w:val="22"/>
        </w:rPr>
        <w:t xml:space="preserve">Operators can supply a max_chars value inside the Instruction’s parameters_json. When present, the capture service truncates the body before publishing. This protects the message bus from pathological payloads (large file downloads, unexpected HTML dumps, etc.) while still giving consumers a usable sample and clear metadata that truncation occurred.</w:t>
      </w:r>
    </w:p>
    <w:p>
      <w:pPr>
        <w:pStyle w:val="Heading1"/>
        <w:spacing w:after="200" w:before="360"/>
      </w:pPr>
      <w:r>
        <w:rPr>
          <w:rFonts w:ascii="Arial" w:cs="Arial" w:eastAsia="Arial" w:hAnsi="Arial"/>
          <w:b/>
          <w:bCs/>
          <w:color w:val="1F4E79"/>
          <w:sz w:val="32"/>
          <w:szCs w:val="32"/>
        </w:rPr>
        <w:t xml:space="preserve">8. Operator Experience</w:t>
      </w:r>
    </w:p>
    <w:p>
      <w:pPr>
        <w:spacing w:after="200" w:line="276"/>
      </w:pPr>
      <w:r>
        <w:rPr>
          <w:rFonts w:ascii="Arial" w:cs="Arial" w:eastAsia="Arial" w:hAnsi="Arial"/>
          <w:sz w:val="22"/>
          <w:szCs w:val="22"/>
        </w:rPr>
        <w:t xml:space="preserve">From an operator’s point of view the workflow is deliberately configuration-only:</w:t>
      </w:r>
    </w:p>
    <w:p>
      <w:pPr>
        <w:pStyle w:val="ListParagraph"/>
        <w:numPr>
          <w:ilvl w:val="0"/>
          <w:numId w:val="2"/>
        </w:numPr>
        <w:spacing w:after="120"/>
      </w:pPr>
      <w:r>
        <w:rPr>
          <w:rFonts w:ascii="Arial" w:cs="Arial" w:eastAsia="Arial" w:hAnsi="Arial"/>
          <w:sz w:val="22"/>
          <w:szCs w:val="22"/>
        </w:rPr>
        <w:t xml:space="preserve">PolySniffer (or manual inspection) surfaces candidate action paths while a user works inside the passthrough.</w:t>
      </w:r>
    </w:p>
    <w:p>
      <w:pPr>
        <w:pStyle w:val="ListParagraph"/>
        <w:numPr>
          <w:ilvl w:val="0"/>
          <w:numId w:val="2"/>
        </w:numPr>
        <w:spacing w:after="120"/>
      </w:pPr>
      <w:r>
        <w:rPr>
          <w:rFonts w:ascii="Arial" w:cs="Arial" w:eastAsia="Arial" w:hAnsi="Arial"/>
          <w:sz w:val="22"/>
          <w:szCs w:val="22"/>
        </w:rPr>
        <w:t xml:space="preserve">Operator creates an Instruction on the desired path, chooses the appropriate capture service, and sets direction/method.</w:t>
      </w:r>
    </w:p>
    <w:p>
      <w:pPr>
        <w:pStyle w:val="ListParagraph"/>
        <w:numPr>
          <w:ilvl w:val="0"/>
          <w:numId w:val="2"/>
        </w:numPr>
        <w:spacing w:after="120"/>
      </w:pPr>
      <w:r>
        <w:rPr>
          <w:rFonts w:ascii="Arial" w:cs="Arial" w:eastAsia="Arial" w:hAnsi="Arial"/>
          <w:sz w:val="22"/>
          <w:szCs w:val="22"/>
        </w:rPr>
        <w:t xml:space="preserve">Optional parameters_json can include max_chars or future filters.</w:t>
      </w:r>
    </w:p>
    <w:p>
      <w:pPr>
        <w:pStyle w:val="ListParagraph"/>
        <w:numPr>
          <w:ilvl w:val="0"/>
          <w:numId w:val="2"/>
        </w:numPr>
        <w:spacing w:after="120"/>
      </w:pPr>
      <w:r>
        <w:rPr>
          <w:rFonts w:ascii="Arial" w:cs="Arial" w:eastAsia="Arial" w:hAnsi="Arial"/>
          <w:sz w:val="22"/>
          <w:szCs w:val="22"/>
        </w:rPr>
        <w:t xml:space="preserve">On the next matching traffic the event appears on the bus.</w:t>
      </w:r>
    </w:p>
    <w:p>
      <w:pPr>
        <w:pStyle w:val="ListParagraph"/>
        <w:numPr>
          <w:ilvl w:val="0"/>
          <w:numId w:val="2"/>
        </w:numPr>
        <w:spacing w:after="120"/>
      </w:pPr>
      <w:r>
        <w:rPr>
          <w:rFonts w:ascii="Arial" w:cs="Arial" w:eastAsia="Arial" w:hAnsi="Arial"/>
          <w:sz w:val="22"/>
          <w:szCs w:val="22"/>
        </w:rPr>
        <w:t xml:space="preserve">Layer-2 consumers (or temporary debug subscribers) confirm the payload shape.</w:t>
      </w:r>
    </w:p>
    <w:p>
      <w:pPr>
        <w:spacing w:after="200" w:line="276"/>
      </w:pPr>
      <w:r>
        <w:rPr>
          <w:rFonts w:ascii="Arial" w:cs="Arial" w:eastAsia="Arial" w:hAnsi="Arial"/>
          <w:sz w:val="22"/>
          <w:szCs w:val="22"/>
        </w:rPr>
        <w:t xml:space="preserve">No deploy is required. No new code is written for the new path. The same two services are reused forever.</w:t>
      </w:r>
    </w:p>
    <w:p>
      <w:pPr>
        <w:pStyle w:val="Heading1"/>
        <w:spacing w:after="200" w:before="360"/>
      </w:pPr>
      <w:r>
        <w:rPr>
          <w:rFonts w:ascii="Arial" w:cs="Arial" w:eastAsia="Arial" w:hAnsi="Arial"/>
          <w:b/>
          <w:bCs/>
          <w:color w:val="1F4E79"/>
          <w:sz w:val="32"/>
          <w:szCs w:val="32"/>
        </w:rPr>
        <w:t xml:space="preserve">9. Why This Architecture Wins</w:t>
      </w:r>
    </w:p>
    <w:p>
      <w:pPr>
        <w:pStyle w:val="ListParagraph"/>
        <w:numPr>
          <w:ilvl w:val="0"/>
          <w:numId w:val="3"/>
        </w:numPr>
        <w:spacing w:after="120"/>
      </w:pPr>
      <w:r>
        <w:rPr>
          <w:rFonts w:ascii="Arial" w:cs="Arial" w:eastAsia="Arial" w:hAnsi="Arial"/>
          <w:b/>
          <w:bCs/>
          <w:sz w:val="22"/>
          <w:szCs w:val="22"/>
        </w:rPr>
        <w:t xml:space="preserve">App-agnostic.</w:t>
      </w:r>
      <w:r>
        <w:rPr>
          <w:rFonts w:ascii="Arial" w:cs="Arial" w:eastAsia="Arial" w:hAnsi="Arial"/>
          <w:sz w:val="22"/>
          <w:szCs w:val="22"/>
        </w:rPr>
        <w:t xml:space="preserve"> The services understand standard HTTP GET/POST bodies, not proprietary SDKs or undocumented internal APIs.</w:t>
      </w:r>
    </w:p>
    <w:p>
      <w:pPr>
        <w:pStyle w:val="ListParagraph"/>
        <w:numPr>
          <w:ilvl w:val="0"/>
          <w:numId w:val="3"/>
        </w:numPr>
        <w:spacing w:after="120"/>
      </w:pPr>
      <w:r>
        <w:rPr>
          <w:rFonts w:ascii="Arial" w:cs="Arial" w:eastAsia="Arial" w:hAnsi="Arial"/>
          <w:b/>
          <w:bCs/>
          <w:sz w:val="22"/>
          <w:szCs w:val="22"/>
        </w:rPr>
        <w:t xml:space="preserve">Instruction-driven.</w:t>
      </w:r>
      <w:r>
        <w:rPr>
          <w:rFonts w:ascii="Arial" w:cs="Arial" w:eastAsia="Arial" w:hAnsi="Arial"/>
          <w:sz w:val="22"/>
          <w:szCs w:val="22"/>
        </w:rPr>
        <w:t xml:space="preserve"> Path, method, and direction live as ordinary tenant data. Behavior is added by configuration.</w:t>
      </w:r>
    </w:p>
    <w:p>
      <w:pPr>
        <w:pStyle w:val="ListParagraph"/>
        <w:numPr>
          <w:ilvl w:val="0"/>
          <w:numId w:val="3"/>
        </w:numPr>
        <w:spacing w:after="120"/>
      </w:pPr>
      <w:r>
        <w:rPr>
          <w:rFonts w:ascii="Arial" w:cs="Arial" w:eastAsia="Arial" w:hAnsi="Arial"/>
          <w:b/>
          <w:bCs/>
          <w:sz w:val="22"/>
          <w:szCs w:val="22"/>
        </w:rPr>
        <w:t xml:space="preserve">Zero code duplication.</w:t>
      </w:r>
      <w:r>
        <w:rPr>
          <w:rFonts w:ascii="Arial" w:cs="Arial" w:eastAsia="Arial" w:hAnsi="Arial"/>
          <w:sz w:val="22"/>
          <w:szCs w:val="22"/>
        </w:rPr>
        <w:t xml:space="preserve"> The identical execute path runs for every new application. New integrations become Instruction rows, not pull requests.</w:t>
      </w:r>
    </w:p>
    <w:p>
      <w:pPr>
        <w:pStyle w:val="ListParagraph"/>
        <w:numPr>
          <w:ilvl w:val="0"/>
          <w:numId w:val="3"/>
        </w:numPr>
        <w:spacing w:after="120"/>
      </w:pPr>
      <w:r>
        <w:rPr>
          <w:rFonts w:ascii="Arial" w:cs="Arial" w:eastAsia="Arial" w:hAnsi="Arial"/>
          <w:b/>
          <w:bCs/>
          <w:sz w:val="22"/>
          <w:szCs w:val="22"/>
        </w:rPr>
        <w:t xml:space="preserve">Future-proof messaging.</w:t>
      </w:r>
      <w:r>
        <w:rPr>
          <w:rFonts w:ascii="Arial" w:cs="Arial" w:eastAsia="Arial" w:hAnsi="Arial"/>
          <w:sz w:val="22"/>
          <w:szCs w:val="22"/>
        </w:rPr>
        <w:t xml:space="preserve"> Local RabbitMQ today maps cleanly onto Google Cloud Pub/Sub tomorrow without touching the Instruction model or the capture services themselves.</w:t>
      </w:r>
    </w:p>
    <w:p>
      <w:pPr>
        <w:pStyle w:val="ListParagraph"/>
        <w:numPr>
          <w:ilvl w:val="0"/>
          <w:numId w:val="3"/>
        </w:numPr>
        <w:spacing w:after="120"/>
      </w:pPr>
      <w:r>
        <w:rPr>
          <w:rFonts w:ascii="Arial" w:cs="Arial" w:eastAsia="Arial" w:hAnsi="Arial"/>
          <w:b/>
          <w:bCs/>
          <w:sz w:val="22"/>
          <w:szCs w:val="22"/>
        </w:rPr>
        <w:t xml:space="preserve">Auditable.</w:t>
      </w:r>
      <w:r>
        <w:rPr>
          <w:rFonts w:ascii="Arial" w:cs="Arial" w:eastAsia="Arial" w:hAnsi="Arial"/>
          <w:sz w:val="22"/>
          <w:szCs w:val="22"/>
        </w:rPr>
        <w:t xml:space="preserve"> Every capture event carries the instruction_id that authorized it, the tenant, the exact path, and a timestamp.</w:t>
      </w:r>
    </w:p>
    <w:p>
      <w:pPr>
        <w:pStyle w:val="ListParagraph"/>
        <w:numPr>
          <w:ilvl w:val="0"/>
          <w:numId w:val="3"/>
        </w:numPr>
        <w:spacing w:after="120"/>
      </w:pPr>
      <w:r>
        <w:rPr>
          <w:rFonts w:ascii="Arial" w:cs="Arial" w:eastAsia="Arial" w:hAnsi="Arial"/>
          <w:b/>
          <w:bCs/>
          <w:sz w:val="22"/>
          <w:szCs w:val="22"/>
        </w:rPr>
        <w:t xml:space="preserve">Safe by default.</w:t>
      </w:r>
      <w:r>
        <w:rPr>
          <w:rFonts w:ascii="Arial" w:cs="Arial" w:eastAsia="Arial" w:hAnsi="Arial"/>
          <w:sz w:val="22"/>
          <w:szCs w:val="22"/>
        </w:rPr>
        <w:t xml:space="preserve"> Mismatched method/direction combinations are skipped; oversized payloads can be truncated; services never run outside a passthrough + Instruction context.</w:t>
      </w:r>
    </w:p>
    <w:p>
      <w:pPr>
        <w:pStyle w:val="Heading1"/>
        <w:spacing w:after="200" w:before="360"/>
      </w:pPr>
      <w:r>
        <w:rPr>
          <w:rFonts w:ascii="Arial" w:cs="Arial" w:eastAsia="Arial" w:hAnsi="Arial"/>
          <w:b/>
          <w:bCs/>
          <w:color w:val="1F4E79"/>
          <w:sz w:val="32"/>
          <w:szCs w:val="32"/>
        </w:rPr>
        <w:t xml:space="preserve">10. Implementation Guardrails</w:t>
      </w:r>
    </w:p>
    <w:p>
      <w:pPr>
        <w:spacing w:after="200" w:line="276"/>
      </w:pPr>
      <w:r>
        <w:rPr>
          <w:rFonts w:ascii="Arial" w:cs="Arial" w:eastAsia="Arial" w:hAnsi="Arial"/>
          <w:sz w:val="22"/>
          <w:szCs w:val="22"/>
        </w:rPr>
        <w:t xml:space="preserve">Even though the services are simple, a few production rules keep them reliable:</w:t>
      </w:r>
    </w:p>
    <w:p>
      <w:pPr>
        <w:pStyle w:val="ListParagraph"/>
        <w:numPr>
          <w:ilvl w:val="0"/>
          <w:numId w:val="2"/>
        </w:numPr>
        <w:spacing w:after="120"/>
      </w:pPr>
      <w:r>
        <w:rPr>
          <w:rFonts w:ascii="Arial" w:cs="Arial" w:eastAsia="Arial" w:hAnsi="Arial"/>
          <w:sz w:val="22"/>
          <w:szCs w:val="22"/>
        </w:rPr>
        <w:t xml:space="preserve">Never block the original request/response path for longer than a few milliseconds. Capture must be fire-and-forget relative to the user’s experience.</w:t>
      </w:r>
    </w:p>
    <w:p>
      <w:pPr>
        <w:pStyle w:val="ListParagraph"/>
        <w:numPr>
          <w:ilvl w:val="0"/>
          <w:numId w:val="2"/>
        </w:numPr>
        <w:spacing w:after="120"/>
      </w:pPr>
      <w:r>
        <w:rPr>
          <w:rFonts w:ascii="Arial" w:cs="Arial" w:eastAsia="Arial" w:hAnsi="Arial"/>
          <w:sz w:val="22"/>
          <w:szCs w:val="22"/>
        </w:rPr>
        <w:t xml:space="preserve">Prefer structured JSON when the Content-Type indicates it; fall back to a truncated string representation otherwise.</w:t>
      </w:r>
    </w:p>
    <w:p>
      <w:pPr>
        <w:pStyle w:val="ListParagraph"/>
        <w:numPr>
          <w:ilvl w:val="0"/>
          <w:numId w:val="2"/>
        </w:numPr>
        <w:spacing w:after="120"/>
      </w:pPr>
      <w:r>
        <w:rPr>
          <w:rFonts w:ascii="Arial" w:cs="Arial" w:eastAsia="Arial" w:hAnsi="Arial"/>
          <w:sz w:val="22"/>
          <w:szCs w:val="22"/>
        </w:rPr>
        <w:t xml:space="preserve">Always include enough metadata so a consumer can decide whether the payload is complete, truncated, or non-JSON.</w:t>
      </w:r>
    </w:p>
    <w:p>
      <w:pPr>
        <w:pStyle w:val="ListParagraph"/>
        <w:numPr>
          <w:ilvl w:val="0"/>
          <w:numId w:val="2"/>
        </w:numPr>
        <w:spacing w:after="120"/>
      </w:pPr>
      <w:r>
        <w:rPr>
          <w:rFonts w:ascii="Arial" w:cs="Arial" w:eastAsia="Arial" w:hAnsi="Arial"/>
          <w:sz w:val="22"/>
          <w:szCs w:val="22"/>
        </w:rPr>
        <w:t xml:space="preserve">Treat the message bus as unreliable at the edges: design consumers to be idempotent where possible.</w:t>
      </w:r>
    </w:p>
    <w:p>
      <w:pPr>
        <w:pStyle w:val="ListParagraph"/>
        <w:numPr>
          <w:ilvl w:val="0"/>
          <w:numId w:val="2"/>
        </w:numPr>
        <w:spacing w:after="120"/>
      </w:pPr>
      <w:r>
        <w:rPr>
          <w:rFonts w:ascii="Arial" w:cs="Arial" w:eastAsia="Arial" w:hAnsi="Arial"/>
          <w:sz w:val="22"/>
          <w:szCs w:val="22"/>
        </w:rPr>
        <w:t xml:space="preserve">Log (but do not fail the user request) when publish to the bus fails. Capture is best-effort relative to the primary traffic.</w:t>
      </w:r>
    </w:p>
    <w:p>
      <w:pPr>
        <w:pStyle w:val="Heading1"/>
        <w:spacing w:after="200" w:before="360"/>
      </w:pPr>
      <w:r>
        <w:rPr>
          <w:rFonts w:ascii="Arial" w:cs="Arial" w:eastAsia="Arial" w:hAnsi="Arial"/>
          <w:b/>
          <w:bCs/>
          <w:color w:val="1F4E79"/>
          <w:sz w:val="32"/>
          <w:szCs w:val="32"/>
        </w:rPr>
        <w:t xml:space="preserve">11. Roadmap &amp; Adjacent Work</w:t>
      </w:r>
    </w:p>
    <w:p>
      <w:pPr>
        <w:spacing w:after="200" w:line="276"/>
      </w:pPr>
      <w:r>
        <w:rPr>
          <w:rFonts w:ascii="Arial" w:cs="Arial" w:eastAsia="Arial" w:hAnsi="Arial"/>
          <w:sz w:val="22"/>
          <w:szCs w:val="22"/>
        </w:rPr>
        <w:t xml:space="preserve">These two services are the observation foundation. Immediate and near-term extensions include:</w:t>
      </w:r>
    </w:p>
    <w:p>
      <w:pPr>
        <w:pStyle w:val="ListParagraph"/>
        <w:numPr>
          <w:ilvl w:val="0"/>
          <w:numId w:val="2"/>
        </w:numPr>
        <w:spacing w:after="120"/>
      </w:pPr>
      <w:r>
        <w:rPr>
          <w:rFonts w:ascii="Arial" w:cs="Arial" w:eastAsia="Arial" w:hAnsi="Arial"/>
          <w:sz w:val="22"/>
          <w:szCs w:val="22"/>
        </w:rPr>
        <w:t xml:space="preserve">Layer-2 consumer library that turns captured events into domain records or orchestration triggers.</w:t>
      </w:r>
    </w:p>
    <w:p>
      <w:pPr>
        <w:pStyle w:val="ListParagraph"/>
        <w:numPr>
          <w:ilvl w:val="0"/>
          <w:numId w:val="2"/>
        </w:numPr>
        <w:spacing w:after="120"/>
      </w:pPr>
      <w:r>
        <w:rPr>
          <w:rFonts w:ascii="Arial" w:cs="Arial" w:eastAsia="Arial" w:hAnsi="Arial"/>
          <w:sz w:val="22"/>
          <w:szCs w:val="22"/>
        </w:rPr>
        <w:t xml:space="preserve">Gmail active channel (users.watch + Pub/Sub) that reuses the same event-contract philosophy for external mail events.</w:t>
      </w:r>
    </w:p>
    <w:p>
      <w:pPr>
        <w:pStyle w:val="ListParagraph"/>
        <w:numPr>
          <w:ilvl w:val="0"/>
          <w:numId w:val="2"/>
        </w:numPr>
        <w:spacing w:after="120"/>
      </w:pPr>
      <w:r>
        <w:rPr>
          <w:rFonts w:ascii="Arial" w:cs="Arial" w:eastAsia="Arial" w:hAnsi="Arial"/>
          <w:sz w:val="22"/>
          <w:szCs w:val="22"/>
        </w:rPr>
        <w:t xml:space="preserve">Selective field extraction via parameters_json so operators can publish only the keys they care about.</w:t>
      </w:r>
    </w:p>
    <w:p>
      <w:pPr>
        <w:pStyle w:val="ListParagraph"/>
        <w:numPr>
          <w:ilvl w:val="0"/>
          <w:numId w:val="2"/>
        </w:numPr>
        <w:spacing w:after="120"/>
      </w:pPr>
      <w:r>
        <w:rPr>
          <w:rFonts w:ascii="Arial" w:cs="Arial" w:eastAsia="Arial" w:hAnsi="Arial"/>
          <w:sz w:val="22"/>
          <w:szCs w:val="22"/>
        </w:rPr>
        <w:t xml:space="preserve">Confidence-scored hand-off into the existing HITL / dynamic orchestration paths.</w:t>
      </w:r>
    </w:p>
    <w:p>
      <w:pPr>
        <w:pStyle w:val="ListParagraph"/>
        <w:numPr>
          <w:ilvl w:val="0"/>
          <w:numId w:val="2"/>
        </w:numPr>
        <w:spacing w:after="120"/>
      </w:pPr>
      <w:r>
        <w:rPr>
          <w:rFonts w:ascii="Arial" w:cs="Arial" w:eastAsia="Arial" w:hAnsi="Arial"/>
          <w:sz w:val="22"/>
          <w:szCs w:val="22"/>
        </w:rPr>
        <w:t xml:space="preserve">Metrics and sampling controls so high-volume paths can be observed without saturating the bus.</w:t>
      </w:r>
    </w:p>
    <w:p>
      <w:pPr>
        <w:pStyle w:val="Heading1"/>
        <w:spacing w:after="200" w:before="360"/>
      </w:pPr>
      <w:r>
        <w:rPr>
          <w:rFonts w:ascii="Arial" w:cs="Arial" w:eastAsia="Arial" w:hAnsi="Arial"/>
          <w:b/>
          <w:bCs/>
          <w:color w:val="1F4E79"/>
          <w:sz w:val="32"/>
          <w:szCs w:val="32"/>
        </w:rPr>
        <w:t xml:space="preserve">12. Closing</w:t>
      </w:r>
    </w:p>
    <w:p>
      <w:pPr>
        <w:spacing w:after="200" w:line="276"/>
      </w:pPr>
      <w:r>
        <w:rPr>
          <w:rFonts w:ascii="Arial" w:cs="Arial" w:eastAsia="Arial" w:hAnsi="Arial"/>
          <w:sz w:val="22"/>
          <w:szCs w:val="22"/>
        </w:rPr>
        <w:t xml:space="preserve">By pairing PolySniffer path discovery with CaptureGetResponse and CapturePostRequest, PolySaaS obtains a true “capture once, orchestrate everywhere” capability. The same two atomic services observe traffic through Odoo, Mattermost, Liferay, and every future passthrough application.</w:t>
      </w:r>
    </w:p>
    <w:p>
      <w:pPr>
        <w:spacing w:after="200" w:line="276"/>
      </w:pPr>
      <w:r>
        <w:rPr>
          <w:rFonts w:ascii="Arial" w:cs="Arial" w:eastAsia="Arial" w:hAnsi="Arial"/>
          <w:sz w:val="22"/>
          <w:szCs w:val="22"/>
        </w:rPr>
        <w:t xml:space="preserve">The data is flowing. The only remaining design question is what the Layer-2 consumers — and the operators who configure them — decide to do with it.</w:t>
      </w:r>
    </w:p>
    <w:p>
      <w:pPr>
        <w:spacing w:before="400"/>
      </w:pPr>
    </w:p>
    <w:p>
      <w:pPr>
        <w:pBdr>
          <w:top w:val="single" w:color="2E75B6" w:sz="6" w:space="12"/>
        </w:pBdr>
        <w:spacing w:before="200"/>
      </w:pPr>
      <w:r>
        <w:rPr>
          <w:rFonts w:ascii="Arial" w:cs="Arial" w:eastAsia="Arial" w:hAnsi="Arial"/>
          <w:i/>
          <w:iCs/>
          <w:color w:val="666666"/>
          <w:sz w:val="16"/>
          <w:szCs w:val="16"/>
        </w:rPr>
        <w:t xml:space="preserve">Document status: Living architecture note  ·  Owner: PolySaaS Core  ·  Last updated: August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8"/>
      </w:pBdr>
      <w:spacing w:before="80"/>
    </w:pPr>
    <w:r>
      <w:rPr>
        <w:rFonts w:ascii="Arial" w:cs="Arial" w:eastAsia="Arial" w:hAnsi="Arial"/>
        <w:color w:val="888888"/>
        <w:sz w:val="16"/>
        <w:szCs w:val="16"/>
      </w:rPr>
      <w:t xml:space="preserve">Confidential – PolySaaS Internal / Builder Use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2" w:space="8"/>
      </w:pBdr>
      <w:spacing w:after="120"/>
    </w:pPr>
    <w:r>
      <w:rPr>
        <w:rFonts w:ascii="Arial" w:cs="Arial" w:eastAsia="Arial" w:hAnsi="Arial"/>
        <w:b/>
        <w:bCs/>
        <w:color w:val="2E75B6"/>
        <w:sz w:val="18"/>
        <w:szCs w:val="18"/>
      </w:rPr>
      <w:t xml:space="preserve">PolySaaS  ·  Architecture Note</w:t>
    </w:r>
    <w:r>
      <w:rPr>
        <w:rFonts w:ascii="Arial" w:cs="Arial" w:eastAsia="Arial" w:hAnsi="Arial"/>
        <w:sz w:val="18"/>
        <w:szCs w:val="18"/>
      </w:rPr>
      <w:t xml:space="preserve">                                                                                          </w:t>
    </w:r>
    <w:r>
      <w:rPr>
        <w:rFonts w:ascii="Arial" w:cs="Arial" w:eastAsia="Arial" w:hAnsi="Arial"/>
        <w:i/>
        <w:iCs/>
        <w:color w:val="666666"/>
        <w:sz w:val="18"/>
        <w:szCs w:val="18"/>
      </w:rPr>
      <w:t xml:space="preserve">Capture Once, Orchestrate Everywhere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2026-08-01T03:30:03.407Z</dcterms:created>
  <dcterms:modified xsi:type="dcterms:W3CDTF">2026-08-01T03:30:03.407Z</dcterms:modified>
</cp:coreProperties>
</file>

<file path=docProps/custom.xml><?xml version="1.0" encoding="utf-8"?>
<Properties xmlns="http://schemas.openxmlformats.org/officeDocument/2006/custom-properties" xmlns:vt="http://schemas.openxmlformats.org/officeDocument/2006/docPropsVTypes"/>
</file>