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92A9A" w14:textId="77777777" w:rsidR="00B62090" w:rsidRPr="00B62090" w:rsidRDefault="00B62090" w:rsidP="00B62090">
      <w:pPr>
        <w:pStyle w:val="Title"/>
      </w:pPr>
      <w:r w:rsidRPr="00B62090">
        <w:t>THE COMPOSABLE ENTERPRISE </w:t>
      </w:r>
    </w:p>
    <w:p w14:paraId="1DD42E70" w14:textId="77777777" w:rsidR="00B62090" w:rsidRPr="00B62090" w:rsidRDefault="00B62090" w:rsidP="00B62090">
      <w:r w:rsidRPr="00B62090">
        <w:t>Leveraging PolySaaS as an Application Development Engine </w:t>
      </w:r>
    </w:p>
    <w:p w14:paraId="70064604" w14:textId="77777777" w:rsidR="00B62090" w:rsidRPr="00B62090" w:rsidRDefault="00B62090" w:rsidP="00B62090">
      <w:proofErr w:type="gramStart"/>
      <w:r w:rsidRPr="00B62090">
        <w:rPr>
          <w:i/>
          <w:iCs/>
        </w:rPr>
        <w:t>How</w:t>
      </w:r>
      <w:proofErr w:type="gramEnd"/>
      <w:r w:rsidRPr="00B62090">
        <w:rPr>
          <w:i/>
          <w:iCs/>
        </w:rPr>
        <w:t> Atomic Services and </w:t>
      </w:r>
      <w:proofErr w:type="spellStart"/>
      <w:r w:rsidRPr="00B62090">
        <w:rPr>
          <w:i/>
          <w:iCs/>
        </w:rPr>
        <w:t>PolySniffer</w:t>
      </w:r>
      <w:proofErr w:type="spellEnd"/>
      <w:r w:rsidRPr="00B62090">
        <w:rPr>
          <w:i/>
          <w:iCs/>
        </w:rPr>
        <w:t> turn a SaaS integration layer into a full-stack, composable development platform</w:t>
      </w:r>
      <w:r w:rsidRPr="00B62090">
        <w:t> </w:t>
      </w:r>
    </w:p>
    <w:p w14:paraId="3BB904A9" w14:textId="77777777" w:rsidR="00B62090" w:rsidRPr="00B62090" w:rsidRDefault="00B62090" w:rsidP="00B62090">
      <w:r w:rsidRPr="00B62090">
        <w:t>A Strategic White Paper for Enterprise Architects, CTOs, and Digital Leaders </w:t>
      </w:r>
    </w:p>
    <w:p w14:paraId="181CEC07" w14:textId="57597914" w:rsidR="00B62090" w:rsidRPr="00B62090" w:rsidRDefault="00B62090" w:rsidP="00B62090">
      <w:proofErr w:type="spellStart"/>
      <w:proofErr w:type="gramStart"/>
      <w:r w:rsidRPr="00B62090">
        <w:t>polysaas.online</w:t>
      </w:r>
      <w:proofErr w:type="spellEnd"/>
      <w:proofErr w:type="gramEnd"/>
      <w:r w:rsidRPr="00B62090">
        <w:t> </w:t>
      </w:r>
    </w:p>
    <w:p w14:paraId="561C616B" w14:textId="77777777" w:rsidR="00B62090" w:rsidRPr="00B62090" w:rsidRDefault="00B62090" w:rsidP="00B62090">
      <w:pPr>
        <w:pStyle w:val="Heading1"/>
      </w:pPr>
      <w:r w:rsidRPr="00B62090">
        <w:t>Executive Summary </w:t>
      </w:r>
    </w:p>
    <w:p w14:paraId="19D21A18" w14:textId="77777777" w:rsidR="00B62090" w:rsidRPr="00B62090" w:rsidRDefault="00B62090" w:rsidP="00B62090">
      <w:r w:rsidRPr="00B62090">
        <w:t>Enterprises today are caught between two costly failure modes: SaaS sprawl, where dozens of disconnected tools are stitched together with brittle point-to-point webhooks, and the single-vendor monolith, where speed comes at the price of permanent lock-in. Both paths convert what should be a competitive advantage — the ability to move fast — into a growing liability of integration debt and vendor dependency. </w:t>
      </w:r>
    </w:p>
    <w:p w14:paraId="2C3FC47D" w14:textId="77777777" w:rsidR="00B62090" w:rsidRPr="00B62090" w:rsidRDefault="00B62090" w:rsidP="00B62090">
      <w:r w:rsidRPr="00B62090">
        <w:t>PolySaaS was built to solve the first problem: intelligent, discovery-driven integration across a SaaS estate. This paper argues for a broader thesis. Paired with a governed presentation layer — Liferay and WordPress — and </w:t>
      </w:r>
      <w:proofErr w:type="spellStart"/>
      <w:r w:rsidRPr="00B62090">
        <w:t>PolySaaS's</w:t>
      </w:r>
      <w:proofErr w:type="spellEnd"/>
      <w:r w:rsidRPr="00B62090">
        <w:t> own orchestration engine, Atomic Services, the platform becomes something more than an integration layer — it becomes an application development </w:t>
      </w:r>
      <w:proofErr w:type="gramStart"/>
      <w:r w:rsidRPr="00B62090">
        <w:t>platform in its own right</w:t>
      </w:r>
      <w:proofErr w:type="gramEnd"/>
      <w:r w:rsidRPr="00B62090">
        <w:t>. </w:t>
      </w:r>
    </w:p>
    <w:p w14:paraId="2561CAF9" w14:textId="77777777" w:rsidR="00B62090" w:rsidRPr="00B62090" w:rsidRDefault="00B62090" w:rsidP="00B62090">
      <w:r w:rsidRPr="00B62090">
        <w:t>Three components make this possible: </w:t>
      </w:r>
    </w:p>
    <w:p w14:paraId="33B48AF3" w14:textId="77777777" w:rsidR="00B62090" w:rsidRPr="00B62090" w:rsidRDefault="00B62090" w:rsidP="00B62090">
      <w:pPr>
        <w:numPr>
          <w:ilvl w:val="0"/>
          <w:numId w:val="1"/>
        </w:numPr>
      </w:pPr>
      <w:proofErr w:type="spellStart"/>
      <w:r w:rsidRPr="00B62090">
        <w:t>PolySniffer</w:t>
      </w:r>
      <w:proofErr w:type="spellEnd"/>
      <w:r w:rsidRPr="00B62090">
        <w:t> — a traffic-based discovery engine that observes an organization's actual data and API flows and surfaces which SaaS endpoints, data sources, and business processes are candidates for composition, rather than requiring architects to map integrations by hand. </w:t>
      </w:r>
    </w:p>
    <w:p w14:paraId="3043539C" w14:textId="77777777" w:rsidR="00B62090" w:rsidRPr="00B62090" w:rsidRDefault="00B62090" w:rsidP="00B62090">
      <w:pPr>
        <w:numPr>
          <w:ilvl w:val="0"/>
          <w:numId w:val="2"/>
        </w:numPr>
      </w:pPr>
      <w:r w:rsidRPr="00B62090">
        <w:t>Atomic Services — the dynamic orchestration layer that turns discovered endpoints into stateful, reusable, composable workflow units — the “application logic” layer that used to require custom backend development. </w:t>
      </w:r>
    </w:p>
    <w:p w14:paraId="21EB5E84" w14:textId="77777777" w:rsidR="00B62090" w:rsidRPr="00B62090" w:rsidRDefault="00B62090" w:rsidP="00B62090">
      <w:pPr>
        <w:numPr>
          <w:ilvl w:val="0"/>
          <w:numId w:val="3"/>
        </w:numPr>
      </w:pPr>
      <w:r w:rsidRPr="00B62090">
        <w:t>Liferay + WordPress — Liferay is the governance backbone (RBAC, multi-tenancy, portal workflow), deployed as Community Edition or DXP depending on the client's enterprise requirements; WordPress handles rapid, non-technical content iteration on top of it. </w:t>
      </w:r>
    </w:p>
    <w:p w14:paraId="5D95B56F" w14:textId="77777777" w:rsidR="00B62090" w:rsidRPr="00B62090" w:rsidRDefault="00B62090" w:rsidP="00B62090">
      <w:r w:rsidRPr="00B62090">
        <w:lastRenderedPageBreak/>
        <w:t>The result: organizations move from spending engineering cycles on commodity problems — authentication, content management, CRM plumbing, billing — to spending them exclusively on the business logic that </w:t>
      </w:r>
      <w:proofErr w:type="gramStart"/>
      <w:r w:rsidRPr="00B62090">
        <w:t>actually differentiates</w:t>
      </w:r>
      <w:proofErr w:type="gramEnd"/>
      <w:r w:rsidRPr="00B62090">
        <w:t> them. This paper lays out the architecture, the roadmap, and the governance model that make that possible. </w:t>
      </w:r>
    </w:p>
    <w:p w14:paraId="535E481A" w14:textId="77777777" w:rsidR="00B62090" w:rsidRPr="00B62090" w:rsidRDefault="00B62090" w:rsidP="00B62090">
      <w:pPr>
        <w:pStyle w:val="Heading1"/>
      </w:pPr>
      <w:r w:rsidRPr="00B62090">
        <w:t>1. The Problem: Silos, Sprawl, and the Monolith Trap </w:t>
      </w:r>
    </w:p>
    <w:p w14:paraId="6300F30C" w14:textId="77777777" w:rsidR="00B62090" w:rsidRPr="00B62090" w:rsidRDefault="00B62090" w:rsidP="00B62090">
      <w:r w:rsidRPr="00B62090">
        <w:t>Enterprise software has offered a persistent, false choice for two decades: </w:t>
      </w:r>
    </w:p>
    <w:p w14:paraId="3678F8E3" w14:textId="77777777" w:rsidR="00B62090" w:rsidRPr="00B62090" w:rsidRDefault="00B62090" w:rsidP="00B62090">
      <w:pPr>
        <w:numPr>
          <w:ilvl w:val="0"/>
          <w:numId w:val="4"/>
        </w:numPr>
      </w:pPr>
      <w:r w:rsidRPr="00B62090">
        <w:t>Custom ground-up builds — maximum flexibility, but 12–</w:t>
      </w:r>
      <w:proofErr w:type="gramStart"/>
      <w:r w:rsidRPr="00B62090">
        <w:t>18 month</w:t>
      </w:r>
      <w:proofErr w:type="gramEnd"/>
      <w:r w:rsidRPr="00B62090">
        <w:t> timelines, high capital expenditure, and a permanent maintenance burden that grows with every feature shipped. </w:t>
      </w:r>
    </w:p>
    <w:p w14:paraId="59F0FB06" w14:textId="77777777" w:rsidR="00B62090" w:rsidRPr="00B62090" w:rsidRDefault="00B62090" w:rsidP="00B62090">
      <w:pPr>
        <w:numPr>
          <w:ilvl w:val="0"/>
          <w:numId w:val="5"/>
        </w:numPr>
      </w:pPr>
      <w:r w:rsidRPr="00B62090">
        <w:t>Off-the-shelf monoliths — fast initial deployment, but rigid data models, vendor lock-in, and customization costs that compound over time. </w:t>
      </w:r>
    </w:p>
    <w:p w14:paraId="0CDAF7DD" w14:textId="77777777" w:rsidR="00B62090" w:rsidRPr="00B62090" w:rsidRDefault="00B62090" w:rsidP="00B62090">
      <w:pPr>
        <w:numPr>
          <w:ilvl w:val="0"/>
          <w:numId w:val="6"/>
        </w:numPr>
      </w:pPr>
      <w:r w:rsidRPr="00B62090">
        <w:t>Uncoordinated SaaS sprawl — dozens of best-of-breed tools, each excellent in isolation, connected (if at all) by fragile point-to-point webhooks that break silently and multiply operational risk with every new integration. </w:t>
      </w:r>
    </w:p>
    <w:p w14:paraId="4763953A" w14:textId="77777777" w:rsidR="00B62090" w:rsidRPr="00B62090" w:rsidRDefault="00B62090" w:rsidP="00B62090">
      <w:r w:rsidRPr="00B62090">
        <w:t>PolySaaS resolves this by treating SaaS endpoints, DXP capabilities, and purpose-built microservices as modular, reusable building blocks, discovered automatically and joined by an intelligent orchestration layer — rather than assembled by hand, integration by integration. </w:t>
      </w:r>
    </w:p>
    <w:p w14:paraId="5260B7E6" w14:textId="77777777" w:rsidR="00B62090" w:rsidRPr="00B62090" w:rsidRDefault="00B62090" w:rsidP="00B62090">
      <w:r w:rsidRPr="00B62090">
        <w:rPr>
          <w:b/>
          <w:bCs/>
        </w:rPr>
        <w:t>Phase 1: </w:t>
      </w:r>
      <w:proofErr w:type="gramStart"/>
      <w:r w:rsidRPr="00B62090">
        <w:rPr>
          <w:b/>
          <w:bCs/>
        </w:rPr>
        <w:t>Silos</w:t>
      </w:r>
      <w:r w:rsidRPr="00B62090">
        <w:t>  →</w:t>
      </w:r>
      <w:proofErr w:type="gramEnd"/>
      <w:r w:rsidRPr="00B62090">
        <w:t>  </w:t>
      </w:r>
      <w:r w:rsidRPr="00B62090">
        <w:rPr>
          <w:b/>
          <w:bCs/>
        </w:rPr>
        <w:t>Phase 2: Point-to-Point </w:t>
      </w:r>
      <w:proofErr w:type="gramStart"/>
      <w:r w:rsidRPr="00B62090">
        <w:rPr>
          <w:b/>
          <w:bCs/>
        </w:rPr>
        <w:t>Webhooks</w:t>
      </w:r>
      <w:r w:rsidRPr="00B62090">
        <w:t>  →</w:t>
      </w:r>
      <w:proofErr w:type="gramEnd"/>
      <w:r w:rsidRPr="00B62090">
        <w:t>  </w:t>
      </w:r>
      <w:r w:rsidRPr="00B62090">
        <w:rPr>
          <w:b/>
          <w:bCs/>
        </w:rPr>
        <w:t>Phase 3: Composable PolySaaS Platform</w:t>
      </w:r>
      <w:r w:rsidRPr="00B62090">
        <w:t> </w:t>
      </w:r>
    </w:p>
    <w:p w14:paraId="637BC69F" w14:textId="77777777" w:rsidR="00B62090" w:rsidRPr="00B62090" w:rsidRDefault="00B62090" w:rsidP="00B62090">
      <w:pPr>
        <w:pStyle w:val="Heading1"/>
      </w:pPr>
      <w:r w:rsidRPr="00B62090">
        <w:t>2. Architectural Blueprint </w:t>
      </w:r>
    </w:p>
    <w:p w14:paraId="1E7FBA53" w14:textId="77777777" w:rsidR="00B62090" w:rsidRPr="00B62090" w:rsidRDefault="00B62090" w:rsidP="00B62090">
      <w:r w:rsidRPr="00B62090">
        <w:t>The platform separates concerns across five layers, minimizing coupling while maximizing development speed. Each layer can be adopted independently, which matters for enterprise buyers who want composability without a forklift migration. </w:t>
      </w:r>
    </w:p>
    <w:p w14:paraId="251BBF98" w14:textId="77777777" w:rsidR="00B62090" w:rsidRPr="00B62090" w:rsidRDefault="00B62090" w:rsidP="00B62090">
      <w:pPr>
        <w:pStyle w:val="Heading2"/>
      </w:pPr>
      <w:r w:rsidRPr="00B62090">
        <w:t>Layer 0 — Discovery (</w:t>
      </w:r>
      <w:proofErr w:type="spellStart"/>
      <w:r w:rsidRPr="00B62090">
        <w:t>PolySniffer</w:t>
      </w:r>
      <w:proofErr w:type="spellEnd"/>
      <w:r w:rsidRPr="00B62090">
        <w:t>) </w:t>
      </w:r>
    </w:p>
    <w:p w14:paraId="349201F6" w14:textId="77777777" w:rsidR="00B62090" w:rsidRPr="00B62090" w:rsidRDefault="00B62090" w:rsidP="00B62090">
      <w:r w:rsidRPr="00B62090">
        <w:t>Before anything can be composed, it </w:t>
      </w:r>
      <w:proofErr w:type="gramStart"/>
      <w:r w:rsidRPr="00B62090">
        <w:t>has to</w:t>
      </w:r>
      <w:proofErr w:type="gramEnd"/>
      <w:r w:rsidRPr="00B62090">
        <w:t> be found. </w:t>
      </w:r>
      <w:proofErr w:type="spellStart"/>
      <w:r w:rsidRPr="00B62090">
        <w:t>PolySniffer</w:t>
      </w:r>
      <w:proofErr w:type="spellEnd"/>
      <w:r w:rsidRPr="00B62090">
        <w:t> observes live traffic and API activity across an organization's existing SaaS estate to surface which endpoints, data flows, and processes are candidates for integration — replacing manual integration-mapping exercises that typically consume the first month of any enterprise rollout. </w:t>
      </w:r>
    </w:p>
    <w:p w14:paraId="606208BE" w14:textId="77777777" w:rsidR="00B62090" w:rsidRPr="00B62090" w:rsidRDefault="00B62090" w:rsidP="00B62090">
      <w:pPr>
        <w:pStyle w:val="Heading2"/>
      </w:pPr>
      <w:r w:rsidRPr="00B62090">
        <w:lastRenderedPageBreak/>
        <w:t>Layer 1 — Presentation &amp; Governance (Liferay + WordPress) </w:t>
      </w:r>
    </w:p>
    <w:p w14:paraId="2BF63AB7" w14:textId="77777777" w:rsidR="00B62090" w:rsidRPr="00B62090" w:rsidRDefault="00B62090" w:rsidP="00B62090">
      <w:r w:rsidRPr="00B62090">
        <w:t>Liferay is the core governance backbone of the platform, not an optional add-on. It provides role-based access control, multi-tenant administration, and portal workflow out of the box. The only variable is edition: Liferay Community Edition covers most deployments, while Liferay DXP is the upgrade path for clients requiring enterprise-grade SLAs, advanced analytics, and vendor-backed support — the underlying architecture and integration points are identical either way. WordPress sits on top as the high-speed, headless-capable content engine, letting non-technical teams iterate on frontend content without engineering sprints. </w:t>
      </w:r>
    </w:p>
    <w:p w14:paraId="20374238" w14:textId="77777777" w:rsidR="00B62090" w:rsidRPr="00B62090" w:rsidRDefault="00B62090" w:rsidP="00B62090">
      <w:pPr>
        <w:pStyle w:val="Heading2"/>
      </w:pPr>
      <w:r w:rsidRPr="00B62090">
        <w:t>Layer 2 — Dynamic Orchestration (Atomic Services) </w:t>
      </w:r>
    </w:p>
    <w:p w14:paraId="02F4199E" w14:textId="77777777" w:rsidR="00B62090" w:rsidRPr="00B62090" w:rsidRDefault="00B62090" w:rsidP="00B62090">
      <w:r w:rsidRPr="00B62090">
        <w:t>This is the brain of the platform. Atomic Services coordinates stateful, multi-step, asynchronous workflows across every discovered endpoint, with built-in retry logic and failure isolation comparable to patterns implemented via engines like Temporal or event brokers like Kafka — but purpose-built for the PolySaaS data model rather than bolted on. A federated API layer aggregates schemas from WordPress, any connected DXP, proprietary microservices, and external SaaS into a single graph the frontend can query. </w:t>
      </w:r>
    </w:p>
    <w:p w14:paraId="69876982" w14:textId="77777777" w:rsidR="00B62090" w:rsidRPr="00B62090" w:rsidRDefault="00B62090" w:rsidP="00B62090">
      <w:pPr>
        <w:pStyle w:val="Heading2"/>
      </w:pPr>
      <w:r w:rsidRPr="00B62090">
        <w:t>Layer 3 — Proprietary Microservices </w:t>
      </w:r>
    </w:p>
    <w:p w14:paraId="0AE79964" w14:textId="77777777" w:rsidR="00B62090" w:rsidRPr="00B62090" w:rsidRDefault="00B62090" w:rsidP="00B62090">
      <w:r w:rsidRPr="00B62090">
        <w:t>Custom code is deliberately scoped to high-value, domain-specific logic only — unique calculations, proprietary algorithms, and business rules that are genuinely differentiating. Everything else is delegated to Layers 0–2. </w:t>
      </w:r>
    </w:p>
    <w:p w14:paraId="71F450CA" w14:textId="77777777" w:rsidR="00B62090" w:rsidRPr="00B62090" w:rsidRDefault="00B62090" w:rsidP="00B62090">
      <w:pPr>
        <w:pStyle w:val="Heading2"/>
      </w:pPr>
      <w:r w:rsidRPr="00B62090">
        <w:t>Layer 4 — External Data &amp; SaaS Matrix </w:t>
      </w:r>
    </w:p>
    <w:p w14:paraId="44CC4FD1" w14:textId="77777777" w:rsidR="00B62090" w:rsidRPr="00B62090" w:rsidRDefault="00B62090" w:rsidP="00B62090">
      <w:r w:rsidRPr="00B62090">
        <w:t>Enterprise SaaS (Salesforce, SAP), third-party APIs (Stripe, Twilio), and legacy </w:t>
      </w:r>
      <w:proofErr w:type="gramStart"/>
      <w:r w:rsidRPr="00B62090">
        <w:t>on-premise</w:t>
      </w:r>
      <w:proofErr w:type="gramEnd"/>
      <w:r w:rsidRPr="00B62090">
        <w:t> databases sit behind standardized endpoints. Because Atomic Services abstracts these connections, individual services can be swapped — a new CRM, a new payment processor — without touching the frontend. </w:t>
      </w:r>
    </w:p>
    <w:p w14:paraId="6D1ED745" w14:textId="77777777" w:rsidR="00B62090" w:rsidRPr="00B62090" w:rsidRDefault="00B62090" w:rsidP="00B62090">
      <w:r w:rsidRPr="00B62090">
        <w:t> </w:t>
      </w:r>
    </w:p>
    <w:p w14:paraId="533563CF" w14:textId="77777777" w:rsidR="00B62090" w:rsidRPr="00B62090" w:rsidRDefault="00B62090" w:rsidP="00B62090">
      <w:pPr>
        <w:pStyle w:val="Heading1"/>
      </w:pPr>
      <w:r w:rsidRPr="00B62090">
        <w:t>3. Comparative Architecture Matrix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2310"/>
        <w:gridCol w:w="2310"/>
        <w:gridCol w:w="2310"/>
      </w:tblGrid>
      <w:tr w:rsidR="00B62090" w:rsidRPr="00B62090" w14:paraId="4DD0A8AE" w14:textId="77777777">
        <w:trPr>
          <w:trHeight w:val="300"/>
        </w:trPr>
        <w:tc>
          <w:tcPr>
            <w:tcW w:w="2385" w:type="dxa"/>
            <w:tcBorders>
              <w:top w:val="single" w:sz="6" w:space="0" w:color="auto"/>
              <w:left w:val="single" w:sz="6" w:space="0" w:color="auto"/>
              <w:bottom w:val="single" w:sz="6" w:space="0" w:color="auto"/>
              <w:right w:val="single" w:sz="6" w:space="0" w:color="auto"/>
            </w:tcBorders>
            <w:shd w:val="clear" w:color="auto" w:fill="1F3864"/>
            <w:hideMark/>
          </w:tcPr>
          <w:p w14:paraId="4242CBD9" w14:textId="77777777" w:rsidR="00B62090" w:rsidRPr="00B62090" w:rsidRDefault="00B62090" w:rsidP="00B62090">
            <w:r w:rsidRPr="00B62090">
              <w:rPr>
                <w:b/>
                <w:bCs/>
              </w:rPr>
              <w:t>Dimension</w:t>
            </w:r>
            <w:r w:rsidRPr="00B62090">
              <w:t> </w:t>
            </w:r>
          </w:p>
        </w:tc>
        <w:tc>
          <w:tcPr>
            <w:tcW w:w="2310" w:type="dxa"/>
            <w:tcBorders>
              <w:top w:val="single" w:sz="6" w:space="0" w:color="auto"/>
              <w:left w:val="single" w:sz="6" w:space="0" w:color="auto"/>
              <w:bottom w:val="single" w:sz="6" w:space="0" w:color="auto"/>
              <w:right w:val="single" w:sz="6" w:space="0" w:color="auto"/>
            </w:tcBorders>
            <w:shd w:val="clear" w:color="auto" w:fill="1F3864"/>
            <w:hideMark/>
          </w:tcPr>
          <w:p w14:paraId="179320E5" w14:textId="77777777" w:rsidR="00B62090" w:rsidRPr="00B62090" w:rsidRDefault="00B62090" w:rsidP="00B62090">
            <w:r w:rsidRPr="00B62090">
              <w:rPr>
                <w:b/>
                <w:bCs/>
              </w:rPr>
              <w:t>Custom Build</w:t>
            </w:r>
            <w:r w:rsidRPr="00B62090">
              <w:t> </w:t>
            </w:r>
          </w:p>
        </w:tc>
        <w:tc>
          <w:tcPr>
            <w:tcW w:w="2310" w:type="dxa"/>
            <w:tcBorders>
              <w:top w:val="single" w:sz="6" w:space="0" w:color="auto"/>
              <w:left w:val="single" w:sz="6" w:space="0" w:color="auto"/>
              <w:bottom w:val="single" w:sz="6" w:space="0" w:color="auto"/>
              <w:right w:val="single" w:sz="6" w:space="0" w:color="auto"/>
            </w:tcBorders>
            <w:shd w:val="clear" w:color="auto" w:fill="1F3864"/>
            <w:hideMark/>
          </w:tcPr>
          <w:p w14:paraId="0261BB99" w14:textId="77777777" w:rsidR="00B62090" w:rsidRPr="00B62090" w:rsidRDefault="00B62090" w:rsidP="00B62090">
            <w:r w:rsidRPr="00B62090">
              <w:rPr>
                <w:b/>
                <w:bCs/>
              </w:rPr>
              <w:t>Single-Vendor Monolith</w:t>
            </w:r>
            <w:r w:rsidRPr="00B62090">
              <w:t> </w:t>
            </w:r>
          </w:p>
        </w:tc>
        <w:tc>
          <w:tcPr>
            <w:tcW w:w="2310" w:type="dxa"/>
            <w:tcBorders>
              <w:top w:val="single" w:sz="6" w:space="0" w:color="auto"/>
              <w:left w:val="single" w:sz="6" w:space="0" w:color="auto"/>
              <w:bottom w:val="single" w:sz="6" w:space="0" w:color="auto"/>
              <w:right w:val="single" w:sz="6" w:space="0" w:color="auto"/>
            </w:tcBorders>
            <w:shd w:val="clear" w:color="auto" w:fill="0E7C86"/>
            <w:hideMark/>
          </w:tcPr>
          <w:p w14:paraId="7A669E37" w14:textId="77777777" w:rsidR="00B62090" w:rsidRPr="00B62090" w:rsidRDefault="00B62090" w:rsidP="00B62090">
            <w:r w:rsidRPr="00B62090">
              <w:rPr>
                <w:b/>
                <w:bCs/>
              </w:rPr>
              <w:t>PolySaaS Platform</w:t>
            </w:r>
            <w:r w:rsidRPr="00B62090">
              <w:t> </w:t>
            </w:r>
          </w:p>
        </w:tc>
      </w:tr>
      <w:tr w:rsidR="00B62090" w:rsidRPr="00B62090" w14:paraId="11E26D30" w14:textId="77777777">
        <w:trPr>
          <w:trHeight w:val="300"/>
        </w:trPr>
        <w:tc>
          <w:tcPr>
            <w:tcW w:w="2385" w:type="dxa"/>
            <w:tcBorders>
              <w:top w:val="single" w:sz="6" w:space="0" w:color="auto"/>
              <w:left w:val="single" w:sz="6" w:space="0" w:color="auto"/>
              <w:bottom w:val="single" w:sz="6" w:space="0" w:color="auto"/>
              <w:right w:val="single" w:sz="6" w:space="0" w:color="auto"/>
            </w:tcBorders>
            <w:shd w:val="clear" w:color="auto" w:fill="F2F2F2"/>
            <w:hideMark/>
          </w:tcPr>
          <w:p w14:paraId="58E3FFFD" w14:textId="77777777" w:rsidR="00B62090" w:rsidRPr="00B62090" w:rsidRDefault="00B62090" w:rsidP="00B62090">
            <w:r w:rsidRPr="00B62090">
              <w:t>Time to Market </w:t>
            </w:r>
          </w:p>
        </w:tc>
        <w:tc>
          <w:tcPr>
            <w:tcW w:w="2310" w:type="dxa"/>
            <w:tcBorders>
              <w:top w:val="single" w:sz="6" w:space="0" w:color="auto"/>
              <w:left w:val="single" w:sz="6" w:space="0" w:color="auto"/>
              <w:bottom w:val="single" w:sz="6" w:space="0" w:color="auto"/>
              <w:right w:val="single" w:sz="6" w:space="0" w:color="auto"/>
            </w:tcBorders>
            <w:shd w:val="clear" w:color="auto" w:fill="262626"/>
            <w:hideMark/>
          </w:tcPr>
          <w:p w14:paraId="3DE07283" w14:textId="77777777" w:rsidR="00B62090" w:rsidRPr="00B62090" w:rsidRDefault="00B62090" w:rsidP="00B62090">
            <w:r w:rsidRPr="00B62090">
              <w:t>12–18 months </w:t>
            </w:r>
          </w:p>
        </w:tc>
        <w:tc>
          <w:tcPr>
            <w:tcW w:w="2310" w:type="dxa"/>
            <w:tcBorders>
              <w:top w:val="single" w:sz="6" w:space="0" w:color="auto"/>
              <w:left w:val="single" w:sz="6" w:space="0" w:color="auto"/>
              <w:bottom w:val="single" w:sz="6" w:space="0" w:color="auto"/>
              <w:right w:val="single" w:sz="6" w:space="0" w:color="auto"/>
            </w:tcBorders>
            <w:shd w:val="clear" w:color="auto" w:fill="262626"/>
            <w:hideMark/>
          </w:tcPr>
          <w:p w14:paraId="6695F11E" w14:textId="77777777" w:rsidR="00B62090" w:rsidRPr="00B62090" w:rsidRDefault="00B62090" w:rsidP="00B62090">
            <w:r w:rsidRPr="00B62090">
              <w:t>3–6 months </w:t>
            </w:r>
          </w:p>
        </w:tc>
        <w:tc>
          <w:tcPr>
            <w:tcW w:w="2310" w:type="dxa"/>
            <w:tcBorders>
              <w:top w:val="single" w:sz="6" w:space="0" w:color="auto"/>
              <w:left w:val="single" w:sz="6" w:space="0" w:color="auto"/>
              <w:bottom w:val="single" w:sz="6" w:space="0" w:color="auto"/>
              <w:right w:val="single" w:sz="6" w:space="0" w:color="auto"/>
            </w:tcBorders>
            <w:shd w:val="clear" w:color="auto" w:fill="262626"/>
            <w:hideMark/>
          </w:tcPr>
          <w:p w14:paraId="214FEA76" w14:textId="77777777" w:rsidR="00B62090" w:rsidRPr="00B62090" w:rsidRDefault="00B62090" w:rsidP="00B62090">
            <w:r w:rsidRPr="00B62090">
              <w:rPr>
                <w:b/>
                <w:bCs/>
              </w:rPr>
              <w:t>4–8 weeks</w:t>
            </w:r>
            <w:r w:rsidRPr="00B62090">
              <w:t> </w:t>
            </w:r>
          </w:p>
        </w:tc>
      </w:tr>
      <w:tr w:rsidR="00B62090" w:rsidRPr="00B62090" w14:paraId="189C112D" w14:textId="77777777">
        <w:trPr>
          <w:trHeight w:val="300"/>
        </w:trPr>
        <w:tc>
          <w:tcPr>
            <w:tcW w:w="2385" w:type="dxa"/>
            <w:tcBorders>
              <w:top w:val="single" w:sz="6" w:space="0" w:color="auto"/>
              <w:left w:val="single" w:sz="6" w:space="0" w:color="auto"/>
              <w:bottom w:val="single" w:sz="6" w:space="0" w:color="auto"/>
              <w:right w:val="single" w:sz="6" w:space="0" w:color="auto"/>
            </w:tcBorders>
            <w:shd w:val="clear" w:color="auto" w:fill="F2F2F2"/>
            <w:hideMark/>
          </w:tcPr>
          <w:p w14:paraId="36838662" w14:textId="77777777" w:rsidR="00B62090" w:rsidRPr="00B62090" w:rsidRDefault="00B62090" w:rsidP="00B62090">
            <w:r w:rsidRPr="00B62090">
              <w:lastRenderedPageBreak/>
              <w:t>Auth &amp; RBAC </w:t>
            </w:r>
          </w:p>
        </w:tc>
        <w:tc>
          <w:tcPr>
            <w:tcW w:w="2310" w:type="dxa"/>
            <w:tcBorders>
              <w:top w:val="single" w:sz="6" w:space="0" w:color="auto"/>
              <w:left w:val="single" w:sz="6" w:space="0" w:color="auto"/>
              <w:bottom w:val="single" w:sz="6" w:space="0" w:color="auto"/>
              <w:right w:val="single" w:sz="6" w:space="0" w:color="auto"/>
            </w:tcBorders>
            <w:shd w:val="clear" w:color="auto" w:fill="262626"/>
            <w:hideMark/>
          </w:tcPr>
          <w:p w14:paraId="6EC71D10" w14:textId="77777777" w:rsidR="00B62090" w:rsidRPr="00B62090" w:rsidRDefault="00B62090" w:rsidP="00B62090">
            <w:r w:rsidRPr="00B62090">
              <w:t>Built from scratch </w:t>
            </w:r>
          </w:p>
        </w:tc>
        <w:tc>
          <w:tcPr>
            <w:tcW w:w="2310" w:type="dxa"/>
            <w:tcBorders>
              <w:top w:val="single" w:sz="6" w:space="0" w:color="auto"/>
              <w:left w:val="single" w:sz="6" w:space="0" w:color="auto"/>
              <w:bottom w:val="single" w:sz="6" w:space="0" w:color="auto"/>
              <w:right w:val="single" w:sz="6" w:space="0" w:color="auto"/>
            </w:tcBorders>
            <w:shd w:val="clear" w:color="auto" w:fill="262626"/>
            <w:hideMark/>
          </w:tcPr>
          <w:p w14:paraId="67B2E93E" w14:textId="77777777" w:rsidR="00B62090" w:rsidRPr="00B62090" w:rsidRDefault="00B62090" w:rsidP="00B62090">
            <w:r w:rsidRPr="00B62090">
              <w:t>Native, vendor-locked </w:t>
            </w:r>
          </w:p>
        </w:tc>
        <w:tc>
          <w:tcPr>
            <w:tcW w:w="2310" w:type="dxa"/>
            <w:tcBorders>
              <w:top w:val="single" w:sz="6" w:space="0" w:color="auto"/>
              <w:left w:val="single" w:sz="6" w:space="0" w:color="auto"/>
              <w:bottom w:val="single" w:sz="6" w:space="0" w:color="auto"/>
              <w:right w:val="single" w:sz="6" w:space="0" w:color="auto"/>
            </w:tcBorders>
            <w:shd w:val="clear" w:color="auto" w:fill="262626"/>
            <w:hideMark/>
          </w:tcPr>
          <w:p w14:paraId="55AAE83B" w14:textId="77777777" w:rsidR="00B62090" w:rsidRPr="00B62090" w:rsidRDefault="00B62090" w:rsidP="00B62090">
            <w:r w:rsidRPr="00B62090">
              <w:rPr>
                <w:b/>
                <w:bCs/>
              </w:rPr>
              <w:t>Delegated to Liferay (CE or DXP)</w:t>
            </w:r>
            <w:r w:rsidRPr="00B62090">
              <w:t> </w:t>
            </w:r>
          </w:p>
        </w:tc>
      </w:tr>
      <w:tr w:rsidR="00B62090" w:rsidRPr="00B62090" w14:paraId="1BD281F7" w14:textId="77777777">
        <w:trPr>
          <w:trHeight w:val="300"/>
        </w:trPr>
        <w:tc>
          <w:tcPr>
            <w:tcW w:w="2385" w:type="dxa"/>
            <w:tcBorders>
              <w:top w:val="single" w:sz="6" w:space="0" w:color="auto"/>
              <w:left w:val="single" w:sz="6" w:space="0" w:color="auto"/>
              <w:bottom w:val="single" w:sz="6" w:space="0" w:color="auto"/>
              <w:right w:val="single" w:sz="6" w:space="0" w:color="auto"/>
            </w:tcBorders>
            <w:shd w:val="clear" w:color="auto" w:fill="F2F2F2"/>
            <w:hideMark/>
          </w:tcPr>
          <w:p w14:paraId="364BBAD9" w14:textId="77777777" w:rsidR="00B62090" w:rsidRPr="00B62090" w:rsidRDefault="00B62090" w:rsidP="00B62090">
            <w:r w:rsidRPr="00B62090">
              <w:t>Content Operations </w:t>
            </w:r>
          </w:p>
        </w:tc>
        <w:tc>
          <w:tcPr>
            <w:tcW w:w="2310" w:type="dxa"/>
            <w:tcBorders>
              <w:top w:val="single" w:sz="6" w:space="0" w:color="auto"/>
              <w:left w:val="single" w:sz="6" w:space="0" w:color="auto"/>
              <w:bottom w:val="single" w:sz="6" w:space="0" w:color="auto"/>
              <w:right w:val="single" w:sz="6" w:space="0" w:color="auto"/>
            </w:tcBorders>
            <w:shd w:val="clear" w:color="auto" w:fill="262626"/>
            <w:hideMark/>
          </w:tcPr>
          <w:p w14:paraId="124BE5F6" w14:textId="77777777" w:rsidR="00B62090" w:rsidRPr="00B62090" w:rsidRDefault="00B62090" w:rsidP="00B62090">
            <w:r w:rsidRPr="00B62090">
              <w:t>Custom CMS / static </w:t>
            </w:r>
          </w:p>
        </w:tc>
        <w:tc>
          <w:tcPr>
            <w:tcW w:w="2310" w:type="dxa"/>
            <w:tcBorders>
              <w:top w:val="single" w:sz="6" w:space="0" w:color="auto"/>
              <w:left w:val="single" w:sz="6" w:space="0" w:color="auto"/>
              <w:bottom w:val="single" w:sz="6" w:space="0" w:color="auto"/>
              <w:right w:val="single" w:sz="6" w:space="0" w:color="auto"/>
            </w:tcBorders>
            <w:shd w:val="clear" w:color="auto" w:fill="262626"/>
            <w:hideMark/>
          </w:tcPr>
          <w:p w14:paraId="04C1BAA7" w14:textId="77777777" w:rsidR="00B62090" w:rsidRPr="00B62090" w:rsidRDefault="00B62090" w:rsidP="00B62090">
            <w:r w:rsidRPr="00B62090">
              <w:t>Proprietary CMS </w:t>
            </w:r>
          </w:p>
        </w:tc>
        <w:tc>
          <w:tcPr>
            <w:tcW w:w="2310" w:type="dxa"/>
            <w:tcBorders>
              <w:top w:val="single" w:sz="6" w:space="0" w:color="auto"/>
              <w:left w:val="single" w:sz="6" w:space="0" w:color="auto"/>
              <w:bottom w:val="single" w:sz="6" w:space="0" w:color="auto"/>
              <w:right w:val="single" w:sz="6" w:space="0" w:color="auto"/>
            </w:tcBorders>
            <w:shd w:val="clear" w:color="auto" w:fill="262626"/>
            <w:hideMark/>
          </w:tcPr>
          <w:p w14:paraId="1722598F" w14:textId="77777777" w:rsidR="00B62090" w:rsidRPr="00B62090" w:rsidRDefault="00B62090" w:rsidP="00B62090">
            <w:r w:rsidRPr="00B62090">
              <w:rPr>
                <w:b/>
                <w:bCs/>
              </w:rPr>
              <w:t>Decoupled engine (WordPress)</w:t>
            </w:r>
            <w:r w:rsidRPr="00B62090">
              <w:t> </w:t>
            </w:r>
          </w:p>
        </w:tc>
      </w:tr>
      <w:tr w:rsidR="00B62090" w:rsidRPr="00B62090" w14:paraId="550C4D66" w14:textId="77777777">
        <w:trPr>
          <w:trHeight w:val="300"/>
        </w:trPr>
        <w:tc>
          <w:tcPr>
            <w:tcW w:w="2385" w:type="dxa"/>
            <w:tcBorders>
              <w:top w:val="single" w:sz="6" w:space="0" w:color="auto"/>
              <w:left w:val="single" w:sz="6" w:space="0" w:color="auto"/>
              <w:bottom w:val="single" w:sz="6" w:space="0" w:color="auto"/>
              <w:right w:val="single" w:sz="6" w:space="0" w:color="auto"/>
            </w:tcBorders>
            <w:shd w:val="clear" w:color="auto" w:fill="F2F2F2"/>
            <w:hideMark/>
          </w:tcPr>
          <w:p w14:paraId="75D0B15A" w14:textId="77777777" w:rsidR="00B62090" w:rsidRPr="00B62090" w:rsidRDefault="00B62090" w:rsidP="00B62090">
            <w:r w:rsidRPr="00B62090">
              <w:t>Integration Discovery </w:t>
            </w:r>
          </w:p>
        </w:tc>
        <w:tc>
          <w:tcPr>
            <w:tcW w:w="2310" w:type="dxa"/>
            <w:tcBorders>
              <w:top w:val="single" w:sz="6" w:space="0" w:color="auto"/>
              <w:left w:val="single" w:sz="6" w:space="0" w:color="auto"/>
              <w:bottom w:val="single" w:sz="6" w:space="0" w:color="auto"/>
              <w:right w:val="single" w:sz="6" w:space="0" w:color="auto"/>
            </w:tcBorders>
            <w:shd w:val="clear" w:color="auto" w:fill="262626"/>
            <w:hideMark/>
          </w:tcPr>
          <w:p w14:paraId="6230B49E" w14:textId="77777777" w:rsidR="00B62090" w:rsidRPr="00B62090" w:rsidRDefault="00B62090" w:rsidP="00B62090">
            <w:r w:rsidRPr="00B62090">
              <w:t>Manual mapping </w:t>
            </w:r>
          </w:p>
        </w:tc>
        <w:tc>
          <w:tcPr>
            <w:tcW w:w="2310" w:type="dxa"/>
            <w:tcBorders>
              <w:top w:val="single" w:sz="6" w:space="0" w:color="auto"/>
              <w:left w:val="single" w:sz="6" w:space="0" w:color="auto"/>
              <w:bottom w:val="single" w:sz="6" w:space="0" w:color="auto"/>
              <w:right w:val="single" w:sz="6" w:space="0" w:color="auto"/>
            </w:tcBorders>
            <w:shd w:val="clear" w:color="auto" w:fill="262626"/>
            <w:hideMark/>
          </w:tcPr>
          <w:p w14:paraId="018DF309" w14:textId="77777777" w:rsidR="00B62090" w:rsidRPr="00B62090" w:rsidRDefault="00B62090" w:rsidP="00B62090">
            <w:r w:rsidRPr="00B62090">
              <w:t>Vendor connector catalog only </w:t>
            </w:r>
          </w:p>
        </w:tc>
        <w:tc>
          <w:tcPr>
            <w:tcW w:w="2310" w:type="dxa"/>
            <w:tcBorders>
              <w:top w:val="single" w:sz="6" w:space="0" w:color="auto"/>
              <w:left w:val="single" w:sz="6" w:space="0" w:color="auto"/>
              <w:bottom w:val="single" w:sz="6" w:space="0" w:color="auto"/>
              <w:right w:val="single" w:sz="6" w:space="0" w:color="auto"/>
            </w:tcBorders>
            <w:shd w:val="clear" w:color="auto" w:fill="262626"/>
            <w:hideMark/>
          </w:tcPr>
          <w:p w14:paraId="3DB14762" w14:textId="77777777" w:rsidR="00B62090" w:rsidRPr="00B62090" w:rsidRDefault="00B62090" w:rsidP="00B62090">
            <w:r w:rsidRPr="00B62090">
              <w:rPr>
                <w:b/>
                <w:bCs/>
              </w:rPr>
              <w:t>Automated (</w:t>
            </w:r>
            <w:proofErr w:type="spellStart"/>
            <w:r w:rsidRPr="00B62090">
              <w:rPr>
                <w:b/>
                <w:bCs/>
              </w:rPr>
              <w:t>PolySniffer</w:t>
            </w:r>
            <w:proofErr w:type="spellEnd"/>
            <w:r w:rsidRPr="00B62090">
              <w:rPr>
                <w:b/>
                <w:bCs/>
              </w:rPr>
              <w:t>)</w:t>
            </w:r>
            <w:r w:rsidRPr="00B62090">
              <w:t> </w:t>
            </w:r>
          </w:p>
        </w:tc>
      </w:tr>
      <w:tr w:rsidR="00B62090" w:rsidRPr="00B62090" w14:paraId="1E2E23BE" w14:textId="77777777">
        <w:trPr>
          <w:trHeight w:val="300"/>
        </w:trPr>
        <w:tc>
          <w:tcPr>
            <w:tcW w:w="2385" w:type="dxa"/>
            <w:tcBorders>
              <w:top w:val="single" w:sz="6" w:space="0" w:color="auto"/>
              <w:left w:val="single" w:sz="6" w:space="0" w:color="auto"/>
              <w:bottom w:val="single" w:sz="6" w:space="0" w:color="auto"/>
              <w:right w:val="single" w:sz="6" w:space="0" w:color="auto"/>
            </w:tcBorders>
            <w:shd w:val="clear" w:color="auto" w:fill="F2F2F2"/>
            <w:hideMark/>
          </w:tcPr>
          <w:p w14:paraId="54021C58" w14:textId="77777777" w:rsidR="00B62090" w:rsidRPr="00B62090" w:rsidRDefault="00B62090" w:rsidP="00B62090">
            <w:r w:rsidRPr="00B62090">
              <w:t>System Resiliency </w:t>
            </w:r>
          </w:p>
        </w:tc>
        <w:tc>
          <w:tcPr>
            <w:tcW w:w="2310" w:type="dxa"/>
            <w:tcBorders>
              <w:top w:val="single" w:sz="6" w:space="0" w:color="auto"/>
              <w:left w:val="single" w:sz="6" w:space="0" w:color="auto"/>
              <w:bottom w:val="single" w:sz="6" w:space="0" w:color="auto"/>
              <w:right w:val="single" w:sz="6" w:space="0" w:color="auto"/>
            </w:tcBorders>
            <w:shd w:val="clear" w:color="auto" w:fill="262626"/>
            <w:hideMark/>
          </w:tcPr>
          <w:p w14:paraId="70063116" w14:textId="77777777" w:rsidR="00B62090" w:rsidRPr="00B62090" w:rsidRDefault="00B62090" w:rsidP="00B62090">
            <w:r w:rsidRPr="00B62090">
              <w:t>Dependent on infra team </w:t>
            </w:r>
          </w:p>
        </w:tc>
        <w:tc>
          <w:tcPr>
            <w:tcW w:w="2310" w:type="dxa"/>
            <w:tcBorders>
              <w:top w:val="single" w:sz="6" w:space="0" w:color="auto"/>
              <w:left w:val="single" w:sz="6" w:space="0" w:color="auto"/>
              <w:bottom w:val="single" w:sz="6" w:space="0" w:color="auto"/>
              <w:right w:val="single" w:sz="6" w:space="0" w:color="auto"/>
            </w:tcBorders>
            <w:shd w:val="clear" w:color="auto" w:fill="262626"/>
            <w:hideMark/>
          </w:tcPr>
          <w:p w14:paraId="38960005" w14:textId="77777777" w:rsidR="00B62090" w:rsidRPr="00B62090" w:rsidRDefault="00B62090" w:rsidP="00B62090">
            <w:r w:rsidRPr="00B62090">
              <w:t>Vendor dependent </w:t>
            </w:r>
          </w:p>
        </w:tc>
        <w:tc>
          <w:tcPr>
            <w:tcW w:w="2310" w:type="dxa"/>
            <w:tcBorders>
              <w:top w:val="single" w:sz="6" w:space="0" w:color="auto"/>
              <w:left w:val="single" w:sz="6" w:space="0" w:color="auto"/>
              <w:bottom w:val="single" w:sz="6" w:space="0" w:color="auto"/>
              <w:right w:val="single" w:sz="6" w:space="0" w:color="auto"/>
            </w:tcBorders>
            <w:shd w:val="clear" w:color="auto" w:fill="262626"/>
            <w:hideMark/>
          </w:tcPr>
          <w:p w14:paraId="6D8B905D" w14:textId="77777777" w:rsidR="00B62090" w:rsidRPr="00B62090" w:rsidRDefault="00B62090" w:rsidP="00B62090">
            <w:r w:rsidRPr="00B62090">
              <w:rPr>
                <w:b/>
                <w:bCs/>
              </w:rPr>
              <w:t>Fault-isolated via Atomic Services</w:t>
            </w:r>
            <w:r w:rsidRPr="00B62090">
              <w:t> </w:t>
            </w:r>
          </w:p>
        </w:tc>
      </w:tr>
      <w:tr w:rsidR="00B62090" w:rsidRPr="00B62090" w14:paraId="4B59D8E4" w14:textId="77777777">
        <w:trPr>
          <w:trHeight w:val="300"/>
        </w:trPr>
        <w:tc>
          <w:tcPr>
            <w:tcW w:w="2385" w:type="dxa"/>
            <w:tcBorders>
              <w:top w:val="single" w:sz="6" w:space="0" w:color="auto"/>
              <w:left w:val="single" w:sz="6" w:space="0" w:color="auto"/>
              <w:bottom w:val="single" w:sz="6" w:space="0" w:color="auto"/>
              <w:right w:val="single" w:sz="6" w:space="0" w:color="auto"/>
            </w:tcBorders>
            <w:shd w:val="clear" w:color="auto" w:fill="F2F2F2"/>
            <w:hideMark/>
          </w:tcPr>
          <w:p w14:paraId="6B1DEF7C" w14:textId="77777777" w:rsidR="00B62090" w:rsidRPr="00B62090" w:rsidRDefault="00B62090" w:rsidP="00B62090">
            <w:r w:rsidRPr="00B62090">
              <w:t>Maintenance Burden </w:t>
            </w:r>
          </w:p>
        </w:tc>
        <w:tc>
          <w:tcPr>
            <w:tcW w:w="2310" w:type="dxa"/>
            <w:tcBorders>
              <w:top w:val="single" w:sz="6" w:space="0" w:color="auto"/>
              <w:left w:val="single" w:sz="6" w:space="0" w:color="auto"/>
              <w:bottom w:val="single" w:sz="6" w:space="0" w:color="auto"/>
              <w:right w:val="single" w:sz="6" w:space="0" w:color="auto"/>
            </w:tcBorders>
            <w:shd w:val="clear" w:color="auto" w:fill="262626"/>
            <w:hideMark/>
          </w:tcPr>
          <w:p w14:paraId="7679627A" w14:textId="77777777" w:rsidR="00B62090" w:rsidRPr="00B62090" w:rsidRDefault="00B62090" w:rsidP="00B62090">
            <w:r w:rsidRPr="00B62090">
              <w:t>High — full stack owned </w:t>
            </w:r>
          </w:p>
        </w:tc>
        <w:tc>
          <w:tcPr>
            <w:tcW w:w="2310" w:type="dxa"/>
            <w:tcBorders>
              <w:top w:val="single" w:sz="6" w:space="0" w:color="auto"/>
              <w:left w:val="single" w:sz="6" w:space="0" w:color="auto"/>
              <w:bottom w:val="single" w:sz="6" w:space="0" w:color="auto"/>
              <w:right w:val="single" w:sz="6" w:space="0" w:color="auto"/>
            </w:tcBorders>
            <w:shd w:val="clear" w:color="auto" w:fill="262626"/>
            <w:hideMark/>
          </w:tcPr>
          <w:p w14:paraId="29C3DB08" w14:textId="77777777" w:rsidR="00B62090" w:rsidRPr="00B62090" w:rsidRDefault="00B62090" w:rsidP="00B62090">
            <w:r w:rsidRPr="00B62090">
              <w:t>Low, but vendor-controlled </w:t>
            </w:r>
          </w:p>
        </w:tc>
        <w:tc>
          <w:tcPr>
            <w:tcW w:w="2310" w:type="dxa"/>
            <w:tcBorders>
              <w:top w:val="single" w:sz="6" w:space="0" w:color="auto"/>
              <w:left w:val="single" w:sz="6" w:space="0" w:color="auto"/>
              <w:bottom w:val="single" w:sz="6" w:space="0" w:color="auto"/>
              <w:right w:val="single" w:sz="6" w:space="0" w:color="auto"/>
            </w:tcBorders>
            <w:shd w:val="clear" w:color="auto" w:fill="262626"/>
            <w:hideMark/>
          </w:tcPr>
          <w:p w14:paraId="59B68D5C" w14:textId="77777777" w:rsidR="00B62090" w:rsidRPr="00B62090" w:rsidRDefault="00B62090" w:rsidP="00B62090">
            <w:r w:rsidRPr="00B62090">
              <w:rPr>
                <w:b/>
                <w:bCs/>
              </w:rPr>
              <w:t>Low — orchestration abstracts the rest</w:t>
            </w:r>
            <w:r w:rsidRPr="00B62090">
              <w:t> </w:t>
            </w:r>
          </w:p>
        </w:tc>
      </w:tr>
      <w:tr w:rsidR="00B62090" w:rsidRPr="00B62090" w14:paraId="1BDE503F" w14:textId="77777777">
        <w:trPr>
          <w:trHeight w:val="300"/>
        </w:trPr>
        <w:tc>
          <w:tcPr>
            <w:tcW w:w="2385" w:type="dxa"/>
            <w:tcBorders>
              <w:top w:val="single" w:sz="6" w:space="0" w:color="auto"/>
              <w:left w:val="single" w:sz="6" w:space="0" w:color="auto"/>
              <w:bottom w:val="single" w:sz="6" w:space="0" w:color="auto"/>
              <w:right w:val="single" w:sz="6" w:space="0" w:color="auto"/>
            </w:tcBorders>
            <w:shd w:val="clear" w:color="auto" w:fill="F2F2F2"/>
            <w:hideMark/>
          </w:tcPr>
          <w:p w14:paraId="50E26DD5" w14:textId="77777777" w:rsidR="00B62090" w:rsidRPr="00B62090" w:rsidRDefault="00B62090" w:rsidP="00B62090">
            <w:r w:rsidRPr="00B62090">
              <w:t>Vendor Exit Cost </w:t>
            </w:r>
          </w:p>
        </w:tc>
        <w:tc>
          <w:tcPr>
            <w:tcW w:w="2310" w:type="dxa"/>
            <w:tcBorders>
              <w:top w:val="single" w:sz="6" w:space="0" w:color="auto"/>
              <w:left w:val="single" w:sz="6" w:space="0" w:color="auto"/>
              <w:bottom w:val="single" w:sz="6" w:space="0" w:color="auto"/>
              <w:right w:val="single" w:sz="6" w:space="0" w:color="auto"/>
            </w:tcBorders>
            <w:shd w:val="clear" w:color="auto" w:fill="262626"/>
            <w:hideMark/>
          </w:tcPr>
          <w:p w14:paraId="199C5767" w14:textId="77777777" w:rsidR="00B62090" w:rsidRPr="00B62090" w:rsidRDefault="00B62090" w:rsidP="00B62090">
            <w:r w:rsidRPr="00B62090">
              <w:t>None — you own it </w:t>
            </w:r>
          </w:p>
        </w:tc>
        <w:tc>
          <w:tcPr>
            <w:tcW w:w="2310" w:type="dxa"/>
            <w:tcBorders>
              <w:top w:val="single" w:sz="6" w:space="0" w:color="auto"/>
              <w:left w:val="single" w:sz="6" w:space="0" w:color="auto"/>
              <w:bottom w:val="single" w:sz="6" w:space="0" w:color="auto"/>
              <w:right w:val="single" w:sz="6" w:space="0" w:color="auto"/>
            </w:tcBorders>
            <w:shd w:val="clear" w:color="auto" w:fill="262626"/>
            <w:hideMark/>
          </w:tcPr>
          <w:p w14:paraId="1DD1C7C9" w14:textId="77777777" w:rsidR="00B62090" w:rsidRPr="00B62090" w:rsidRDefault="00B62090" w:rsidP="00B62090">
            <w:r w:rsidRPr="00B62090">
              <w:t>Very high </w:t>
            </w:r>
          </w:p>
        </w:tc>
        <w:tc>
          <w:tcPr>
            <w:tcW w:w="2310" w:type="dxa"/>
            <w:tcBorders>
              <w:top w:val="single" w:sz="6" w:space="0" w:color="auto"/>
              <w:left w:val="single" w:sz="6" w:space="0" w:color="auto"/>
              <w:bottom w:val="single" w:sz="6" w:space="0" w:color="auto"/>
              <w:right w:val="single" w:sz="6" w:space="0" w:color="auto"/>
            </w:tcBorders>
            <w:shd w:val="clear" w:color="auto" w:fill="262626"/>
            <w:hideMark/>
          </w:tcPr>
          <w:p w14:paraId="13EA3ACC" w14:textId="77777777" w:rsidR="00B62090" w:rsidRPr="00B62090" w:rsidRDefault="00B62090" w:rsidP="00B62090">
            <w:r w:rsidRPr="00B62090">
              <w:rPr>
                <w:b/>
                <w:bCs/>
              </w:rPr>
              <w:t>Low — swap the adapter, not the app</w:t>
            </w:r>
            <w:r w:rsidRPr="00B62090">
              <w:t> </w:t>
            </w:r>
          </w:p>
        </w:tc>
      </w:tr>
    </w:tbl>
    <w:p w14:paraId="3AB933D7" w14:textId="77777777" w:rsidR="00B62090" w:rsidRPr="00B62090" w:rsidRDefault="00B62090" w:rsidP="00B62090">
      <w:pPr>
        <w:pStyle w:val="Heading1"/>
      </w:pPr>
      <w:r w:rsidRPr="00B62090">
        <w:t>4. Key Enterprise Benefits </w:t>
      </w:r>
    </w:p>
    <w:p w14:paraId="6E06865C" w14:textId="77777777" w:rsidR="00B62090" w:rsidRPr="00B62090" w:rsidRDefault="00B62090" w:rsidP="00B62090">
      <w:r w:rsidRPr="00B62090">
        <w:rPr>
          <w:i/>
          <w:iCs/>
        </w:rPr>
        <w:t>PolySaaS delegates commodity software problems — auth, content management, CRM, billing — to specialized layers, so enterprise engineering time is spent entirely on orchestration and the business logic that </w:t>
      </w:r>
      <w:proofErr w:type="gramStart"/>
      <w:r w:rsidRPr="00B62090">
        <w:rPr>
          <w:i/>
          <w:iCs/>
        </w:rPr>
        <w:t>actually differentiates</w:t>
      </w:r>
      <w:proofErr w:type="gramEnd"/>
      <w:r w:rsidRPr="00B62090">
        <w:rPr>
          <w:i/>
          <w:iCs/>
        </w:rPr>
        <w:t> the organization.</w:t>
      </w:r>
      <w:r w:rsidRPr="00B62090">
        <w:t> </w:t>
      </w:r>
    </w:p>
    <w:p w14:paraId="0B5D6DAA" w14:textId="77777777" w:rsidR="00B62090" w:rsidRPr="00B62090" w:rsidRDefault="00B62090" w:rsidP="00B62090">
      <w:pPr>
        <w:numPr>
          <w:ilvl w:val="0"/>
          <w:numId w:val="7"/>
        </w:numPr>
      </w:pPr>
      <w:r w:rsidRPr="00B62090">
        <w:t>Unmatched speed to market — launch enterprise-grade applications in weeks by reusing discovered SaaS endpoints and pre-built orchestration patterns rather than custom-coding each integration. </w:t>
      </w:r>
    </w:p>
    <w:p w14:paraId="1A44B826" w14:textId="77777777" w:rsidR="00B62090" w:rsidRPr="00B62090" w:rsidRDefault="00B62090" w:rsidP="00B62090">
      <w:pPr>
        <w:numPr>
          <w:ilvl w:val="0"/>
          <w:numId w:val="8"/>
        </w:numPr>
      </w:pPr>
      <w:r w:rsidRPr="00B62090">
        <w:t>Reduced architectural risk — replacing a backend SaaS tool (a new CRM, a new payment gateway) means updating one adapter inside Atomic Services, not rebuilding the application. </w:t>
      </w:r>
    </w:p>
    <w:p w14:paraId="595955C8" w14:textId="77777777" w:rsidR="00B62090" w:rsidRPr="00B62090" w:rsidRDefault="00B62090" w:rsidP="00B62090">
      <w:pPr>
        <w:numPr>
          <w:ilvl w:val="0"/>
          <w:numId w:val="9"/>
        </w:numPr>
      </w:pPr>
      <w:r w:rsidRPr="00B62090">
        <w:t>Enterprise security posture — governance and </w:t>
      </w:r>
      <w:proofErr w:type="spellStart"/>
      <w:r w:rsidRPr="00B62090">
        <w:t>permissioning</w:t>
      </w:r>
      <w:proofErr w:type="spellEnd"/>
      <w:r w:rsidRPr="00B62090">
        <w:t xml:space="preserve"> live in a proven presentation layer rather than being reinvented </w:t>
      </w:r>
      <w:proofErr w:type="gramStart"/>
      <w:r w:rsidRPr="00B62090">
        <w:t>per</w:t>
      </w:r>
      <w:proofErr w:type="gramEnd"/>
      <w:r w:rsidRPr="00B62090">
        <w:t xml:space="preserve"> application. </w:t>
      </w:r>
    </w:p>
    <w:p w14:paraId="533CBA8A" w14:textId="77777777" w:rsidR="00B62090" w:rsidRPr="00B62090" w:rsidRDefault="00B62090" w:rsidP="00B62090">
      <w:pPr>
        <w:numPr>
          <w:ilvl w:val="0"/>
          <w:numId w:val="10"/>
        </w:numPr>
      </w:pPr>
      <w:r w:rsidRPr="00B62090">
        <w:t>Developer productivity — frontend developers work against a single federated API; backend engineers focus only on genuinely custom microservices; content teams work directly in WordPress with no engineering dependency. </w:t>
      </w:r>
    </w:p>
    <w:p w14:paraId="5BCD14A7" w14:textId="77777777" w:rsidR="00B62090" w:rsidRPr="00B62090" w:rsidRDefault="00B62090" w:rsidP="00B62090">
      <w:pPr>
        <w:pStyle w:val="Heading1"/>
      </w:pPr>
      <w:r w:rsidRPr="00B62090">
        <w:lastRenderedPageBreak/>
        <w:t>5. Risk, Governance &amp; Vendor Exit </w:t>
      </w:r>
    </w:p>
    <w:p w14:paraId="659E204F" w14:textId="77777777" w:rsidR="00B62090" w:rsidRPr="00B62090" w:rsidRDefault="00B62090" w:rsidP="00B62090">
      <w:r w:rsidRPr="00B62090">
        <w:t>Enterprise buyers evaluating any composable platform will ask three questions before adoption: what happens when a component fails, what happens when we need to leave, and who is accountable for security across the seams. This architecture is designed to answer all three directly, rather than treating them as an afterthought. </w:t>
      </w:r>
    </w:p>
    <w:p w14:paraId="7E4A6823" w14:textId="77777777" w:rsidR="00B62090" w:rsidRPr="00B62090" w:rsidRDefault="00B62090" w:rsidP="00B62090">
      <w:pPr>
        <w:numPr>
          <w:ilvl w:val="0"/>
          <w:numId w:val="11"/>
        </w:numPr>
      </w:pPr>
      <w:r w:rsidRPr="00B62090">
        <w:t>Failure isolation: because Atomic Services orchestrates rather than embeds, a failure in one connected SaaS tool degrades gracefully instead of cascading through the application. </w:t>
      </w:r>
    </w:p>
    <w:p w14:paraId="078A0712" w14:textId="77777777" w:rsidR="00B62090" w:rsidRPr="00B62090" w:rsidRDefault="00B62090" w:rsidP="00B62090">
      <w:pPr>
        <w:numPr>
          <w:ilvl w:val="0"/>
          <w:numId w:val="12"/>
        </w:numPr>
      </w:pPr>
      <w:r w:rsidRPr="00B62090">
        <w:t xml:space="preserve">Vendor exit: swapping </w:t>
      </w:r>
      <w:proofErr w:type="gramStart"/>
      <w:r w:rsidRPr="00B62090">
        <w:t>any Layer</w:t>
      </w:r>
      <w:proofErr w:type="gramEnd"/>
      <w:r w:rsidRPr="00B62090">
        <w:t xml:space="preserve"> 4 dependency is an adapter change inside the orchestration layer, not a data-model migration — a materially lower switching cost than monolith </w:t>
      </w:r>
      <w:proofErr w:type="spellStart"/>
      <w:r w:rsidRPr="00B62090">
        <w:t>replatforming</w:t>
      </w:r>
      <w:proofErr w:type="spellEnd"/>
      <w:r w:rsidRPr="00B62090">
        <w:t>. </w:t>
      </w:r>
    </w:p>
    <w:p w14:paraId="553DF6DC" w14:textId="77777777" w:rsidR="00B62090" w:rsidRPr="00B62090" w:rsidRDefault="00B62090" w:rsidP="00B62090">
      <w:pPr>
        <w:numPr>
          <w:ilvl w:val="0"/>
          <w:numId w:val="13"/>
        </w:numPr>
      </w:pPr>
      <w:r w:rsidRPr="00B62090">
        <w:t>Security and compliance: RBAC, audit logging, and multi-tenant boundaries are enforced at the presentation layer, giving a single point of governance rather than per-microservice policy sprawl. </w:t>
      </w:r>
    </w:p>
    <w:p w14:paraId="45342E0A" w14:textId="77777777" w:rsidR="00B62090" w:rsidRPr="00B62090" w:rsidRDefault="00B62090" w:rsidP="00B62090">
      <w:r w:rsidRPr="00B62090">
        <w:t>This section is a placeholder for platform-specific SLAs, data residency commitments, and compliance certifications as they are finalized — enterprise prospects will expect these to be concrete, not aspirational, by the time this paper reaches a procurement audience. </w:t>
      </w:r>
    </w:p>
    <w:p w14:paraId="7DD7007C" w14:textId="77777777" w:rsidR="00B62090" w:rsidRPr="00B62090" w:rsidRDefault="00B62090" w:rsidP="00B62090">
      <w:pPr>
        <w:pStyle w:val="Heading1"/>
      </w:pPr>
      <w:r w:rsidRPr="00B62090">
        <w:t>6. Implementation &amp; Governance Roadmap </w:t>
      </w:r>
    </w:p>
    <w:p w14:paraId="3C3A807F" w14:textId="77777777" w:rsidR="00B62090" w:rsidRPr="00B62090" w:rsidRDefault="00B62090" w:rsidP="00B62090">
      <w:pPr>
        <w:pStyle w:val="Heading2"/>
      </w:pPr>
      <w:r w:rsidRPr="00B62090">
        <w:t>Phase 1: Foundation &amp; Discovery </w:t>
      </w:r>
    </w:p>
    <w:p w14:paraId="2B604DE6" w14:textId="77777777" w:rsidR="00B62090" w:rsidRPr="00B62090" w:rsidRDefault="00B62090" w:rsidP="00B62090">
      <w:pPr>
        <w:numPr>
          <w:ilvl w:val="0"/>
          <w:numId w:val="14"/>
        </w:numPr>
      </w:pPr>
      <w:r w:rsidRPr="00B62090">
        <w:t>Deploy </w:t>
      </w:r>
      <w:proofErr w:type="spellStart"/>
      <w:r w:rsidRPr="00B62090">
        <w:t>PolySniffer</w:t>
      </w:r>
      <w:proofErr w:type="spellEnd"/>
      <w:r w:rsidRPr="00B62090">
        <w:t> against the existing SaaS estate to build an initial integration map. </w:t>
      </w:r>
    </w:p>
    <w:p w14:paraId="28992827" w14:textId="77777777" w:rsidR="00B62090" w:rsidRPr="00B62090" w:rsidRDefault="00B62090" w:rsidP="00B62090">
      <w:pPr>
        <w:numPr>
          <w:ilvl w:val="0"/>
          <w:numId w:val="15"/>
        </w:numPr>
      </w:pPr>
      <w:r w:rsidRPr="00B62090">
        <w:t>Stand up Liferay (Community Edition by default, DXP where enterprise SLAs and support are required) and WordPress as the presentation and governance layer. </w:t>
      </w:r>
    </w:p>
    <w:p w14:paraId="16A63178" w14:textId="77777777" w:rsidR="00B62090" w:rsidRPr="00B62090" w:rsidRDefault="00B62090" w:rsidP="00B62090">
      <w:pPr>
        <w:numPr>
          <w:ilvl w:val="0"/>
          <w:numId w:val="16"/>
        </w:numPr>
      </w:pPr>
      <w:r w:rsidRPr="00B62090">
        <w:t>Establish baseline authentication (SSO / OIDC). </w:t>
      </w:r>
    </w:p>
    <w:p w14:paraId="00C47F25" w14:textId="77777777" w:rsidR="00B62090" w:rsidRPr="00B62090" w:rsidRDefault="00B62090" w:rsidP="00B62090">
      <w:pPr>
        <w:pStyle w:val="Heading2"/>
      </w:pPr>
      <w:r w:rsidRPr="00B62090">
        <w:t>Phase 2: Dynamic Orchestration </w:t>
      </w:r>
    </w:p>
    <w:p w14:paraId="0D4E6AE9" w14:textId="77777777" w:rsidR="00B62090" w:rsidRPr="00B62090" w:rsidRDefault="00B62090" w:rsidP="00B62090">
      <w:pPr>
        <w:numPr>
          <w:ilvl w:val="0"/>
          <w:numId w:val="17"/>
        </w:numPr>
      </w:pPr>
      <w:r w:rsidRPr="00B62090">
        <w:t>Bring discovered endpoints under Atomic Services to manage multi-step actions across SaaS tools. </w:t>
      </w:r>
    </w:p>
    <w:p w14:paraId="14683687" w14:textId="77777777" w:rsidR="00B62090" w:rsidRPr="00B62090" w:rsidRDefault="00B62090" w:rsidP="00B62090">
      <w:pPr>
        <w:numPr>
          <w:ilvl w:val="0"/>
          <w:numId w:val="18"/>
        </w:numPr>
      </w:pPr>
      <w:r w:rsidRPr="00B62090">
        <w:t>Decouple custom logic into narrowly scoped, event-driven microservices. </w:t>
      </w:r>
    </w:p>
    <w:p w14:paraId="7D009BC3" w14:textId="77777777" w:rsidR="00B62090" w:rsidRPr="00B62090" w:rsidRDefault="00B62090" w:rsidP="00B62090">
      <w:pPr>
        <w:pStyle w:val="Heading2"/>
      </w:pPr>
      <w:r w:rsidRPr="00B62090">
        <w:lastRenderedPageBreak/>
        <w:t>Phase 3: Scaling &amp; Data Mesh </w:t>
      </w:r>
    </w:p>
    <w:p w14:paraId="1B6491AC" w14:textId="77777777" w:rsidR="00B62090" w:rsidRPr="00B62090" w:rsidRDefault="00B62090" w:rsidP="00B62090">
      <w:pPr>
        <w:numPr>
          <w:ilvl w:val="0"/>
          <w:numId w:val="19"/>
        </w:numPr>
      </w:pPr>
      <w:r w:rsidRPr="00B62090">
        <w:t>Expand external SaaS connections using standard connector patterns as new tools are discovered. </w:t>
      </w:r>
    </w:p>
    <w:p w14:paraId="7C353F15" w14:textId="77777777" w:rsidR="00B62090" w:rsidRPr="00B62090" w:rsidRDefault="00B62090" w:rsidP="00B62090">
      <w:pPr>
        <w:numPr>
          <w:ilvl w:val="0"/>
          <w:numId w:val="20"/>
        </w:numPr>
      </w:pPr>
      <w:r w:rsidRPr="00B62090">
        <w:t>Implement distributed tracing across all microservices and orchestration layers to maintain full system visibility as the mesh grows. </w:t>
      </w:r>
    </w:p>
    <w:p w14:paraId="21C21366" w14:textId="77777777" w:rsidR="00B62090" w:rsidRPr="00B62090" w:rsidRDefault="00B62090" w:rsidP="00C04DFE">
      <w:pPr>
        <w:pStyle w:val="Heading1"/>
      </w:pPr>
      <w:r w:rsidRPr="00B62090">
        <w:t>7. Conclusion </w:t>
      </w:r>
    </w:p>
    <w:p w14:paraId="2D6EF2D1" w14:textId="77777777" w:rsidR="00B62090" w:rsidRPr="00B62090" w:rsidRDefault="00B62090" w:rsidP="00B62090">
      <w:r w:rsidRPr="00B62090">
        <w:t>The future of enterprise software is neither hand-building every line of code nor forcing every workflow into a rigid single-vendor suite. By combining </w:t>
      </w:r>
      <w:proofErr w:type="spellStart"/>
      <w:r w:rsidRPr="00B62090">
        <w:t>PolySniffer's</w:t>
      </w:r>
      <w:proofErr w:type="spellEnd"/>
      <w:r w:rsidRPr="00B62090">
        <w:t> automated discovery, Atomic Services' dynamic orchestration, and a governed presentation layer, PolySaaS gives organizations an agile, cost-effective, and resilient foundation for building custom digital applications at scale — without the integration debt that sprawl usually leaves behind. </w:t>
      </w:r>
    </w:p>
    <w:p w14:paraId="5B774FEF" w14:textId="77777777" w:rsidR="006C3C70" w:rsidRDefault="006C3C70"/>
    <w:sectPr w:rsidR="006C3C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662C"/>
    <w:multiLevelType w:val="multilevel"/>
    <w:tmpl w:val="C76A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7F3F43"/>
    <w:multiLevelType w:val="multilevel"/>
    <w:tmpl w:val="81AA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7C19F3"/>
    <w:multiLevelType w:val="multilevel"/>
    <w:tmpl w:val="5DAA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1F1F8C"/>
    <w:multiLevelType w:val="multilevel"/>
    <w:tmpl w:val="FC58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56027A"/>
    <w:multiLevelType w:val="multilevel"/>
    <w:tmpl w:val="7D4E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270916"/>
    <w:multiLevelType w:val="multilevel"/>
    <w:tmpl w:val="7D18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98376C"/>
    <w:multiLevelType w:val="multilevel"/>
    <w:tmpl w:val="B3A8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3E65EB"/>
    <w:multiLevelType w:val="multilevel"/>
    <w:tmpl w:val="6AA0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610077"/>
    <w:multiLevelType w:val="multilevel"/>
    <w:tmpl w:val="E15C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6E6B78"/>
    <w:multiLevelType w:val="multilevel"/>
    <w:tmpl w:val="4278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AD00EDC"/>
    <w:multiLevelType w:val="multilevel"/>
    <w:tmpl w:val="A6EE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077912"/>
    <w:multiLevelType w:val="multilevel"/>
    <w:tmpl w:val="065E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0DC4F91"/>
    <w:multiLevelType w:val="multilevel"/>
    <w:tmpl w:val="761A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9064E1"/>
    <w:multiLevelType w:val="multilevel"/>
    <w:tmpl w:val="A73A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593F0C"/>
    <w:multiLevelType w:val="multilevel"/>
    <w:tmpl w:val="E390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EF51825"/>
    <w:multiLevelType w:val="multilevel"/>
    <w:tmpl w:val="DE5C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E331E7"/>
    <w:multiLevelType w:val="multilevel"/>
    <w:tmpl w:val="534C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E770909"/>
    <w:multiLevelType w:val="multilevel"/>
    <w:tmpl w:val="A748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F501FDF"/>
    <w:multiLevelType w:val="multilevel"/>
    <w:tmpl w:val="BD10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3ED291F"/>
    <w:multiLevelType w:val="multilevel"/>
    <w:tmpl w:val="8FD2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1578672">
    <w:abstractNumId w:val="15"/>
  </w:num>
  <w:num w:numId="2" w16cid:durableId="1387417076">
    <w:abstractNumId w:val="0"/>
  </w:num>
  <w:num w:numId="3" w16cid:durableId="1149009244">
    <w:abstractNumId w:val="11"/>
  </w:num>
  <w:num w:numId="4" w16cid:durableId="1007095733">
    <w:abstractNumId w:val="19"/>
  </w:num>
  <w:num w:numId="5" w16cid:durableId="105200471">
    <w:abstractNumId w:val="10"/>
  </w:num>
  <w:num w:numId="6" w16cid:durableId="1792750368">
    <w:abstractNumId w:val="5"/>
  </w:num>
  <w:num w:numId="7" w16cid:durableId="423846787">
    <w:abstractNumId w:val="2"/>
  </w:num>
  <w:num w:numId="8" w16cid:durableId="1364751114">
    <w:abstractNumId w:val="18"/>
  </w:num>
  <w:num w:numId="9" w16cid:durableId="1379744179">
    <w:abstractNumId w:val="1"/>
  </w:num>
  <w:num w:numId="10" w16cid:durableId="1591087075">
    <w:abstractNumId w:val="9"/>
  </w:num>
  <w:num w:numId="11" w16cid:durableId="1816068277">
    <w:abstractNumId w:val="3"/>
  </w:num>
  <w:num w:numId="12" w16cid:durableId="476531185">
    <w:abstractNumId w:val="14"/>
  </w:num>
  <w:num w:numId="13" w16cid:durableId="1698432460">
    <w:abstractNumId w:val="16"/>
  </w:num>
  <w:num w:numId="14" w16cid:durableId="330331685">
    <w:abstractNumId w:val="4"/>
  </w:num>
  <w:num w:numId="15" w16cid:durableId="93791528">
    <w:abstractNumId w:val="7"/>
  </w:num>
  <w:num w:numId="16" w16cid:durableId="535775417">
    <w:abstractNumId w:val="8"/>
  </w:num>
  <w:num w:numId="17" w16cid:durableId="1572889061">
    <w:abstractNumId w:val="6"/>
  </w:num>
  <w:num w:numId="18" w16cid:durableId="2028211820">
    <w:abstractNumId w:val="12"/>
  </w:num>
  <w:num w:numId="19" w16cid:durableId="677730618">
    <w:abstractNumId w:val="17"/>
  </w:num>
  <w:num w:numId="20" w16cid:durableId="16864017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62090"/>
    <w:rsid w:val="001C2966"/>
    <w:rsid w:val="0027465C"/>
    <w:rsid w:val="006C3C70"/>
    <w:rsid w:val="00AA768B"/>
    <w:rsid w:val="00B25EED"/>
    <w:rsid w:val="00B62090"/>
    <w:rsid w:val="00C04DFE"/>
    <w:rsid w:val="00F86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7C3A0"/>
  <w15:chartTrackingRefBased/>
  <w15:docId w15:val="{EBE0A64E-3DA1-41FE-AAB0-4CEA04106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0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20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0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0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0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0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0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0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0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0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20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0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0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0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090"/>
    <w:rPr>
      <w:rFonts w:eastAsiaTheme="majorEastAsia" w:cstheme="majorBidi"/>
      <w:color w:val="272727" w:themeColor="text1" w:themeTint="D8"/>
    </w:rPr>
  </w:style>
  <w:style w:type="paragraph" w:styleId="Title">
    <w:name w:val="Title"/>
    <w:basedOn w:val="Normal"/>
    <w:next w:val="Normal"/>
    <w:link w:val="TitleChar"/>
    <w:uiPriority w:val="10"/>
    <w:qFormat/>
    <w:rsid w:val="00B62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0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0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090"/>
    <w:pPr>
      <w:spacing w:before="160"/>
      <w:jc w:val="center"/>
    </w:pPr>
    <w:rPr>
      <w:i/>
      <w:iCs/>
      <w:color w:val="404040" w:themeColor="text1" w:themeTint="BF"/>
    </w:rPr>
  </w:style>
  <w:style w:type="character" w:customStyle="1" w:styleId="QuoteChar">
    <w:name w:val="Quote Char"/>
    <w:basedOn w:val="DefaultParagraphFont"/>
    <w:link w:val="Quote"/>
    <w:uiPriority w:val="29"/>
    <w:rsid w:val="00B62090"/>
    <w:rPr>
      <w:i/>
      <w:iCs/>
      <w:color w:val="404040" w:themeColor="text1" w:themeTint="BF"/>
    </w:rPr>
  </w:style>
  <w:style w:type="paragraph" w:styleId="ListParagraph">
    <w:name w:val="List Paragraph"/>
    <w:basedOn w:val="Normal"/>
    <w:uiPriority w:val="34"/>
    <w:qFormat/>
    <w:rsid w:val="00B62090"/>
    <w:pPr>
      <w:ind w:left="720"/>
      <w:contextualSpacing/>
    </w:pPr>
  </w:style>
  <w:style w:type="character" w:styleId="IntenseEmphasis">
    <w:name w:val="Intense Emphasis"/>
    <w:basedOn w:val="DefaultParagraphFont"/>
    <w:uiPriority w:val="21"/>
    <w:qFormat/>
    <w:rsid w:val="00B62090"/>
    <w:rPr>
      <w:i/>
      <w:iCs/>
      <w:color w:val="0F4761" w:themeColor="accent1" w:themeShade="BF"/>
    </w:rPr>
  </w:style>
  <w:style w:type="paragraph" w:styleId="IntenseQuote">
    <w:name w:val="Intense Quote"/>
    <w:basedOn w:val="Normal"/>
    <w:next w:val="Normal"/>
    <w:link w:val="IntenseQuoteChar"/>
    <w:uiPriority w:val="30"/>
    <w:qFormat/>
    <w:rsid w:val="00B620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090"/>
    <w:rPr>
      <w:i/>
      <w:iCs/>
      <w:color w:val="0F4761" w:themeColor="accent1" w:themeShade="BF"/>
    </w:rPr>
  </w:style>
  <w:style w:type="character" w:styleId="IntenseReference">
    <w:name w:val="Intense Reference"/>
    <w:basedOn w:val="DefaultParagraphFont"/>
    <w:uiPriority w:val="32"/>
    <w:qFormat/>
    <w:rsid w:val="00B620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1375</Words>
  <Characters>8683</Characters>
  <Application>Microsoft Office Word</Application>
  <DocSecurity>0</DocSecurity>
  <Lines>192</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Oliver</dc:creator>
  <cp:keywords/>
  <dc:description/>
  <cp:lastModifiedBy>Mike Oliver</cp:lastModifiedBy>
  <cp:revision>1</cp:revision>
  <dcterms:created xsi:type="dcterms:W3CDTF">2026-07-28T21:44:00Z</dcterms:created>
  <dcterms:modified xsi:type="dcterms:W3CDTF">2026-07-28T21:55:00Z</dcterms:modified>
</cp:coreProperties>
</file>