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6431" w14:textId="5EBA7BD8" w:rsidR="00B07745" w:rsidRPr="00AC25FE" w:rsidRDefault="0071599E" w:rsidP="00AC25FE">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3B13DF68"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.0</w:t>
      </w:r>
    </w:p>
    <w:p w14:paraId="27D1C064" w14:textId="31011718" w:rsidR="002900BB" w:rsidRPr="00AC25FE" w:rsidRDefault="00AC25FE" w:rsidP="00EB7F30">
      <w:pPr>
        <w:pStyle w:val="Pubdate"/>
        <w:rPr>
          <w:b w:val="0"/>
          <w:bCs w:val="0"/>
        </w:rPr>
      </w:pPr>
      <w:r w:rsidRPr="00AC25FE">
        <w:rPr>
          <w:b w:val="0"/>
          <w:bCs w:val="0"/>
        </w:rPr>
        <w:t>May 1, 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7AAD9B02" w:rsidR="00A75DF8" w:rsidRPr="00AE265A" w:rsidRDefault="00AC25FE"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r>
        <w:t>x</w:t>
      </w: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4D6398F6" w14:textId="3D6D7955" w:rsidR="002B2FAB" w:rsidRPr="002B2FAB" w:rsidRDefault="00FA4041" w:rsidP="002B2FAB">
      <w:pPr>
        <w:rPr>
          <w:lang w:eastAsia="x-none"/>
        </w:rPr>
      </w:pPr>
      <w:r w:rsidRPr="00FA4041">
        <w:rPr>
          <w:lang w:eastAsia="x-none"/>
        </w:rPr>
        <w:t>The goal of the project is to create a password encryptor manager that can securely store and manage user passwords.</w:t>
      </w:r>
      <w:r w:rsidR="00977CA1">
        <w:rPr>
          <w:lang w:eastAsia="x-none"/>
        </w:rPr>
        <w:t xml:space="preserve"> T</w:t>
      </w:r>
      <w:r w:rsidR="00977CA1" w:rsidRPr="00977CA1">
        <w:rPr>
          <w:lang w:eastAsia="x-none"/>
        </w:rPr>
        <w:t>he user log</w:t>
      </w:r>
      <w:r w:rsidR="00977CA1">
        <w:rPr>
          <w:lang w:eastAsia="x-none"/>
        </w:rPr>
        <w:t>s</w:t>
      </w:r>
      <w:r w:rsidR="00977CA1" w:rsidRPr="00977CA1">
        <w:rPr>
          <w:lang w:eastAsia="x-none"/>
        </w:rPr>
        <w:t xml:space="preserve"> in to the program and </w:t>
      </w:r>
      <w:proofErr w:type="gramStart"/>
      <w:r w:rsidR="00977CA1" w:rsidRPr="00977CA1">
        <w:rPr>
          <w:lang w:eastAsia="x-none"/>
        </w:rPr>
        <w:t>enter</w:t>
      </w:r>
      <w:proofErr w:type="gramEnd"/>
      <w:r w:rsidR="00977CA1" w:rsidRPr="00977CA1">
        <w:rPr>
          <w:lang w:eastAsia="x-none"/>
        </w:rPr>
        <w:t xml:space="preserve"> their passwords and a key</w:t>
      </w:r>
      <w:r w:rsidR="00977CA1">
        <w:rPr>
          <w:lang w:eastAsia="x-none"/>
        </w:rPr>
        <w:t>, after which</w:t>
      </w:r>
      <w:r w:rsidR="00977CA1" w:rsidRPr="00977CA1">
        <w:rPr>
          <w:lang w:eastAsia="x-none"/>
        </w:rPr>
        <w:t xml:space="preserve"> </w:t>
      </w:r>
      <w:r w:rsidR="00977CA1">
        <w:rPr>
          <w:lang w:eastAsia="x-none"/>
        </w:rPr>
        <w:t xml:space="preserve">the </w:t>
      </w:r>
      <w:r w:rsidR="00977CA1" w:rsidRPr="00977CA1">
        <w:rPr>
          <w:lang w:eastAsia="x-none"/>
        </w:rPr>
        <w:t>program then encrypts the passwords using the key and saves them to a text file.</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36688240" w14:textId="2BD49037" w:rsidR="002B2FAB" w:rsidRPr="002B2FAB" w:rsidRDefault="00CC23E6" w:rsidP="002B2FAB">
      <w:pPr>
        <w:rPr>
          <w:lang w:eastAsia="x-none"/>
        </w:rPr>
      </w:pPr>
      <w:r>
        <w:rPr>
          <w:lang w:eastAsia="x-none"/>
        </w:rPr>
        <w:t xml:space="preserve">There are no external tools, software, or Browser that would be needed. </w:t>
      </w:r>
      <w:r w:rsidR="00037824">
        <w:rPr>
          <w:lang w:eastAsia="x-none"/>
        </w:rPr>
        <w:t xml:space="preserve">The OS used was Windows, and the application does not run on any other OS.  </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645C53DD"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2242FE">
        <w:t>1</w:t>
      </w:r>
      <w:r w:rsidR="00EF5A5A" w:rsidRPr="00E826E0">
        <w:t xml:space="preserve"> </w:t>
      </w:r>
      <w:r w:rsidRPr="00E826E0">
        <w:t xml:space="preserve">were considered </w:t>
      </w:r>
      <w:r w:rsidR="006905F8" w:rsidRPr="00E826E0">
        <w:t>H</w:t>
      </w:r>
      <w:r w:rsidRPr="00E826E0">
        <w:t xml:space="preserve">igh risks, </w:t>
      </w:r>
      <w:r w:rsidR="002242FE">
        <w:t>1</w:t>
      </w:r>
      <w:r w:rsidR="00E101B1" w:rsidRPr="00E826E0">
        <w:t xml:space="preserve"> </w:t>
      </w:r>
      <w:r w:rsidR="006905F8" w:rsidRPr="00E826E0">
        <w:t>Moderate</w:t>
      </w:r>
      <w:r w:rsidRPr="00E826E0">
        <w:t xml:space="preserve"> risk, </w:t>
      </w:r>
      <w:r w:rsidR="002242FE">
        <w:t>2</w:t>
      </w:r>
      <w:r w:rsidRPr="00E826E0">
        <w:t xml:space="preserve"> </w:t>
      </w:r>
      <w:r w:rsidR="006905F8" w:rsidRPr="00E826E0">
        <w:t>L</w:t>
      </w:r>
      <w:r w:rsidRPr="00E826E0">
        <w:t>ow</w:t>
      </w:r>
      <w:r w:rsidR="003F7140" w:rsidRPr="00E826E0">
        <w:t xml:space="preserve">, and </w:t>
      </w:r>
      <w:r w:rsidR="002242FE">
        <w:t>2</w:t>
      </w:r>
      <w:r w:rsidR="003F7140" w:rsidRPr="00E826E0">
        <w:t xml:space="preserve"> Informational</w:t>
      </w:r>
      <w:r w:rsidRPr="00E826E0">
        <w:t xml:space="preserve"> risks.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AAB289A" w:rsidR="00C96FA0" w:rsidRDefault="002242FE" w:rsidP="00A56FE2">
      <w:pPr>
        <w:jc w:val="both"/>
        <w:rPr>
          <w:highlight w:val="yellow"/>
        </w:rPr>
      </w:pPr>
      <w:r w:rsidRPr="002242FE">
        <w:drawing>
          <wp:anchor distT="0" distB="0" distL="114300" distR="114300" simplePos="0" relativeHeight="251658240" behindDoc="0" locked="0" layoutInCell="1" allowOverlap="1" wp14:anchorId="21B5A838" wp14:editId="1341A01F">
            <wp:simplePos x="0" y="0"/>
            <wp:positionH relativeFrom="margin">
              <wp:align>center</wp:align>
            </wp:positionH>
            <wp:positionV relativeFrom="paragraph">
              <wp:posOffset>247015</wp:posOffset>
            </wp:positionV>
            <wp:extent cx="4343400" cy="2804160"/>
            <wp:effectExtent l="0" t="0" r="0" b="0"/>
            <wp:wrapTopAndBottom/>
            <wp:docPr id="78897231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2310" name="Picture 1"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43400" cy="2804160"/>
                    </a:xfrm>
                    <a:prstGeom prst="rect">
                      <a:avLst/>
                    </a:prstGeom>
                  </pic:spPr>
                </pic:pic>
              </a:graphicData>
            </a:graphic>
          </wp:anchor>
        </w:drawing>
      </w:r>
    </w:p>
    <w:p w14:paraId="3946452A" w14:textId="334F0CCF" w:rsidR="00C96FA0" w:rsidRDefault="00C96FA0" w:rsidP="00A56FE2">
      <w:pPr>
        <w:jc w:val="both"/>
        <w:rPr>
          <w:highlight w:val="yellow"/>
        </w:rPr>
      </w:pPr>
    </w:p>
    <w:p w14:paraId="2169FB96" w14:textId="77777777" w:rsidR="00D7058A" w:rsidRPr="00AE265A" w:rsidRDefault="00D7058A" w:rsidP="00A56FE2">
      <w:pPr>
        <w:pStyle w:val="LineSpacer"/>
        <w:jc w:val="both"/>
      </w:pPr>
    </w:p>
    <w:p w14:paraId="71E6E856" w14:textId="43AE5442" w:rsidR="00DC06B0" w:rsidRPr="00E826E0" w:rsidRDefault="00D7058A" w:rsidP="002242FE">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571C3590" w14:textId="685BADFF" w:rsidR="008232A1" w:rsidRDefault="002242FE" w:rsidP="002242FE">
      <w:pPr>
        <w:jc w:val="both"/>
      </w:pPr>
      <w:r>
        <w:t>The high risk was that someone could get u</w:t>
      </w:r>
      <w:r w:rsidRPr="002242FE">
        <w:t xml:space="preserve">nauthorized access to the password manager </w:t>
      </w:r>
      <w:r>
        <w:t xml:space="preserve">because of the </w:t>
      </w:r>
      <w:proofErr w:type="spellStart"/>
      <w:r>
        <w:t>waeak</w:t>
      </w:r>
      <w:proofErr w:type="spellEnd"/>
      <w:r>
        <w:t xml:space="preserve"> log in system that was implemented. The moderate risk was that users cannot </w:t>
      </w:r>
      <w:r w:rsidRPr="002242FE">
        <w:t xml:space="preserve">recover passwords </w:t>
      </w:r>
      <w:r>
        <w:t xml:space="preserve">if they </w:t>
      </w:r>
      <w:proofErr w:type="gramStart"/>
      <w:r w:rsidRPr="002242FE">
        <w:t>loses</w:t>
      </w:r>
      <w:proofErr w:type="gramEnd"/>
      <w:r w:rsidRPr="002242FE">
        <w:t xml:space="preserve"> access to the password manager</w:t>
      </w:r>
      <w:r>
        <w:t>, or forget the log in</w:t>
      </w:r>
      <w:r w:rsidRPr="002242FE">
        <w:t>.</w:t>
      </w:r>
      <w:r w:rsidRPr="002242FE">
        <w:t xml:space="preserve"> </w:t>
      </w:r>
      <w:r>
        <w:t>The low risks were u</w:t>
      </w:r>
      <w:r w:rsidRPr="002242FE">
        <w:t>ser errors</w:t>
      </w:r>
      <w:r>
        <w:t xml:space="preserve">, for example </w:t>
      </w:r>
      <w:r w:rsidRPr="002242FE">
        <w:t>mistyping a password</w:t>
      </w:r>
      <w:r>
        <w:t xml:space="preserve">. Another was the user forgetting which password was for what </w:t>
      </w:r>
      <w:proofErr w:type="gramStart"/>
      <w:r>
        <w:t>account, because</w:t>
      </w:r>
      <w:proofErr w:type="gramEnd"/>
      <w:r>
        <w:t xml:space="preserve"> the program does not have a naming feature for the passwords. The informational risks were if the user gave </w:t>
      </w:r>
      <w:r>
        <w:t>weak passwords or using common passwords that are easy to guess.</w:t>
      </w:r>
      <w:r>
        <w:t xml:space="preserve"> The other was if they wrote down the encrypted </w:t>
      </w:r>
      <w:proofErr w:type="gramStart"/>
      <w:r>
        <w:t>passwords, because</w:t>
      </w:r>
      <w:proofErr w:type="gramEnd"/>
      <w:r>
        <w:t xml:space="preserve"> they were harder to remember. </w:t>
      </w:r>
    </w:p>
    <w:p w14:paraId="4F3CDACD" w14:textId="32E3652E" w:rsidR="0071599E" w:rsidRDefault="00A35A68" w:rsidP="00D62849">
      <w:pPr>
        <w:pStyle w:val="FigureCaption"/>
      </w:pPr>
      <w:r w:rsidRPr="00A35A68">
        <w:lastRenderedPageBreak/>
        <w:drawing>
          <wp:inline distT="0" distB="0" distL="0" distR="0" wp14:anchorId="58AD759E" wp14:editId="11861B6C">
            <wp:extent cx="5128704" cy="3475021"/>
            <wp:effectExtent l="0" t="0" r="0" b="0"/>
            <wp:docPr id="68395616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56160" name="Picture 1" descr="Table&#10;&#10;Description automatically generated"/>
                    <pic:cNvPicPr/>
                  </pic:nvPicPr>
                  <pic:blipFill>
                    <a:blip r:embed="rId21"/>
                    <a:stretch>
                      <a:fillRect/>
                    </a:stretch>
                  </pic:blipFill>
                  <pic:spPr>
                    <a:xfrm>
                      <a:off x="0" y="0"/>
                      <a:ext cx="5128704" cy="3475021"/>
                    </a:xfrm>
                    <a:prstGeom prst="rect">
                      <a:avLst/>
                    </a:prstGeom>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483D83DD" w:rsidR="0071599E" w:rsidRPr="0071599E" w:rsidRDefault="0071599E" w:rsidP="0071599E">
      <w:pPr>
        <w:pStyle w:val="FigureCaption"/>
        <w:rPr>
          <w:b w:val="0"/>
          <w:bCs/>
        </w:rPr>
      </w:pPr>
      <w:r w:rsidRPr="0071599E">
        <w:rPr>
          <w:b w:val="0"/>
          <w:bCs/>
        </w:rPr>
        <w:t xml:space="preserve">Explain </w:t>
      </w:r>
      <w:r>
        <w:rPr>
          <w:b w:val="0"/>
          <w:bCs/>
        </w:rPr>
        <w:t xml:space="preserve">which issues were used from </w:t>
      </w:r>
      <w:r w:rsidRPr="0071599E">
        <w:rPr>
          <w:b w:val="0"/>
          <w:bCs/>
        </w:rPr>
        <w:t>above SWOT</w:t>
      </w:r>
      <w:r>
        <w:rPr>
          <w:b w:val="0"/>
          <w:bCs/>
        </w:rPr>
        <w:t xml:space="preserve"> (which are addressed in this assessment)</w:t>
      </w:r>
      <w:r w:rsidRPr="0071599E">
        <w:rPr>
          <w:b w:val="0"/>
          <w:bCs/>
        </w:rPr>
        <w:t>.</w:t>
      </w:r>
    </w:p>
    <w:p w14:paraId="61AC344E" w14:textId="77777777" w:rsidR="004C2252"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70C8AAD3" w14:textId="6F50FBDC" w:rsidR="00A35A68" w:rsidRPr="00A35A68" w:rsidRDefault="00A35A68" w:rsidP="00A35A68">
      <w:pPr>
        <w:rPr>
          <w:lang w:eastAsia="x-none"/>
        </w:rPr>
      </w:pPr>
      <w:r>
        <w:rPr>
          <w:lang w:eastAsia="x-none"/>
        </w:rPr>
        <w:t xml:space="preserve">To solve the </w:t>
      </w:r>
      <w:proofErr w:type="gramStart"/>
      <w:r>
        <w:rPr>
          <w:lang w:eastAsia="x-none"/>
        </w:rPr>
        <w:t>high risk</w:t>
      </w:r>
      <w:proofErr w:type="gramEnd"/>
      <w:r>
        <w:rPr>
          <w:lang w:eastAsia="x-none"/>
        </w:rPr>
        <w:t xml:space="preserve"> issue, the best course of action would be to </w:t>
      </w:r>
      <w:proofErr w:type="spellStart"/>
      <w:proofErr w:type="gramStart"/>
      <w:r>
        <w:rPr>
          <w:lang w:eastAsia="x-none"/>
        </w:rPr>
        <w:t>implent</w:t>
      </w:r>
      <w:proofErr w:type="spellEnd"/>
      <w:proofErr w:type="gramEnd"/>
      <w:r>
        <w:rPr>
          <w:lang w:eastAsia="x-none"/>
        </w:rPr>
        <w:t xml:space="preserve"> a way for the user to be able to create a username and password the first time, and also add 2FA to verify the user. The moderate risk mostly involves the recovery of the account, and the backing up of data, both of which are essential to a proper program. The low risks could be solved by adding a method to delete passwords that are in the text file through the program, </w:t>
      </w:r>
      <w:proofErr w:type="gramStart"/>
      <w:r>
        <w:rPr>
          <w:lang w:eastAsia="x-none"/>
        </w:rPr>
        <w:t>and also</w:t>
      </w:r>
      <w:proofErr w:type="gramEnd"/>
      <w:r>
        <w:rPr>
          <w:lang w:eastAsia="x-none"/>
        </w:rPr>
        <w:t xml:space="preserve"> create a way of labeling which passwords are for what account or service. The informational risks are tricky to fix, but a solution could be to not accept the passwords entered by the user if they do not meet certain criteria, such as having a special character.  </w:t>
      </w:r>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474C6B16" w14:textId="03DF10D9" w:rsidR="002B2FAB" w:rsidRDefault="00863BEC" w:rsidP="008766A6">
      <w:pPr>
        <w:pStyle w:val="BulletListMultiple"/>
        <w:numPr>
          <w:ilvl w:val="0"/>
          <w:numId w:val="33"/>
        </w:numPr>
        <w:jc w:val="both"/>
      </w:pPr>
      <w:bookmarkStart w:id="66" w:name="_Toc10020865"/>
      <w:r>
        <w:t xml:space="preserve">Test the security that my program has and how it can be </w:t>
      </w:r>
      <w:proofErr w:type="gramStart"/>
      <w:r>
        <w:t>improved</w:t>
      </w:r>
      <w:proofErr w:type="gramEnd"/>
    </w:p>
    <w:p w14:paraId="2334E752" w14:textId="4F86B3F9" w:rsidR="00863BEC" w:rsidRDefault="00863BEC" w:rsidP="008766A6">
      <w:pPr>
        <w:pStyle w:val="BulletListMultiple"/>
        <w:numPr>
          <w:ilvl w:val="0"/>
          <w:numId w:val="33"/>
        </w:numPr>
        <w:jc w:val="both"/>
      </w:pPr>
      <w:r>
        <w:t xml:space="preserve">See the progress that has been made throughout the </w:t>
      </w:r>
      <w:proofErr w:type="gramStart"/>
      <w:r>
        <w:t>semester</w:t>
      </w:r>
      <w:proofErr w:type="gramEnd"/>
    </w:p>
    <w:p w14:paraId="10337CE3" w14:textId="0872A7EA" w:rsidR="00863BEC" w:rsidRPr="002B2FAB" w:rsidRDefault="00863BEC" w:rsidP="008766A6">
      <w:pPr>
        <w:pStyle w:val="BulletListMultiple"/>
        <w:numPr>
          <w:ilvl w:val="0"/>
          <w:numId w:val="33"/>
        </w:numPr>
        <w:jc w:val="both"/>
      </w:pPr>
      <w:r>
        <w:t xml:space="preserve">Determine whether the application was ready for </w:t>
      </w:r>
      <w:proofErr w:type="gramStart"/>
      <w:r>
        <w:t>release</w:t>
      </w:r>
      <w:proofErr w:type="gramEnd"/>
    </w:p>
    <w:p w14:paraId="38173472" w14:textId="7CBBCDB0" w:rsidR="00B07745" w:rsidRPr="00AE265A" w:rsidRDefault="002B2FAB" w:rsidP="002B2FAB">
      <w:pPr>
        <w:pStyle w:val="Heading2"/>
      </w:pPr>
      <w:bookmarkStart w:id="67" w:name="_Toc127779451"/>
      <w:r>
        <w:rPr>
          <w:snapToGrid w:val="0"/>
        </w:rPr>
        <w:lastRenderedPageBreak/>
        <w:t>D</w:t>
      </w:r>
      <w:r w:rsidR="00B07745" w:rsidRPr="00AE265A">
        <w:t>etailed Findings</w:t>
      </w:r>
      <w:bookmarkEnd w:id="66"/>
      <w:bookmarkEnd w:id="67"/>
    </w:p>
    <w:tbl>
      <w:tblPr>
        <w:tblStyle w:val="TableGrid"/>
        <w:tblW w:w="0" w:type="auto"/>
        <w:tblLook w:val="04A0" w:firstRow="1" w:lastRow="0" w:firstColumn="1" w:lastColumn="0" w:noHBand="0" w:noVBand="1"/>
      </w:tblPr>
      <w:tblGrid>
        <w:gridCol w:w="4675"/>
        <w:gridCol w:w="4675"/>
      </w:tblGrid>
      <w:tr w:rsidR="00863BEC" w:rsidRPr="00863BEC" w14:paraId="642F85A2" w14:textId="77777777" w:rsidTr="00863BEC">
        <w:tc>
          <w:tcPr>
            <w:tcW w:w="4675" w:type="dxa"/>
          </w:tcPr>
          <w:p w14:paraId="474C605C" w14:textId="3CC07760" w:rsidR="00863BEC" w:rsidRPr="00863BEC" w:rsidRDefault="00863BEC" w:rsidP="00A56FE2">
            <w:pPr>
              <w:jc w:val="both"/>
              <w:rPr>
                <w:b/>
                <w:bCs/>
              </w:rPr>
            </w:pPr>
            <w:r w:rsidRPr="00863BEC">
              <w:rPr>
                <w:b/>
                <w:bCs/>
              </w:rPr>
              <w:t>Type</w:t>
            </w:r>
          </w:p>
        </w:tc>
        <w:tc>
          <w:tcPr>
            <w:tcW w:w="4675" w:type="dxa"/>
          </w:tcPr>
          <w:p w14:paraId="58197878" w14:textId="4DEE3B05" w:rsidR="00863BEC" w:rsidRPr="00863BEC" w:rsidRDefault="001F4FB0" w:rsidP="00A56FE2">
            <w:pPr>
              <w:jc w:val="both"/>
              <w:rPr>
                <w:b/>
                <w:bCs/>
              </w:rPr>
            </w:pPr>
            <w:r>
              <w:rPr>
                <w:b/>
                <w:bCs/>
              </w:rPr>
              <w:t>Explanation</w:t>
            </w:r>
          </w:p>
        </w:tc>
      </w:tr>
      <w:tr w:rsidR="00A47714" w:rsidRPr="00863BEC" w14:paraId="739D2FC3" w14:textId="77777777" w:rsidTr="00863BEC">
        <w:tc>
          <w:tcPr>
            <w:tcW w:w="4675" w:type="dxa"/>
          </w:tcPr>
          <w:p w14:paraId="218A4DBD" w14:textId="3748F9B2" w:rsidR="00A47714" w:rsidRPr="00863BEC" w:rsidRDefault="00A47714" w:rsidP="00A56FE2">
            <w:pPr>
              <w:jc w:val="both"/>
            </w:pPr>
            <w:r>
              <w:t>Threat</w:t>
            </w:r>
          </w:p>
        </w:tc>
        <w:tc>
          <w:tcPr>
            <w:tcW w:w="4675" w:type="dxa"/>
          </w:tcPr>
          <w:p w14:paraId="51D5013C" w14:textId="4AABFCC8" w:rsidR="00A47714" w:rsidRPr="00863BEC" w:rsidRDefault="00A47714" w:rsidP="00A56FE2">
            <w:pPr>
              <w:jc w:val="both"/>
            </w:pPr>
            <w:r w:rsidRPr="00A47714">
              <w:t xml:space="preserve">This is not a unique service and is a competitive field. Many other services do what the application does, and in a much better way.  </w:t>
            </w:r>
          </w:p>
        </w:tc>
      </w:tr>
      <w:tr w:rsidR="00A47714" w:rsidRPr="00863BEC" w14:paraId="01E59ECC" w14:textId="77777777" w:rsidTr="00863BEC">
        <w:tc>
          <w:tcPr>
            <w:tcW w:w="4675" w:type="dxa"/>
          </w:tcPr>
          <w:p w14:paraId="239E1289" w14:textId="2D3CE898" w:rsidR="00A47714" w:rsidRPr="00863BEC" w:rsidRDefault="00A47714" w:rsidP="00A47714">
            <w:pPr>
              <w:jc w:val="both"/>
            </w:pPr>
            <w:r w:rsidRPr="00AD1BA0">
              <w:t>Threat</w:t>
            </w:r>
          </w:p>
        </w:tc>
        <w:tc>
          <w:tcPr>
            <w:tcW w:w="4675" w:type="dxa"/>
          </w:tcPr>
          <w:p w14:paraId="0239E3D2" w14:textId="529720EF" w:rsidR="00A47714" w:rsidRPr="00863BEC" w:rsidRDefault="00A47714" w:rsidP="00A47714">
            <w:pPr>
              <w:jc w:val="both"/>
            </w:pPr>
            <w:r>
              <w:t>Having the passwords on the device is a huge threat because anyone with access to the device could get access to the application and hence the passwords.</w:t>
            </w:r>
          </w:p>
        </w:tc>
      </w:tr>
      <w:tr w:rsidR="00A47714" w:rsidRPr="00863BEC" w14:paraId="730438F8" w14:textId="77777777" w:rsidTr="00863BEC">
        <w:tc>
          <w:tcPr>
            <w:tcW w:w="4675" w:type="dxa"/>
          </w:tcPr>
          <w:p w14:paraId="6109B1BB" w14:textId="14B3E085" w:rsidR="00A47714" w:rsidRPr="00863BEC" w:rsidRDefault="00A47714" w:rsidP="00A47714">
            <w:pPr>
              <w:jc w:val="both"/>
            </w:pPr>
            <w:r w:rsidRPr="00AD1BA0">
              <w:t>Threat</w:t>
            </w:r>
          </w:p>
        </w:tc>
        <w:tc>
          <w:tcPr>
            <w:tcW w:w="4675" w:type="dxa"/>
          </w:tcPr>
          <w:p w14:paraId="4BF4378F" w14:textId="0D6A0227" w:rsidR="00A47714" w:rsidRPr="00863BEC" w:rsidRDefault="00A47714" w:rsidP="00A47714">
            <w:pPr>
              <w:jc w:val="both"/>
            </w:pPr>
            <w:r>
              <w:t>If a user forgets the login, has a question, or even wants to offer feedback, there is no way to get in contact with anyone who could help them. It does not help build trust with users.</w:t>
            </w:r>
          </w:p>
        </w:tc>
      </w:tr>
      <w:tr w:rsidR="00A47714" w:rsidRPr="00863BEC" w14:paraId="3DE42EDB" w14:textId="77777777" w:rsidTr="00863BEC">
        <w:tc>
          <w:tcPr>
            <w:tcW w:w="4675" w:type="dxa"/>
          </w:tcPr>
          <w:p w14:paraId="040A8200" w14:textId="53B904DD" w:rsidR="00A47714" w:rsidRPr="00863BEC" w:rsidRDefault="00A47714" w:rsidP="00A47714">
            <w:pPr>
              <w:jc w:val="both"/>
            </w:pPr>
            <w:r w:rsidRPr="00AD1BA0">
              <w:t>Weakness</w:t>
            </w:r>
          </w:p>
        </w:tc>
        <w:tc>
          <w:tcPr>
            <w:tcW w:w="4675" w:type="dxa"/>
          </w:tcPr>
          <w:p w14:paraId="2229EFE0" w14:textId="419D8343" w:rsidR="00A47714" w:rsidRPr="00863BEC" w:rsidRDefault="00A47714" w:rsidP="00A47714">
            <w:pPr>
              <w:jc w:val="both"/>
            </w:pPr>
            <w:r>
              <w:t>The program only encrypts the passwords with keys entered by users, but the user would still have to type in the original password into wherever they are trying to log in.</w:t>
            </w:r>
          </w:p>
        </w:tc>
      </w:tr>
      <w:tr w:rsidR="00A47714" w:rsidRPr="00863BEC" w14:paraId="1376311C" w14:textId="77777777" w:rsidTr="00863BEC">
        <w:tc>
          <w:tcPr>
            <w:tcW w:w="4675" w:type="dxa"/>
          </w:tcPr>
          <w:p w14:paraId="75E65029" w14:textId="7BFC751D" w:rsidR="00A47714" w:rsidRPr="00863BEC" w:rsidRDefault="00A47714" w:rsidP="00A47714">
            <w:pPr>
              <w:jc w:val="both"/>
            </w:pPr>
            <w:r w:rsidRPr="00AD1BA0">
              <w:t>Weakness</w:t>
            </w:r>
          </w:p>
        </w:tc>
        <w:tc>
          <w:tcPr>
            <w:tcW w:w="4675" w:type="dxa"/>
          </w:tcPr>
          <w:p w14:paraId="1F9E3579" w14:textId="034BD5BD" w:rsidR="00A47714" w:rsidRPr="00863BEC" w:rsidRDefault="00A47714" w:rsidP="00A47714">
            <w:pPr>
              <w:jc w:val="both"/>
            </w:pPr>
            <w:r>
              <w:t>Both methods of encryption used are outdated and could be broken. This makes the passwords that the user entered not as secure as they could be.</w:t>
            </w:r>
          </w:p>
        </w:tc>
      </w:tr>
      <w:tr w:rsidR="00A47714" w:rsidRPr="00863BEC" w14:paraId="409EEBF4" w14:textId="77777777" w:rsidTr="00863BEC">
        <w:tc>
          <w:tcPr>
            <w:tcW w:w="4675" w:type="dxa"/>
          </w:tcPr>
          <w:p w14:paraId="3846C3F5" w14:textId="1F25C9C8" w:rsidR="00A47714" w:rsidRPr="00863BEC" w:rsidRDefault="00A47714" w:rsidP="00A47714">
            <w:pPr>
              <w:jc w:val="both"/>
            </w:pPr>
            <w:proofErr w:type="spellStart"/>
            <w:r w:rsidRPr="00AD1BA0">
              <w:t>Vulnerablilites</w:t>
            </w:r>
            <w:proofErr w:type="spellEnd"/>
          </w:p>
        </w:tc>
        <w:tc>
          <w:tcPr>
            <w:tcW w:w="4675" w:type="dxa"/>
          </w:tcPr>
          <w:p w14:paraId="0DD85E1B" w14:textId="35A71EB1" w:rsidR="00A47714" w:rsidRPr="00863BEC" w:rsidRDefault="00A47714" w:rsidP="00A47714">
            <w:pPr>
              <w:jc w:val="both"/>
            </w:pPr>
            <w:r>
              <w:t xml:space="preserve">The user not being able to pick the login credentials </w:t>
            </w:r>
            <w:proofErr w:type="gramStart"/>
            <w:r>
              <w:t>make</w:t>
            </w:r>
            <w:proofErr w:type="gramEnd"/>
            <w:r>
              <w:t xml:space="preserve"> it extremely difficult to remember the information and is risking access to the password manager. </w:t>
            </w:r>
          </w:p>
        </w:tc>
      </w:tr>
      <w:tr w:rsidR="00A47714" w:rsidRPr="00863BEC" w14:paraId="491BA012" w14:textId="77777777" w:rsidTr="00863BEC">
        <w:tc>
          <w:tcPr>
            <w:tcW w:w="4675" w:type="dxa"/>
          </w:tcPr>
          <w:p w14:paraId="2BCEC7AF" w14:textId="07BAB508" w:rsidR="00A47714" w:rsidRPr="00863BEC" w:rsidRDefault="00A47714" w:rsidP="00A47714">
            <w:pPr>
              <w:jc w:val="both"/>
            </w:pPr>
            <w:proofErr w:type="spellStart"/>
            <w:r w:rsidRPr="00AD1BA0">
              <w:t>Vulnerablilites</w:t>
            </w:r>
            <w:proofErr w:type="spellEnd"/>
          </w:p>
        </w:tc>
        <w:tc>
          <w:tcPr>
            <w:tcW w:w="4675" w:type="dxa"/>
          </w:tcPr>
          <w:p w14:paraId="36CF4876" w14:textId="26A791CE" w:rsidR="00A47714" w:rsidRPr="00863BEC" w:rsidRDefault="001F4FB0" w:rsidP="00A47714">
            <w:pPr>
              <w:jc w:val="both"/>
            </w:pPr>
            <w:r>
              <w:t>Forgetting passwords and login information is extremely common, but there is no way to remover that information within the program.</w:t>
            </w:r>
          </w:p>
        </w:tc>
      </w:tr>
      <w:tr w:rsidR="00A47714" w:rsidRPr="00863BEC" w14:paraId="2AC68A1F" w14:textId="77777777" w:rsidTr="00863BEC">
        <w:tc>
          <w:tcPr>
            <w:tcW w:w="4675" w:type="dxa"/>
          </w:tcPr>
          <w:p w14:paraId="43D8BE23" w14:textId="20BFB04D" w:rsidR="00A47714" w:rsidRPr="00863BEC" w:rsidRDefault="00A47714" w:rsidP="00A47714">
            <w:pPr>
              <w:jc w:val="both"/>
            </w:pPr>
            <w:proofErr w:type="spellStart"/>
            <w:r w:rsidRPr="00AD1BA0">
              <w:t>Vulnerablilites</w:t>
            </w:r>
            <w:proofErr w:type="spellEnd"/>
          </w:p>
        </w:tc>
        <w:tc>
          <w:tcPr>
            <w:tcW w:w="4675" w:type="dxa"/>
          </w:tcPr>
          <w:p w14:paraId="6D031842" w14:textId="0F12F823" w:rsidR="00A47714" w:rsidRPr="00863BEC" w:rsidRDefault="001F4FB0" w:rsidP="00A47714">
            <w:pPr>
              <w:jc w:val="both"/>
            </w:pPr>
            <w:r>
              <w:t xml:space="preserve">The program accepts weak passwords that could be entered by the user, making even the encrypted </w:t>
            </w:r>
            <w:proofErr w:type="gramStart"/>
            <w:r>
              <w:t>versions,</w:t>
            </w:r>
            <w:proofErr w:type="gramEnd"/>
            <w:r>
              <w:t xml:space="preserve"> not much more secure. </w:t>
            </w:r>
          </w:p>
        </w:tc>
      </w:tr>
    </w:tbl>
    <w:p w14:paraId="416760B7" w14:textId="4CAB1231" w:rsidR="00A6288D" w:rsidRDefault="00A6288D" w:rsidP="00A56FE2">
      <w:pPr>
        <w:jc w:val="both"/>
      </w:pPr>
    </w:p>
    <w:p w14:paraId="59E5D018" w14:textId="28788DF9" w:rsidR="00A6288D" w:rsidRDefault="00A6288D" w:rsidP="00A6288D">
      <w:pPr>
        <w:pStyle w:val="Heading2"/>
        <w:rPr>
          <w:lang w:val="en-US"/>
        </w:rPr>
      </w:pPr>
      <w:bookmarkStart w:id="68" w:name="_Toc127779452"/>
      <w:r>
        <w:rPr>
          <w:lang w:val="en-US"/>
        </w:rPr>
        <w:t>Recommendations</w:t>
      </w:r>
      <w:bookmarkEnd w:id="68"/>
    </w:p>
    <w:tbl>
      <w:tblPr>
        <w:tblStyle w:val="TableGrid"/>
        <w:tblW w:w="0" w:type="auto"/>
        <w:tblLook w:val="04A0" w:firstRow="1" w:lastRow="0" w:firstColumn="1" w:lastColumn="0" w:noHBand="0" w:noVBand="1"/>
      </w:tblPr>
      <w:tblGrid>
        <w:gridCol w:w="3116"/>
        <w:gridCol w:w="3117"/>
        <w:gridCol w:w="3117"/>
      </w:tblGrid>
      <w:tr w:rsidR="001F4FB0" w14:paraId="41DA87D1" w14:textId="77777777" w:rsidTr="001F4FB0">
        <w:tc>
          <w:tcPr>
            <w:tcW w:w="3116" w:type="dxa"/>
          </w:tcPr>
          <w:p w14:paraId="6B5437B4" w14:textId="2EBA7A4E" w:rsidR="001F4FB0" w:rsidRPr="001F4FB0" w:rsidRDefault="001F4FB0" w:rsidP="00A56FE2">
            <w:pPr>
              <w:jc w:val="both"/>
              <w:rPr>
                <w:b/>
                <w:bCs/>
              </w:rPr>
            </w:pPr>
            <w:r>
              <w:rPr>
                <w:b/>
                <w:bCs/>
              </w:rPr>
              <w:t>Risk Value</w:t>
            </w:r>
          </w:p>
        </w:tc>
        <w:tc>
          <w:tcPr>
            <w:tcW w:w="3117" w:type="dxa"/>
          </w:tcPr>
          <w:p w14:paraId="18E9F352" w14:textId="55CF1A20" w:rsidR="001F4FB0" w:rsidRPr="001F4FB0" w:rsidRDefault="001F4FB0" w:rsidP="00A56FE2">
            <w:pPr>
              <w:jc w:val="both"/>
              <w:rPr>
                <w:b/>
                <w:bCs/>
              </w:rPr>
            </w:pPr>
            <w:r>
              <w:rPr>
                <w:b/>
                <w:bCs/>
              </w:rPr>
              <w:t>Ease of Fix</w:t>
            </w:r>
          </w:p>
        </w:tc>
        <w:tc>
          <w:tcPr>
            <w:tcW w:w="3117" w:type="dxa"/>
          </w:tcPr>
          <w:p w14:paraId="62285F3D" w14:textId="4F7EEE95" w:rsidR="001F4FB0" w:rsidRPr="001F4FB0" w:rsidRDefault="001F4FB0" w:rsidP="00A56FE2">
            <w:pPr>
              <w:jc w:val="both"/>
              <w:rPr>
                <w:b/>
                <w:bCs/>
              </w:rPr>
            </w:pPr>
            <w:r>
              <w:rPr>
                <w:b/>
                <w:bCs/>
              </w:rPr>
              <w:t>Explanation</w:t>
            </w:r>
          </w:p>
        </w:tc>
      </w:tr>
      <w:tr w:rsidR="001F4FB0" w14:paraId="48CB2E47" w14:textId="77777777" w:rsidTr="001F4FB0">
        <w:tc>
          <w:tcPr>
            <w:tcW w:w="3116" w:type="dxa"/>
          </w:tcPr>
          <w:p w14:paraId="779942E6" w14:textId="65D61B62" w:rsidR="001F4FB0" w:rsidRDefault="00F808DC" w:rsidP="00A56FE2">
            <w:pPr>
              <w:jc w:val="both"/>
            </w:pPr>
            <w:r>
              <w:t>Informational</w:t>
            </w:r>
          </w:p>
        </w:tc>
        <w:tc>
          <w:tcPr>
            <w:tcW w:w="3117" w:type="dxa"/>
          </w:tcPr>
          <w:p w14:paraId="4DA879EC" w14:textId="347CAE31" w:rsidR="001F4FB0" w:rsidRDefault="00F808DC" w:rsidP="00A56FE2">
            <w:pPr>
              <w:jc w:val="both"/>
            </w:pPr>
            <w:r>
              <w:t>Very difficult</w:t>
            </w:r>
          </w:p>
        </w:tc>
        <w:tc>
          <w:tcPr>
            <w:tcW w:w="3117" w:type="dxa"/>
          </w:tcPr>
          <w:p w14:paraId="535A430D" w14:textId="39632894" w:rsidR="001F4FB0" w:rsidRDefault="00F808DC" w:rsidP="00A56FE2">
            <w:pPr>
              <w:jc w:val="both"/>
            </w:pPr>
            <w:r>
              <w:t>To make the application more unique, many more features would need to be added. Enough to make it stand out.</w:t>
            </w:r>
          </w:p>
        </w:tc>
      </w:tr>
      <w:tr w:rsidR="001F4FB0" w14:paraId="37539507" w14:textId="77777777" w:rsidTr="001F4FB0">
        <w:tc>
          <w:tcPr>
            <w:tcW w:w="3116" w:type="dxa"/>
          </w:tcPr>
          <w:p w14:paraId="35BB2A7E" w14:textId="55816AE1" w:rsidR="001F4FB0" w:rsidRDefault="00F808DC" w:rsidP="00A56FE2">
            <w:pPr>
              <w:jc w:val="both"/>
            </w:pPr>
            <w:r>
              <w:t>Moderate Risk</w:t>
            </w:r>
          </w:p>
        </w:tc>
        <w:tc>
          <w:tcPr>
            <w:tcW w:w="3117" w:type="dxa"/>
          </w:tcPr>
          <w:p w14:paraId="6859EF4D" w14:textId="7002492F" w:rsidR="001F4FB0" w:rsidRDefault="00F808DC" w:rsidP="00A56FE2">
            <w:pPr>
              <w:jc w:val="both"/>
            </w:pPr>
            <w:r>
              <w:t>Moderately difficult</w:t>
            </w:r>
          </w:p>
        </w:tc>
        <w:tc>
          <w:tcPr>
            <w:tcW w:w="3117" w:type="dxa"/>
          </w:tcPr>
          <w:p w14:paraId="5D3E3A68" w14:textId="1CC63043" w:rsidR="001F4FB0" w:rsidRDefault="00F808DC" w:rsidP="00A56FE2">
            <w:pPr>
              <w:jc w:val="both"/>
            </w:pPr>
            <w:r>
              <w:t>Having online backups, or better encryption of the text files, would help protect the passwords</w:t>
            </w:r>
          </w:p>
        </w:tc>
      </w:tr>
      <w:tr w:rsidR="001F4FB0" w14:paraId="04C1FF15" w14:textId="77777777" w:rsidTr="001F4FB0">
        <w:tc>
          <w:tcPr>
            <w:tcW w:w="3116" w:type="dxa"/>
          </w:tcPr>
          <w:p w14:paraId="1C8900F1" w14:textId="5CC075CE" w:rsidR="001F4FB0" w:rsidRDefault="00F808DC" w:rsidP="00A56FE2">
            <w:pPr>
              <w:jc w:val="both"/>
            </w:pPr>
            <w:r>
              <w:lastRenderedPageBreak/>
              <w:t>Moderate Risk</w:t>
            </w:r>
          </w:p>
        </w:tc>
        <w:tc>
          <w:tcPr>
            <w:tcW w:w="3117" w:type="dxa"/>
          </w:tcPr>
          <w:p w14:paraId="4EF5D765" w14:textId="5B8AE5A0" w:rsidR="001F4FB0" w:rsidRDefault="00F808DC" w:rsidP="00A56FE2">
            <w:pPr>
              <w:jc w:val="both"/>
            </w:pPr>
            <w:r>
              <w:t>No Known Fix</w:t>
            </w:r>
          </w:p>
        </w:tc>
        <w:tc>
          <w:tcPr>
            <w:tcW w:w="3117" w:type="dxa"/>
          </w:tcPr>
          <w:p w14:paraId="48552039" w14:textId="60B8AF5E" w:rsidR="001F4FB0" w:rsidRDefault="00F808DC" w:rsidP="00A56FE2">
            <w:pPr>
              <w:jc w:val="both"/>
            </w:pPr>
            <w:r>
              <w:t>The ability to request assistance would be very helpful, but I am unsure of how to go about implementing it.</w:t>
            </w:r>
          </w:p>
        </w:tc>
      </w:tr>
      <w:tr w:rsidR="001F4FB0" w14:paraId="2630EF23" w14:textId="77777777" w:rsidTr="001F4FB0">
        <w:tc>
          <w:tcPr>
            <w:tcW w:w="3116" w:type="dxa"/>
          </w:tcPr>
          <w:p w14:paraId="216369F9" w14:textId="03781762" w:rsidR="001F4FB0" w:rsidRDefault="00F808DC" w:rsidP="00A56FE2">
            <w:pPr>
              <w:jc w:val="both"/>
            </w:pPr>
            <w:r>
              <w:t>High Risk</w:t>
            </w:r>
          </w:p>
        </w:tc>
        <w:tc>
          <w:tcPr>
            <w:tcW w:w="3117" w:type="dxa"/>
          </w:tcPr>
          <w:p w14:paraId="7DE548C6" w14:textId="393E93E9" w:rsidR="001F4FB0" w:rsidRDefault="00F808DC" w:rsidP="00A56FE2">
            <w:pPr>
              <w:jc w:val="both"/>
            </w:pPr>
            <w:r>
              <w:t>No Known Fix</w:t>
            </w:r>
          </w:p>
        </w:tc>
        <w:tc>
          <w:tcPr>
            <w:tcW w:w="3117" w:type="dxa"/>
          </w:tcPr>
          <w:p w14:paraId="6025D388" w14:textId="4E8F7609" w:rsidR="001F4FB0" w:rsidRDefault="00F808DC" w:rsidP="00A56FE2">
            <w:pPr>
              <w:jc w:val="both"/>
            </w:pPr>
            <w:proofErr w:type="gramStart"/>
            <w:r>
              <w:t>In order to</w:t>
            </w:r>
            <w:proofErr w:type="gramEnd"/>
            <w:r>
              <w:t xml:space="preserve"> avoid this issue, the user would have to print the text file, and then manually copy the encrypted password to paste into the proper service. This is incredibly inconvenient. It would be better if once the user enters the </w:t>
            </w:r>
            <w:proofErr w:type="gramStart"/>
            <w:r>
              <w:t>password</w:t>
            </w:r>
            <w:proofErr w:type="gramEnd"/>
            <w:r>
              <w:t xml:space="preserve"> it would automatically copy it to the clipboard.</w:t>
            </w:r>
          </w:p>
        </w:tc>
      </w:tr>
      <w:tr w:rsidR="001F4FB0" w14:paraId="3CB51099" w14:textId="77777777" w:rsidTr="001F4FB0">
        <w:tc>
          <w:tcPr>
            <w:tcW w:w="3116" w:type="dxa"/>
          </w:tcPr>
          <w:p w14:paraId="3E52C651" w14:textId="35E2A561" w:rsidR="001F4FB0" w:rsidRDefault="00F808DC" w:rsidP="00A56FE2">
            <w:pPr>
              <w:jc w:val="both"/>
            </w:pPr>
            <w:r>
              <w:t>Moderate Risk</w:t>
            </w:r>
          </w:p>
        </w:tc>
        <w:tc>
          <w:tcPr>
            <w:tcW w:w="3117" w:type="dxa"/>
          </w:tcPr>
          <w:p w14:paraId="088ED889" w14:textId="4E3C8E13" w:rsidR="001F4FB0" w:rsidRDefault="00F808DC" w:rsidP="00A56FE2">
            <w:pPr>
              <w:jc w:val="both"/>
            </w:pPr>
            <w:r>
              <w:t>Moderately difficult</w:t>
            </w:r>
          </w:p>
        </w:tc>
        <w:tc>
          <w:tcPr>
            <w:tcW w:w="3117" w:type="dxa"/>
          </w:tcPr>
          <w:p w14:paraId="6B15C1B4" w14:textId="407D2D3E" w:rsidR="001F4FB0" w:rsidRDefault="00F808DC" w:rsidP="00A56FE2">
            <w:pPr>
              <w:jc w:val="both"/>
            </w:pPr>
            <w:r>
              <w:t xml:space="preserve">At the first run time, the user could create </w:t>
            </w:r>
            <w:proofErr w:type="gramStart"/>
            <w:r>
              <w:t>a login</w:t>
            </w:r>
            <w:proofErr w:type="gramEnd"/>
            <w:r>
              <w:t xml:space="preserve"> information and then add 2FA to verify their identity. That way the generic credentials are not being used.  </w:t>
            </w:r>
          </w:p>
        </w:tc>
      </w:tr>
      <w:tr w:rsidR="001F4FB0" w14:paraId="5C4BEB79" w14:textId="77777777" w:rsidTr="001F4FB0">
        <w:tc>
          <w:tcPr>
            <w:tcW w:w="3116" w:type="dxa"/>
          </w:tcPr>
          <w:p w14:paraId="094AA151" w14:textId="6257CDA7" w:rsidR="001F4FB0" w:rsidRDefault="00F808DC" w:rsidP="00A56FE2">
            <w:pPr>
              <w:jc w:val="both"/>
            </w:pPr>
            <w:r>
              <w:t>Low Risk</w:t>
            </w:r>
          </w:p>
        </w:tc>
        <w:tc>
          <w:tcPr>
            <w:tcW w:w="3117" w:type="dxa"/>
          </w:tcPr>
          <w:p w14:paraId="0F1B4AD7" w14:textId="1BEDCDC0" w:rsidR="001F4FB0" w:rsidRDefault="00F808DC" w:rsidP="00A56FE2">
            <w:pPr>
              <w:jc w:val="both"/>
            </w:pPr>
            <w:r>
              <w:t>Moderately difficult</w:t>
            </w:r>
          </w:p>
        </w:tc>
        <w:tc>
          <w:tcPr>
            <w:tcW w:w="3117" w:type="dxa"/>
          </w:tcPr>
          <w:p w14:paraId="2512C63D" w14:textId="4EE088D1" w:rsidR="001F4FB0" w:rsidRDefault="00F808DC" w:rsidP="00A56FE2">
            <w:pPr>
              <w:jc w:val="both"/>
            </w:pPr>
            <w:r>
              <w:t xml:space="preserve">Using the 2FA from the custom login credentials, the 2FA could also be used to reset the password or log in. </w:t>
            </w:r>
          </w:p>
        </w:tc>
      </w:tr>
      <w:tr w:rsidR="001F4FB0" w14:paraId="57DE171D" w14:textId="77777777" w:rsidTr="001F4FB0">
        <w:tc>
          <w:tcPr>
            <w:tcW w:w="3116" w:type="dxa"/>
          </w:tcPr>
          <w:p w14:paraId="67956E93" w14:textId="32E99EC1" w:rsidR="001F4FB0" w:rsidRDefault="00F808DC" w:rsidP="00A56FE2">
            <w:pPr>
              <w:jc w:val="both"/>
            </w:pPr>
            <w:r>
              <w:t>Informational</w:t>
            </w:r>
          </w:p>
        </w:tc>
        <w:tc>
          <w:tcPr>
            <w:tcW w:w="3117" w:type="dxa"/>
          </w:tcPr>
          <w:p w14:paraId="6ABFF3A3" w14:textId="4EED15DB" w:rsidR="001F4FB0" w:rsidRDefault="00F808DC" w:rsidP="00A56FE2">
            <w:pPr>
              <w:jc w:val="both"/>
            </w:pPr>
            <w:r>
              <w:t>Easy</w:t>
            </w:r>
          </w:p>
        </w:tc>
        <w:tc>
          <w:tcPr>
            <w:tcW w:w="3117" w:type="dxa"/>
          </w:tcPr>
          <w:p w14:paraId="60F2A62E" w14:textId="7AF27362" w:rsidR="001F4FB0" w:rsidRDefault="00F808DC" w:rsidP="00A56FE2">
            <w:pPr>
              <w:jc w:val="both"/>
            </w:pPr>
            <w:r>
              <w:t xml:space="preserve">The checking to see if the user has met </w:t>
            </w:r>
            <w:proofErr w:type="gramStart"/>
            <w:r>
              <w:t>all of</w:t>
            </w:r>
            <w:proofErr w:type="gramEnd"/>
            <w:r>
              <w:t xml:space="preserve"> the criteria would help ensure the strength of the user’s passwords and make them much harder to break.</w:t>
            </w:r>
          </w:p>
        </w:tc>
      </w:tr>
    </w:tbl>
    <w:p w14:paraId="443D5713" w14:textId="77777777" w:rsidR="00A6288D" w:rsidRPr="00E826E0" w:rsidRDefault="00A6288D" w:rsidP="00A56FE2">
      <w:pPr>
        <w:jc w:val="both"/>
      </w:pPr>
    </w:p>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790FB128"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p>
    <w:p w14:paraId="406E3304" w14:textId="65050B87" w:rsidR="005C6B6E" w:rsidRDefault="005C6B6E" w:rsidP="005C6B6E">
      <w:pPr>
        <w:jc w:val="both"/>
      </w:pPr>
      <w:r w:rsidRPr="00E826E0">
        <w:t>Each Business Risk has been assigned a Risk Level value of High, Moderate, or Low. The rating is</w:t>
      </w:r>
      <w:proofErr w:type="gramStart"/>
      <w:r w:rsidRPr="00E826E0">
        <w:t>, in actuality, an</w:t>
      </w:r>
      <w:proofErr w:type="gramEnd"/>
      <w:r w:rsidRPr="00E826E0">
        <w:t xml:space="preserve">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r>
        <w:fldChar w:fldCharType="begin"/>
      </w:r>
      <w:r>
        <w:instrText xml:space="preserve"> SEQ Table \* ARABIC </w:instrText>
      </w:r>
      <w:r>
        <w:fldChar w:fldCharType="separate"/>
      </w:r>
      <w:r>
        <w:rPr>
          <w:noProof/>
        </w:rPr>
        <w:t>1</w:t>
      </w:r>
      <w:r>
        <w:fldChar w:fldCharType="end"/>
      </w:r>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lastRenderedPageBreak/>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w:t>
            </w:r>
            <w:proofErr w:type="gramStart"/>
            <w:r w:rsidRPr="009A45F1">
              <w:rPr>
                <w:lang w:eastAsia="en-US"/>
              </w:rPr>
              <w:t>as a result of</w:t>
            </w:r>
            <w:proofErr w:type="gramEnd"/>
            <w:r w:rsidRPr="009A45F1">
              <w:rPr>
                <w:lang w:eastAsia="en-US"/>
              </w:rPr>
              <w:t xml:space="preserve">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r>
        <w:fldChar w:fldCharType="begin"/>
      </w:r>
      <w:r>
        <w:instrText xml:space="preserve"> SEQ Table \* ARABIC </w:instrText>
      </w:r>
      <w:r>
        <w:fldChar w:fldCharType="separate"/>
      </w:r>
      <w:r>
        <w:rPr>
          <w:noProof/>
        </w:rPr>
        <w:t>2</w:t>
      </w:r>
      <w:r>
        <w:fldChar w:fldCharType="end"/>
      </w:r>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a reconfiguration to mitigate the threat </w:t>
            </w:r>
            <w:proofErr w:type="gramStart"/>
            <w:r w:rsidRPr="007C7C80">
              <w:rPr>
                <w:rFonts w:ascii="Arial" w:hAnsi="Arial" w:cs="Arial"/>
                <w:sz w:val="18"/>
                <w:szCs w:val="18"/>
                <w:lang w:eastAsia="en-US"/>
              </w:rPr>
              <w:t>exposure</w:t>
            </w:r>
            <w:proofErr w:type="gramEnd"/>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5FB3041" w14:textId="05E3E0A9"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17615F61" w14:textId="77777777" w:rsidR="005C6B6E" w:rsidRPr="002B2FAB" w:rsidRDefault="005C6B6E" w:rsidP="005C6B6E">
      <w:pPr>
        <w:pStyle w:val="BulletListMultiple"/>
        <w:numPr>
          <w:ilvl w:val="0"/>
          <w:numId w:val="0"/>
        </w:numPr>
        <w:jc w:val="both"/>
      </w:pPr>
      <w:r>
        <w:t>This was completed using &lt;list and describe any type of testing you performed here&gt;.</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41EB706D" w:rsidR="005C6B6E" w:rsidRPr="002B2FAB" w:rsidRDefault="005C6B6E" w:rsidP="005C6B6E">
      <w:pPr>
        <w:pStyle w:val="BulletListMultiple"/>
        <w:numPr>
          <w:ilvl w:val="0"/>
          <w:numId w:val="0"/>
        </w:numPr>
        <w:jc w:val="both"/>
      </w:pPr>
      <w:r>
        <w:t>This was completed using &lt;list and describe any tools used for testing (include Linux Command Line commands&gt;.</w:t>
      </w:r>
    </w:p>
    <w:p w14:paraId="2416097D" w14:textId="5275B08F" w:rsidR="005C6B6E" w:rsidRDefault="005C6B6E" w:rsidP="00763CAB">
      <w:pPr>
        <w:pStyle w:val="BodyText"/>
        <w:rPr>
          <w:rFonts w:ascii="Arial Narrow" w:hAnsi="Arial Narrow"/>
          <w:b/>
          <w:sz w:val="28"/>
          <w:szCs w:val="28"/>
          <w:lang w:val="en-US"/>
        </w:rPr>
      </w:pPr>
    </w:p>
    <w:p w14:paraId="080342F5" w14:textId="002C5ECA" w:rsidR="00A6288D" w:rsidRDefault="00A6288D">
      <w:pPr>
        <w:rPr>
          <w:rFonts w:ascii="Arial Narrow" w:hAnsi="Arial Narrow"/>
          <w:b/>
          <w:sz w:val="28"/>
          <w:szCs w:val="28"/>
        </w:rPr>
      </w:pPr>
      <w:r>
        <w:rPr>
          <w:rFonts w:ascii="Arial Narrow" w:hAnsi="Arial Narrow"/>
          <w:b/>
          <w:sz w:val="28"/>
          <w:szCs w:val="28"/>
        </w:rPr>
        <w:lastRenderedPageBreak/>
        <w:br w:type="page"/>
      </w:r>
    </w:p>
    <w:p w14:paraId="59EC8280" w14:textId="0EB57542" w:rsidR="005B6DD7" w:rsidRDefault="008F5E9E" w:rsidP="005B6DD7">
      <w:pPr>
        <w:pStyle w:val="Heading1"/>
        <w:rPr>
          <w:lang w:val="en-US"/>
        </w:rPr>
      </w:pPr>
      <w:bookmarkStart w:id="78" w:name="_Toc127779454"/>
      <w:r>
        <w:rPr>
          <w:lang w:val="en-US"/>
        </w:rPr>
        <w:lastRenderedPageBreak/>
        <w:t>Figures and Code</w:t>
      </w:r>
      <w:bookmarkEnd w:id="78"/>
    </w:p>
    <w:p w14:paraId="5A1B8351" w14:textId="44522D31" w:rsidR="005B6DD7" w:rsidRDefault="005B6DD7" w:rsidP="005B6DD7">
      <w:pPr>
        <w:rPr>
          <w:lang w:eastAsia="x-none"/>
        </w:rPr>
      </w:pPr>
      <w:r>
        <w:t xml:space="preserve">Insert any pictures here (including of </w:t>
      </w:r>
      <w:r w:rsidR="008F5E9E">
        <w:t xml:space="preserve">major code issues or code that was used as a tool – can just screenshot and add link to </w:t>
      </w:r>
      <w:proofErr w:type="spellStart"/>
      <w:r w:rsidR="008F5E9E">
        <w:t>github</w:t>
      </w:r>
      <w:proofErr w:type="spellEnd"/>
      <w:r>
        <w:t>).</w:t>
      </w:r>
      <w:r w:rsidR="008F5E9E">
        <w:t xml:space="preserve"> This section must include a</w:t>
      </w:r>
      <w:r w:rsidR="2C5524A4">
        <w:t>t least 4 figures or code portions</w:t>
      </w:r>
      <w:r w:rsidR="008F5E9E">
        <w:t>:</w:t>
      </w:r>
    </w:p>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9"/>
    </w:p>
    <w:p w14:paraId="41EA51E2" w14:textId="1F4632DD" w:rsidR="008F5E9E" w:rsidRDefault="008F5E9E" w:rsidP="005B6DD7">
      <w:pPr>
        <w:rPr>
          <w:lang w:eastAsia="x-none"/>
        </w:rPr>
      </w:pPr>
      <w:r>
        <w:rPr>
          <w:noProof/>
          <w:lang w:eastAsia="x-none"/>
        </w:rPr>
        <w:drawing>
          <wp:inline distT="0" distB="0" distL="0" distR="0" wp14:anchorId="2AD072E7" wp14:editId="0F6A21F2">
            <wp:extent cx="5610225" cy="428738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23336" cy="4297406"/>
                    </a:xfrm>
                    <a:prstGeom prst="rect">
                      <a:avLst/>
                    </a:prstGeom>
                  </pic:spPr>
                </pic:pic>
              </a:graphicData>
            </a:graphic>
          </wp:inline>
        </w:drawing>
      </w:r>
    </w:p>
    <w:p w14:paraId="631A0161" w14:textId="77777777" w:rsidR="008F5E9E" w:rsidRDefault="008F5E9E" w:rsidP="005B6DD7">
      <w:pPr>
        <w:rPr>
          <w:lang w:eastAsia="x-none"/>
        </w:rPr>
      </w:pPr>
    </w:p>
    <w:p w14:paraId="5ED7E4DB" w14:textId="2F45AE8D" w:rsidR="008F5E9E" w:rsidRDefault="008F5E9E" w:rsidP="005B6DD7">
      <w:pPr>
        <w:rPr>
          <w:lang w:eastAsia="x-none"/>
        </w:rPr>
      </w:pPr>
      <w:r>
        <w:rPr>
          <w:lang w:eastAsia="x-none"/>
        </w:rPr>
        <w:t>Describe the process flow here.</w:t>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413D1E2F" w14:textId="5082077B" w:rsidR="00A6288D" w:rsidRDefault="008F5E9E" w:rsidP="008F5E9E">
      <w:pPr>
        <w:rPr>
          <w:lang w:eastAsia="x-none"/>
        </w:rPr>
      </w:pPr>
      <w:r>
        <w:rPr>
          <w:lang w:eastAsia="x-none"/>
        </w:rPr>
        <w:t>HERE</w:t>
      </w:r>
    </w:p>
    <w:p w14:paraId="2765D83F" w14:textId="77777777" w:rsidR="008F5E9E" w:rsidRPr="008F5E9E" w:rsidRDefault="008F5E9E"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409028B9" w:rsidR="005B6DD7" w:rsidRDefault="005B6DD7">
          <w:pPr>
            <w:pStyle w:val="Heading1"/>
          </w:pPr>
          <w:r>
            <w:t>Works Cited</w:t>
          </w:r>
          <w:bookmarkEnd w:id="81"/>
        </w:p>
        <w:p w14:paraId="60CECFAB" w14:textId="6A39A587" w:rsidR="005B6DD7" w:rsidRDefault="005B6DD7">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14:paraId="24483894" w14:textId="77777777" w:rsidR="005B6DD7" w:rsidRPr="00763CAB" w:rsidRDefault="005B6DD7" w:rsidP="00763CAB">
      <w:pPr>
        <w:pStyle w:val="BodyText"/>
        <w:rPr>
          <w:rFonts w:ascii="Arial Narrow" w:hAnsi="Arial Narrow"/>
          <w:b/>
          <w:sz w:val="28"/>
          <w:szCs w:val="28"/>
          <w:lang w:val="en-US"/>
        </w:rPr>
      </w:pPr>
    </w:p>
    <w:sectPr w:rsidR="005B6DD7" w:rsidRPr="00763CAB"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718D4" w14:textId="77777777" w:rsidR="00B33107" w:rsidRDefault="00B33107">
      <w:r>
        <w:separator/>
      </w:r>
    </w:p>
    <w:p w14:paraId="2B305F66" w14:textId="77777777" w:rsidR="00B33107" w:rsidRDefault="00B33107"/>
  </w:endnote>
  <w:endnote w:type="continuationSeparator" w:id="0">
    <w:p w14:paraId="1EA8955C" w14:textId="77777777" w:rsidR="00B33107" w:rsidRDefault="00B33107">
      <w:r>
        <w:continuationSeparator/>
      </w:r>
    </w:p>
    <w:p w14:paraId="4476BD11" w14:textId="77777777" w:rsidR="00B33107" w:rsidRDefault="00B33107"/>
  </w:endnote>
  <w:endnote w:type="continuationNotice" w:id="1">
    <w:p w14:paraId="288F66FA" w14:textId="77777777" w:rsidR="00B33107" w:rsidRDefault="00B331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AEEB5" w14:textId="77777777" w:rsidR="00B33107" w:rsidRDefault="00B33107">
      <w:r>
        <w:separator/>
      </w:r>
    </w:p>
  </w:footnote>
  <w:footnote w:type="continuationSeparator" w:id="0">
    <w:p w14:paraId="31473348" w14:textId="77777777" w:rsidR="00B33107" w:rsidRDefault="00B33107">
      <w:r>
        <w:continuationSeparator/>
      </w:r>
    </w:p>
    <w:p w14:paraId="13870F93" w14:textId="77777777" w:rsidR="00B33107" w:rsidRDefault="00B33107"/>
  </w:footnote>
  <w:footnote w:type="continuationNotice" w:id="1">
    <w:p w14:paraId="5C492E1B" w14:textId="77777777" w:rsidR="00B33107" w:rsidRDefault="00B331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17EB9546"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037824" w:rsidRPr="00037824">
      <w:rPr>
        <w:rFonts w:ascii="Times New Roman" w:hAnsi="Times New Roman"/>
        <w:b/>
        <w:color w:val="FF0000"/>
        <w:sz w:val="28"/>
        <w:szCs w:val="28"/>
        <w:lang w:val="en-US"/>
      </w:rPr>
      <w:t>Password Encryptor Manager</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28E8811A"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AC25FE">
      <w:rPr>
        <w:rFonts w:ascii="Times New Roman" w:hAnsi="Times New Roman"/>
        <w:b/>
        <w:color w:val="FF0000"/>
        <w:sz w:val="28"/>
        <w:szCs w:val="28"/>
        <w:lang w:val="en-US"/>
      </w:rPr>
      <w:t>Password Encryptor 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1"/>
  </w:num>
  <w:num w:numId="2" w16cid:durableId="2055860">
    <w:abstractNumId w:val="10"/>
  </w:num>
  <w:num w:numId="3" w16cid:durableId="548763216">
    <w:abstractNumId w:val="12"/>
  </w:num>
  <w:num w:numId="4" w16cid:durableId="1367633195">
    <w:abstractNumId w:val="18"/>
  </w:num>
  <w:num w:numId="5" w16cid:durableId="2056081743">
    <w:abstractNumId w:val="1"/>
  </w:num>
  <w:num w:numId="6" w16cid:durableId="677150376">
    <w:abstractNumId w:val="3"/>
  </w:num>
  <w:num w:numId="7" w16cid:durableId="1039670210">
    <w:abstractNumId w:val="2"/>
  </w:num>
  <w:num w:numId="8" w16cid:durableId="154617277">
    <w:abstractNumId w:val="17"/>
  </w:num>
  <w:num w:numId="9" w16cid:durableId="432625561">
    <w:abstractNumId w:val="15"/>
  </w:num>
  <w:num w:numId="10" w16cid:durableId="272320677">
    <w:abstractNumId w:val="5"/>
  </w:num>
  <w:num w:numId="11" w16cid:durableId="340400199">
    <w:abstractNumId w:val="0"/>
  </w:num>
  <w:num w:numId="12" w16cid:durableId="305550396">
    <w:abstractNumId w:val="13"/>
  </w:num>
  <w:num w:numId="13" w16cid:durableId="1030181242">
    <w:abstractNumId w:val="16"/>
  </w:num>
  <w:num w:numId="14" w16cid:durableId="1896231075">
    <w:abstractNumId w:val="4"/>
  </w:num>
  <w:num w:numId="15" w16cid:durableId="1112239527">
    <w:abstractNumId w:val="6"/>
  </w:num>
  <w:num w:numId="16" w16cid:durableId="1381319001">
    <w:abstractNumId w:val="11"/>
  </w:num>
  <w:num w:numId="17" w16cid:durableId="1806199513">
    <w:abstractNumId w:val="14"/>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19"/>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movePersonalInformation/>
  <w:displayBackgroundShap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824"/>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4FB0"/>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2FE"/>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A3A"/>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3BEC"/>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77CA1"/>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5A68"/>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714"/>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25FE"/>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107"/>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3E6"/>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8DC"/>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041"/>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25809706">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03704765">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55282267">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18596206">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5.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2.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3.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customXml/itemProps4.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5.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13536BD-6DE1-45F1-8C05-FD8B783DD9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2023-05-02T02:26:00Z</dcterms:created>
  <dcterms:modified xsi:type="dcterms:W3CDTF">2023-05-02T03:57:00Z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